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98907" w14:textId="77777777" w:rsidR="0098158F" w:rsidRPr="00C46726" w:rsidRDefault="0098158F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46726">
        <w:rPr>
          <w:lang w:val="en-US"/>
        </w:rPr>
        <w:t>IEEE P802.11</w:t>
      </w:r>
      <w:r w:rsidRPr="00C46726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288"/>
        <w:gridCol w:w="1508"/>
        <w:gridCol w:w="2380"/>
      </w:tblGrid>
      <w:tr w:rsidR="0098158F" w:rsidRPr="00C46726" w14:paraId="405B42E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0A974D" w14:textId="77777777" w:rsidR="0098158F" w:rsidRPr="00C46726" w:rsidRDefault="000908B3">
            <w:pPr>
              <w:pStyle w:val="T2"/>
              <w:rPr>
                <w:lang w:val="en-US"/>
              </w:rPr>
            </w:pPr>
            <w:bookmarkStart w:id="0" w:name="_GoBack"/>
            <w:proofErr w:type="spellStart"/>
            <w:r>
              <w:rPr>
                <w:b w:val="0"/>
                <w:szCs w:val="28"/>
              </w:rPr>
              <w:t>TG</w:t>
            </w:r>
            <w:r w:rsidR="00B71C53">
              <w:rPr>
                <w:b w:val="0"/>
                <w:szCs w:val="28"/>
              </w:rPr>
              <w:t>aj</w:t>
            </w:r>
            <w:proofErr w:type="spellEnd"/>
            <w:r>
              <w:rPr>
                <w:b w:val="0"/>
                <w:szCs w:val="28"/>
              </w:rPr>
              <w:t xml:space="preserve"> Coexistence Assurance Document</w:t>
            </w:r>
            <w:bookmarkEnd w:id="0"/>
          </w:p>
        </w:tc>
      </w:tr>
      <w:tr w:rsidR="0098158F" w:rsidRPr="00C46726" w14:paraId="59292E2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239C20" w14:textId="77777777" w:rsidR="0098158F" w:rsidRPr="00C46726" w:rsidRDefault="0098158F" w:rsidP="00B71C53">
            <w:pPr>
              <w:pStyle w:val="T2"/>
              <w:ind w:left="0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Date:</w:t>
            </w:r>
            <w:r w:rsidRPr="00C46726">
              <w:rPr>
                <w:b w:val="0"/>
                <w:sz w:val="20"/>
                <w:lang w:val="en-US"/>
              </w:rPr>
              <w:t xml:space="preserve">  20</w:t>
            </w:r>
            <w:r w:rsidR="00170B84">
              <w:rPr>
                <w:b w:val="0"/>
                <w:sz w:val="20"/>
                <w:lang w:val="en-US"/>
              </w:rPr>
              <w:t>1</w:t>
            </w:r>
            <w:r w:rsidR="00B71C53">
              <w:rPr>
                <w:b w:val="0"/>
                <w:sz w:val="20"/>
                <w:lang w:val="en-US"/>
              </w:rPr>
              <w:t>5</w:t>
            </w:r>
            <w:r w:rsidR="00602AE6" w:rsidRPr="00C46726">
              <w:rPr>
                <w:b w:val="0"/>
                <w:sz w:val="20"/>
                <w:lang w:val="en-US"/>
              </w:rPr>
              <w:t>-</w:t>
            </w:r>
            <w:r w:rsidR="00B71C53">
              <w:rPr>
                <w:b w:val="0"/>
                <w:sz w:val="20"/>
                <w:lang w:val="en-US"/>
              </w:rPr>
              <w:t>12</w:t>
            </w:r>
            <w:r w:rsidRPr="00C46726">
              <w:rPr>
                <w:b w:val="0"/>
                <w:sz w:val="20"/>
                <w:lang w:val="en-US"/>
              </w:rPr>
              <w:t>-</w:t>
            </w:r>
            <w:r w:rsidR="00D92DAB">
              <w:rPr>
                <w:b w:val="0"/>
                <w:sz w:val="20"/>
                <w:lang w:val="en-US"/>
              </w:rPr>
              <w:t>0</w:t>
            </w:r>
            <w:r w:rsidR="00B71C53">
              <w:rPr>
                <w:b w:val="0"/>
                <w:sz w:val="20"/>
                <w:lang w:val="en-US"/>
              </w:rPr>
              <w:t>1</w:t>
            </w:r>
          </w:p>
        </w:tc>
      </w:tr>
      <w:tr w:rsidR="0098158F" w:rsidRPr="00C46726" w14:paraId="0FA68BC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BDD30D1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98158F" w:rsidRPr="00C46726" w14:paraId="04A899ED" w14:textId="77777777">
        <w:trPr>
          <w:jc w:val="center"/>
        </w:trPr>
        <w:tc>
          <w:tcPr>
            <w:tcW w:w="1336" w:type="dxa"/>
            <w:vAlign w:val="center"/>
          </w:tcPr>
          <w:p w14:paraId="034E3B6D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14:paraId="6B4A730D" w14:textId="77777777" w:rsidR="0098158F" w:rsidRPr="00C46726" w:rsidRDefault="00C80533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Affiliation</w:t>
            </w:r>
          </w:p>
        </w:tc>
        <w:tc>
          <w:tcPr>
            <w:tcW w:w="2288" w:type="dxa"/>
            <w:vAlign w:val="center"/>
          </w:tcPr>
          <w:p w14:paraId="222CAB3E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1508" w:type="dxa"/>
            <w:vAlign w:val="center"/>
          </w:tcPr>
          <w:p w14:paraId="26B23B1F" w14:textId="77777777" w:rsidR="0098158F" w:rsidRPr="00C46726" w:rsidRDefault="0098158F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2380" w:type="dxa"/>
            <w:vAlign w:val="center"/>
          </w:tcPr>
          <w:p w14:paraId="1E92E6AF" w14:textId="77777777" w:rsidR="0098158F" w:rsidRPr="00C46726" w:rsidRDefault="00FE4C03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E</w:t>
            </w:r>
            <w:r w:rsidR="0098158F" w:rsidRPr="00C46726">
              <w:rPr>
                <w:sz w:val="20"/>
                <w:lang w:val="en-US"/>
              </w:rPr>
              <w:t>mail</w:t>
            </w:r>
          </w:p>
        </w:tc>
      </w:tr>
      <w:tr w:rsidR="0098158F" w:rsidRPr="00C46726" w14:paraId="6367DC27" w14:textId="77777777">
        <w:trPr>
          <w:jc w:val="center"/>
        </w:trPr>
        <w:tc>
          <w:tcPr>
            <w:tcW w:w="1336" w:type="dxa"/>
            <w:vAlign w:val="center"/>
          </w:tcPr>
          <w:p w14:paraId="5325BE1D" w14:textId="77777777" w:rsidR="0098158F" w:rsidRPr="00C10E1A" w:rsidRDefault="00B71C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Xiaoming Peng</w:t>
            </w:r>
          </w:p>
        </w:tc>
        <w:tc>
          <w:tcPr>
            <w:tcW w:w="2064" w:type="dxa"/>
            <w:vAlign w:val="center"/>
          </w:tcPr>
          <w:p w14:paraId="69FB2E08" w14:textId="77777777" w:rsidR="0098158F" w:rsidRPr="00C10E1A" w:rsidRDefault="00B71C53" w:rsidP="00A22C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Institute for Infocomm Research</w:t>
            </w:r>
          </w:p>
        </w:tc>
        <w:tc>
          <w:tcPr>
            <w:tcW w:w="2288" w:type="dxa"/>
            <w:vAlign w:val="center"/>
          </w:tcPr>
          <w:p w14:paraId="6421DE64" w14:textId="77777777" w:rsidR="0098158F" w:rsidRPr="00B71C53" w:rsidRDefault="00B71C53" w:rsidP="00C10E1A">
            <w:pPr>
              <w:pStyle w:val="covertext"/>
              <w:spacing w:before="0" w:after="0"/>
              <w:rPr>
                <w:rFonts w:eastAsia="MS Mincho"/>
                <w:b/>
                <w:sz w:val="20"/>
              </w:rPr>
            </w:pPr>
            <w:r w:rsidRPr="00B71C53">
              <w:rPr>
                <w:rFonts w:ascii="Arial" w:hAnsi="Arial" w:cs="Arial"/>
                <w:sz w:val="20"/>
                <w:szCs w:val="22"/>
              </w:rPr>
              <w:t>1 Fusionopolis Way, #21-01 Connexis (South Tower) Singapore 138632</w:t>
            </w:r>
          </w:p>
        </w:tc>
        <w:tc>
          <w:tcPr>
            <w:tcW w:w="1508" w:type="dxa"/>
            <w:vAlign w:val="center"/>
          </w:tcPr>
          <w:p w14:paraId="025D9B57" w14:textId="77777777" w:rsidR="0098158F" w:rsidRPr="00C10E1A" w:rsidRDefault="00B71C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65-64082429</w:t>
            </w:r>
          </w:p>
        </w:tc>
        <w:tc>
          <w:tcPr>
            <w:tcW w:w="2380" w:type="dxa"/>
            <w:vAlign w:val="center"/>
          </w:tcPr>
          <w:p w14:paraId="5C1D197E" w14:textId="77777777" w:rsidR="0098158F" w:rsidRPr="00C10E1A" w:rsidRDefault="00B71C53" w:rsidP="00743AC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pengxm@i2r.a-star.edu.sg</w:t>
            </w:r>
          </w:p>
        </w:tc>
      </w:tr>
      <w:tr w:rsidR="000E47CD" w:rsidRPr="00C46726" w14:paraId="1524CBA5" w14:textId="77777777">
        <w:trPr>
          <w:jc w:val="center"/>
        </w:trPr>
        <w:tc>
          <w:tcPr>
            <w:tcW w:w="1336" w:type="dxa"/>
            <w:vAlign w:val="center"/>
          </w:tcPr>
          <w:p w14:paraId="2275ABCC" w14:textId="77777777" w:rsidR="000E47CD" w:rsidRDefault="000E47C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Haiming Wang</w:t>
            </w:r>
          </w:p>
        </w:tc>
        <w:tc>
          <w:tcPr>
            <w:tcW w:w="2064" w:type="dxa"/>
            <w:vAlign w:val="center"/>
          </w:tcPr>
          <w:p w14:paraId="174C6C9B" w14:textId="77777777" w:rsidR="000E47CD" w:rsidRDefault="000E47CD" w:rsidP="00A22C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SEU</w:t>
            </w:r>
          </w:p>
        </w:tc>
        <w:tc>
          <w:tcPr>
            <w:tcW w:w="2288" w:type="dxa"/>
            <w:vAlign w:val="center"/>
          </w:tcPr>
          <w:p w14:paraId="69EF3253" w14:textId="77777777" w:rsidR="000E47CD" w:rsidRPr="00B71C53" w:rsidRDefault="000E47CD" w:rsidP="00C10E1A">
            <w:pPr>
              <w:pStyle w:val="covertext"/>
              <w:spacing w:before="0" w:after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08" w:type="dxa"/>
            <w:vAlign w:val="center"/>
          </w:tcPr>
          <w:p w14:paraId="186A86F3" w14:textId="77777777" w:rsidR="000E47CD" w:rsidRDefault="000E47C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80" w:type="dxa"/>
            <w:vAlign w:val="center"/>
          </w:tcPr>
          <w:p w14:paraId="49C7E83A" w14:textId="77777777" w:rsidR="000E47CD" w:rsidRDefault="000E47CD" w:rsidP="00743AC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  <w:tr w:rsidR="000E47CD" w:rsidRPr="00C46726" w14:paraId="43F92204" w14:textId="77777777">
        <w:trPr>
          <w:jc w:val="center"/>
        </w:trPr>
        <w:tc>
          <w:tcPr>
            <w:tcW w:w="1336" w:type="dxa"/>
            <w:vAlign w:val="center"/>
          </w:tcPr>
          <w:p w14:paraId="3FA532DC" w14:textId="77777777" w:rsidR="000E47CD" w:rsidRDefault="000E47C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Jiamin Chen</w:t>
            </w:r>
          </w:p>
        </w:tc>
        <w:tc>
          <w:tcPr>
            <w:tcW w:w="2064" w:type="dxa"/>
            <w:vAlign w:val="center"/>
          </w:tcPr>
          <w:p w14:paraId="3F9D0B6C" w14:textId="77777777" w:rsidR="000E47CD" w:rsidRDefault="000E47CD" w:rsidP="00A22C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Huawei</w:t>
            </w:r>
          </w:p>
        </w:tc>
        <w:tc>
          <w:tcPr>
            <w:tcW w:w="2288" w:type="dxa"/>
            <w:vAlign w:val="center"/>
          </w:tcPr>
          <w:p w14:paraId="06CBFE7D" w14:textId="77777777" w:rsidR="000E47CD" w:rsidRPr="00B71C53" w:rsidRDefault="000E47CD" w:rsidP="00C10E1A">
            <w:pPr>
              <w:pStyle w:val="covertext"/>
              <w:spacing w:before="0" w:after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08" w:type="dxa"/>
            <w:vAlign w:val="center"/>
          </w:tcPr>
          <w:p w14:paraId="5AEEA320" w14:textId="77777777" w:rsidR="000E47CD" w:rsidRDefault="000E47C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380" w:type="dxa"/>
            <w:vAlign w:val="center"/>
          </w:tcPr>
          <w:p w14:paraId="0FF4F8CA" w14:textId="77777777" w:rsidR="000E47CD" w:rsidRDefault="000E47CD" w:rsidP="00743AC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</w:tbl>
    <w:p w14:paraId="479ADBFA" w14:textId="77777777" w:rsidR="0098158F" w:rsidRPr="00C46726" w:rsidRDefault="00914EFD">
      <w:pPr>
        <w:pStyle w:val="T1"/>
        <w:spacing w:after="120"/>
        <w:rPr>
          <w:sz w:val="22"/>
          <w:lang w:val="en-US"/>
        </w:rPr>
      </w:pPr>
      <w:r w:rsidRPr="00C467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18C43FD" wp14:editId="1D190D6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BE36F" w14:textId="77777777" w:rsidR="00693F14" w:rsidRDefault="00693F1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480E8BF" w14:textId="77777777" w:rsidR="00693F14" w:rsidRDefault="00693F14" w:rsidP="006940FD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This serves as the coexistence assurance document for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TGaj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in meeting the requirement of the 5 criteria.</w:t>
                            </w:r>
                          </w:p>
                          <w:p w14:paraId="406DD5E8" w14:textId="77777777" w:rsidR="00693F14" w:rsidRDefault="00693F14" w:rsidP="0047516D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693F14" w:rsidRDefault="00693F1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93F14" w:rsidRDefault="00693F14" w:rsidP="006940FD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This serves as the coexistence assurance document for </w:t>
                      </w:r>
                      <w:proofErr w:type="spellStart"/>
                      <w:r>
                        <w:rPr>
                          <w:szCs w:val="24"/>
                        </w:rPr>
                        <w:t>TGaj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in meeting the requirement of the 5 criteria.</w:t>
                      </w:r>
                    </w:p>
                    <w:p w:rsidR="00693F14" w:rsidRDefault="00693F14" w:rsidP="0047516D">
                      <w:pPr>
                        <w:jc w:val="both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F5EE93" w14:textId="77777777" w:rsidR="0098158F" w:rsidRPr="00C46726" w:rsidRDefault="0098158F">
      <w:pPr>
        <w:rPr>
          <w:lang w:val="en-US"/>
        </w:rPr>
      </w:pPr>
      <w:r w:rsidRPr="00C46726">
        <w:rPr>
          <w:lang w:val="en-US"/>
        </w:rPr>
        <w:br w:type="page"/>
      </w:r>
    </w:p>
    <w:p w14:paraId="67CE2E54" w14:textId="77777777" w:rsidR="0047516D" w:rsidRDefault="00233A0D" w:rsidP="00233A0D">
      <w:pPr>
        <w:pStyle w:val="Heading1"/>
        <w:rPr>
          <w:lang w:val="en-US"/>
        </w:rPr>
      </w:pPr>
      <w:r>
        <w:rPr>
          <w:lang w:val="en-US"/>
        </w:rPr>
        <w:lastRenderedPageBreak/>
        <w:t>Introduction</w:t>
      </w:r>
    </w:p>
    <w:p w14:paraId="6BD43DCE" w14:textId="77777777" w:rsidR="00514B8A" w:rsidRDefault="00514B8A" w:rsidP="000E47CD">
      <w:pPr>
        <w:jc w:val="both"/>
        <w:rPr>
          <w:lang w:val="en-US"/>
        </w:rPr>
      </w:pPr>
    </w:p>
    <w:p w14:paraId="4853FA40" w14:textId="77777777" w:rsidR="008374B4" w:rsidRDefault="008374B4" w:rsidP="00514B8A">
      <w:pPr>
        <w:jc w:val="both"/>
        <w:rPr>
          <w:lang w:val="en-US"/>
        </w:rPr>
      </w:pPr>
      <w:r>
        <w:rPr>
          <w:lang w:val="en-US"/>
        </w:rPr>
        <w:t>This document addres</w:t>
      </w:r>
      <w:r w:rsidR="00B71C53">
        <w:rPr>
          <w:lang w:val="en-US"/>
        </w:rPr>
        <w:t>ses coexistence of IEEE 802.11aj</w:t>
      </w:r>
      <w:r>
        <w:rPr>
          <w:lang w:val="en-US"/>
        </w:rPr>
        <w:t xml:space="preserve"> per the PAR and 5C’s</w:t>
      </w:r>
      <w:r w:rsidR="00B71C53">
        <w:rPr>
          <w:lang w:val="en-US"/>
        </w:rPr>
        <w:t xml:space="preserve"> [1</w:t>
      </w:r>
      <w:r w:rsidR="00FE4C03">
        <w:rPr>
          <w:lang w:val="en-US"/>
        </w:rPr>
        <w:t>]</w:t>
      </w:r>
      <w:r w:rsidR="00B71C53">
        <w:rPr>
          <w:lang w:val="en-US"/>
        </w:rPr>
        <w:t xml:space="preserve"> [2]</w:t>
      </w:r>
      <w:r w:rsidR="00A471F4">
        <w:rPr>
          <w:lang w:val="en-US"/>
        </w:rPr>
        <w:t xml:space="preserve"> [3]</w:t>
      </w:r>
      <w:r>
        <w:rPr>
          <w:lang w:val="en-US"/>
        </w:rPr>
        <w:t>.  Th</w:t>
      </w:r>
      <w:r w:rsidR="00127E39">
        <w:rPr>
          <w:lang w:val="en-US"/>
        </w:rPr>
        <w:t>e rele</w:t>
      </w:r>
      <w:r>
        <w:rPr>
          <w:lang w:val="en-US"/>
        </w:rPr>
        <w:t>vent sections of each are outlined below:</w:t>
      </w:r>
    </w:p>
    <w:p w14:paraId="58B4512D" w14:textId="77777777" w:rsidR="00E30C40" w:rsidRDefault="00E30C40" w:rsidP="000E47CD">
      <w:pPr>
        <w:numPr>
          <w:ilvl w:val="0"/>
          <w:numId w:val="23"/>
        </w:numPr>
        <w:jc w:val="both"/>
        <w:rPr>
          <w:lang w:val="en-US"/>
        </w:rPr>
      </w:pPr>
      <w:r>
        <w:rPr>
          <w:lang w:val="en-US"/>
        </w:rPr>
        <w:t>PAR scope:</w:t>
      </w:r>
    </w:p>
    <w:p w14:paraId="189B02B7" w14:textId="77777777" w:rsidR="00B71C53" w:rsidRDefault="00B71C53" w:rsidP="000E47CD">
      <w:pPr>
        <w:numPr>
          <w:ilvl w:val="1"/>
          <w:numId w:val="23"/>
        </w:numPr>
        <w:jc w:val="both"/>
      </w:pPr>
      <w:r>
        <w:t xml:space="preserve">Maintains backward compatibility with 802.11ad when it operates in the </w:t>
      </w:r>
      <w:r w:rsidRPr="004F0826">
        <w:t>59-64</w:t>
      </w:r>
      <w:r>
        <w:t xml:space="preserve"> </w:t>
      </w:r>
      <w:r w:rsidRPr="004F0826">
        <w:t>GHz frequency</w:t>
      </w:r>
      <w:r>
        <w:t xml:space="preserve"> band. </w:t>
      </w:r>
    </w:p>
    <w:p w14:paraId="0DC3F861" w14:textId="77777777" w:rsidR="000A390F" w:rsidRDefault="000A390F" w:rsidP="000E47CD">
      <w:pPr>
        <w:numPr>
          <w:ilvl w:val="0"/>
          <w:numId w:val="23"/>
        </w:numPr>
        <w:jc w:val="both"/>
      </w:pPr>
      <w:r>
        <w:t>5C’s:</w:t>
      </w:r>
    </w:p>
    <w:p w14:paraId="321C692C" w14:textId="77777777" w:rsidR="000A390F" w:rsidRPr="00B71C53" w:rsidRDefault="000A390F" w:rsidP="000E47CD">
      <w:pPr>
        <w:numPr>
          <w:ilvl w:val="1"/>
          <w:numId w:val="23"/>
        </w:numPr>
        <w:jc w:val="both"/>
        <w:rPr>
          <w:sz w:val="20"/>
          <w:lang w:val="en-US"/>
        </w:rPr>
      </w:pPr>
      <w:r w:rsidRPr="00FE4C03">
        <w:rPr>
          <w:szCs w:val="24"/>
          <w:lang w:val="en-US" w:eastAsia="ja-JP"/>
        </w:rPr>
        <w:t>The working group will create a CA document as part of the WG balloting process.  The definition for coexistence is as defined in 802.15.2, with the shared environment being the</w:t>
      </w:r>
      <w:r w:rsidR="00B71C53">
        <w:rPr>
          <w:szCs w:val="24"/>
          <w:lang w:val="en-US" w:eastAsia="ja-JP"/>
        </w:rPr>
        <w:t xml:space="preserve"> 43.5-47 GHz and</w:t>
      </w:r>
      <w:r w:rsidRPr="00FE4C03">
        <w:rPr>
          <w:szCs w:val="24"/>
          <w:lang w:val="en-US" w:eastAsia="ja-JP"/>
        </w:rPr>
        <w:t xml:space="preserve"> 60 GHz band in home and enterprise.</w:t>
      </w:r>
    </w:p>
    <w:p w14:paraId="06FB7EDA" w14:textId="77777777" w:rsidR="00E30C40" w:rsidRDefault="00E30C40" w:rsidP="000E47CD">
      <w:pPr>
        <w:jc w:val="both"/>
        <w:rPr>
          <w:lang w:val="en-US"/>
        </w:rPr>
      </w:pPr>
    </w:p>
    <w:p w14:paraId="793E17B5" w14:textId="77777777" w:rsidR="00170B84" w:rsidRDefault="00FE4C03" w:rsidP="000E47CD">
      <w:pPr>
        <w:jc w:val="both"/>
        <w:rPr>
          <w:lang w:val="en-US"/>
        </w:rPr>
      </w:pPr>
      <w:r>
        <w:rPr>
          <w:lang w:val="en-US"/>
        </w:rPr>
        <w:t xml:space="preserve">In </w:t>
      </w:r>
      <w:r w:rsidR="00B71C53">
        <w:rPr>
          <w:lang w:val="en-US"/>
        </w:rPr>
        <w:t>802.11aj</w:t>
      </w:r>
      <w:r>
        <w:rPr>
          <w:lang w:val="en-US"/>
        </w:rPr>
        <w:t xml:space="preserve"> [1]</w:t>
      </w:r>
      <w:r w:rsidR="00266155">
        <w:rPr>
          <w:lang w:val="en-US"/>
        </w:rPr>
        <w:t xml:space="preserve">, </w:t>
      </w:r>
      <w:r w:rsidR="0012370A">
        <w:rPr>
          <w:lang w:val="en-US"/>
        </w:rPr>
        <w:t xml:space="preserve">clause </w:t>
      </w:r>
      <w:r w:rsidR="00F11326">
        <w:rPr>
          <w:rFonts w:eastAsia="宋体" w:hint="eastAsia"/>
          <w:lang w:val="en-US" w:eastAsia="zh-CN"/>
        </w:rPr>
        <w:t xml:space="preserve">9, </w:t>
      </w:r>
      <w:r w:rsidR="006D6203">
        <w:rPr>
          <w:lang w:val="en-US"/>
        </w:rPr>
        <w:t>25</w:t>
      </w:r>
      <w:r w:rsidR="00266155">
        <w:rPr>
          <w:lang w:val="en-US"/>
        </w:rPr>
        <w:t xml:space="preserve"> </w:t>
      </w:r>
      <w:r w:rsidR="00175624">
        <w:rPr>
          <w:lang w:val="en-US"/>
        </w:rPr>
        <w:t xml:space="preserve">and 26 </w:t>
      </w:r>
      <w:r w:rsidR="00266155">
        <w:rPr>
          <w:lang w:val="en-US"/>
        </w:rPr>
        <w:t xml:space="preserve">provide an overview of the features available in the specification that address coexistence with other mmWave technologies, including </w:t>
      </w:r>
      <w:r w:rsidR="00A07D24">
        <w:rPr>
          <w:lang w:val="en-US"/>
        </w:rPr>
        <w:t xml:space="preserve">802.11ad </w:t>
      </w:r>
      <w:r w:rsidR="00A471F4">
        <w:rPr>
          <w:lang w:val="en-US"/>
        </w:rPr>
        <w:t>[4</w:t>
      </w:r>
      <w:r w:rsidR="000E47CD">
        <w:rPr>
          <w:lang w:val="en-US"/>
        </w:rPr>
        <w:t xml:space="preserve">] </w:t>
      </w:r>
      <w:r w:rsidR="00A07D24">
        <w:rPr>
          <w:lang w:val="en-US"/>
        </w:rPr>
        <w:t xml:space="preserve">and </w:t>
      </w:r>
      <w:r w:rsidR="00266155">
        <w:rPr>
          <w:lang w:val="en-US"/>
        </w:rPr>
        <w:t>802.15.3c</w:t>
      </w:r>
      <w:r>
        <w:rPr>
          <w:lang w:val="en-US"/>
        </w:rPr>
        <w:t xml:space="preserve"> [</w:t>
      </w:r>
      <w:r w:rsidR="00A471F4">
        <w:rPr>
          <w:lang w:val="en-US"/>
        </w:rPr>
        <w:t>5</w:t>
      </w:r>
      <w:r>
        <w:rPr>
          <w:lang w:val="en-US"/>
        </w:rPr>
        <w:t>]</w:t>
      </w:r>
      <w:r w:rsidR="00266155">
        <w:rPr>
          <w:lang w:val="en-US"/>
        </w:rPr>
        <w:t xml:space="preserve">.  These </w:t>
      </w:r>
      <w:r w:rsidR="00A22C92">
        <w:rPr>
          <w:lang w:val="en-US"/>
        </w:rPr>
        <w:t xml:space="preserve">features </w:t>
      </w:r>
      <w:r w:rsidR="00266155">
        <w:rPr>
          <w:lang w:val="en-US"/>
        </w:rPr>
        <w:t>will be highlighted in the sections below.</w:t>
      </w:r>
    </w:p>
    <w:p w14:paraId="5E206287" w14:textId="77777777" w:rsidR="00233A0D" w:rsidRDefault="00170B84" w:rsidP="00233A0D">
      <w:pPr>
        <w:pStyle w:val="Heading1"/>
        <w:rPr>
          <w:lang w:val="en-US"/>
        </w:rPr>
      </w:pPr>
      <w:r>
        <w:rPr>
          <w:lang w:val="en-US"/>
        </w:rPr>
        <w:t>Channelization</w:t>
      </w:r>
    </w:p>
    <w:p w14:paraId="1B70C4EA" w14:textId="77777777" w:rsidR="006D6203" w:rsidRDefault="006D6203" w:rsidP="000E47CD">
      <w:pPr>
        <w:jc w:val="both"/>
        <w:rPr>
          <w:lang w:val="en-US"/>
        </w:rPr>
      </w:pPr>
    </w:p>
    <w:p w14:paraId="503EFFC0" w14:textId="77777777" w:rsidR="00693F14" w:rsidRDefault="006D6203" w:rsidP="000E47CD">
      <w:pPr>
        <w:jc w:val="both"/>
        <w:rPr>
          <w:lang w:val="en-US"/>
        </w:rPr>
      </w:pPr>
      <w:r>
        <w:rPr>
          <w:lang w:val="en-US"/>
        </w:rPr>
        <w:t xml:space="preserve">When 802.11aj </w:t>
      </w:r>
      <w:proofErr w:type="spellStart"/>
      <w:r>
        <w:rPr>
          <w:lang w:val="en-US"/>
        </w:rPr>
        <w:t>operats</w:t>
      </w:r>
      <w:proofErr w:type="spellEnd"/>
      <w:r>
        <w:rPr>
          <w:lang w:val="en-US"/>
        </w:rPr>
        <w:t xml:space="preserve"> </w:t>
      </w:r>
      <w:r w:rsidR="003B318C">
        <w:rPr>
          <w:rFonts w:eastAsia="宋体" w:hint="eastAsia"/>
          <w:lang w:val="en-US" w:eastAsia="zh-CN"/>
        </w:rPr>
        <w:t>on 2.16</w:t>
      </w:r>
      <w:r w:rsidR="005418B3">
        <w:rPr>
          <w:rFonts w:eastAsia="宋体"/>
          <w:lang w:val="en-US" w:eastAsia="zh-CN"/>
        </w:rPr>
        <w:t xml:space="preserve"> </w:t>
      </w:r>
      <w:r w:rsidR="003B318C">
        <w:rPr>
          <w:rFonts w:eastAsia="宋体" w:hint="eastAsia"/>
          <w:lang w:val="en-US" w:eastAsia="zh-CN"/>
        </w:rPr>
        <w:t xml:space="preserve">GHz </w:t>
      </w:r>
      <w:r w:rsidR="00B64181">
        <w:rPr>
          <w:rFonts w:eastAsia="宋体" w:hint="eastAsia"/>
          <w:lang w:val="en-US" w:eastAsia="zh-CN"/>
        </w:rPr>
        <w:t>channel</w:t>
      </w:r>
      <w:r w:rsidR="003B318C">
        <w:rPr>
          <w:rFonts w:eastAsia="宋体" w:hint="eastAsia"/>
          <w:lang w:val="en-US" w:eastAsia="zh-CN"/>
        </w:rPr>
        <w:t xml:space="preserve"> </w:t>
      </w:r>
      <w:r>
        <w:rPr>
          <w:lang w:val="en-US"/>
        </w:rPr>
        <w:t xml:space="preserve">in </w:t>
      </w:r>
      <w:r w:rsidR="005418B3">
        <w:rPr>
          <w:lang w:val="en-US"/>
        </w:rPr>
        <w:t xml:space="preserve">the </w:t>
      </w:r>
      <w:r>
        <w:rPr>
          <w:lang w:val="en-US"/>
        </w:rPr>
        <w:t>60</w:t>
      </w:r>
      <w:r w:rsidR="005418B3">
        <w:rPr>
          <w:lang w:val="en-US"/>
        </w:rPr>
        <w:t xml:space="preserve"> </w:t>
      </w:r>
      <w:r>
        <w:rPr>
          <w:lang w:val="en-US"/>
        </w:rPr>
        <w:t>G</w:t>
      </w:r>
      <w:r w:rsidR="005418B3">
        <w:rPr>
          <w:lang w:val="en-US"/>
        </w:rPr>
        <w:t>H</w:t>
      </w:r>
      <w:r>
        <w:rPr>
          <w:lang w:val="en-US"/>
        </w:rPr>
        <w:t>z frequency band,</w:t>
      </w:r>
      <w:r w:rsidR="00175624">
        <w:rPr>
          <w:lang w:val="en-US"/>
        </w:rPr>
        <w:t xml:space="preserve"> </w:t>
      </w:r>
      <w:r w:rsidR="001B5559">
        <w:rPr>
          <w:rFonts w:eastAsia="宋体" w:hint="eastAsia"/>
          <w:lang w:val="en-US" w:eastAsia="zh-CN"/>
        </w:rPr>
        <w:t>to enhance coexistence,</w:t>
      </w:r>
      <w:r w:rsidR="001B5559">
        <w:rPr>
          <w:lang w:val="en-US"/>
        </w:rPr>
        <w:t xml:space="preserve"> </w:t>
      </w:r>
      <w:r w:rsidR="00175624">
        <w:rPr>
          <w:lang w:val="en-US"/>
        </w:rPr>
        <w:t>it keeps the same 2.16</w:t>
      </w:r>
      <w:r w:rsidR="005418B3">
        <w:rPr>
          <w:lang w:val="en-US"/>
        </w:rPr>
        <w:t xml:space="preserve"> </w:t>
      </w:r>
      <w:r w:rsidR="00175624">
        <w:rPr>
          <w:lang w:val="en-US"/>
        </w:rPr>
        <w:t>GHz channel spacing with the same common challeization as what is defined in Clause 21 for 802.11ad</w:t>
      </w:r>
      <w:r w:rsidR="00A471F4">
        <w:rPr>
          <w:lang w:val="en-US"/>
        </w:rPr>
        <w:t xml:space="preserve"> [4</w:t>
      </w:r>
      <w:r w:rsidR="00175624">
        <w:rPr>
          <w:lang w:val="en-US"/>
        </w:rPr>
        <w:t>]</w:t>
      </w:r>
      <w:r w:rsidR="001B5559">
        <w:rPr>
          <w:rFonts w:eastAsia="宋体" w:hint="eastAsia"/>
          <w:lang w:val="en-US" w:eastAsia="zh-CN"/>
        </w:rPr>
        <w:t>.</w:t>
      </w:r>
      <w:r w:rsidR="003B318C">
        <w:rPr>
          <w:rFonts w:eastAsia="宋体" w:hint="eastAsia"/>
          <w:lang w:val="en-US" w:eastAsia="zh-CN"/>
        </w:rPr>
        <w:t xml:space="preserve"> </w:t>
      </w:r>
      <w:r w:rsidR="00B64181">
        <w:rPr>
          <w:rFonts w:eastAsia="宋体" w:hint="eastAsia"/>
          <w:lang w:val="en-US" w:eastAsia="zh-CN"/>
        </w:rPr>
        <w:t>W</w:t>
      </w:r>
      <w:r w:rsidR="00175624">
        <w:rPr>
          <w:lang w:val="en-US"/>
        </w:rPr>
        <w:t xml:space="preserve">hile adopting 1.08GHz channel as described in Clause 25 for 802.11aj [1], </w:t>
      </w:r>
      <w:r w:rsidR="00F07147">
        <w:rPr>
          <w:rFonts w:eastAsia="宋体" w:hint="eastAsia"/>
          <w:lang w:val="en-US" w:eastAsia="zh-CN"/>
        </w:rPr>
        <w:t xml:space="preserve">802.11aj </w:t>
      </w:r>
      <w:proofErr w:type="gramStart"/>
      <w:r w:rsidR="00F07147">
        <w:rPr>
          <w:rFonts w:eastAsia="宋体" w:hint="eastAsia"/>
          <w:lang w:val="en-US" w:eastAsia="zh-CN"/>
        </w:rPr>
        <w:t xml:space="preserve">ensures </w:t>
      </w:r>
      <w:r w:rsidR="00693F14">
        <w:rPr>
          <w:lang w:val="en-US"/>
        </w:rPr>
        <w:t xml:space="preserve"> coexistence</w:t>
      </w:r>
      <w:proofErr w:type="gramEnd"/>
      <w:r w:rsidR="00C76520">
        <w:rPr>
          <w:lang w:val="en-US"/>
        </w:rPr>
        <w:t xml:space="preserve"> with 802.11ad</w:t>
      </w:r>
      <w:r w:rsidR="00F07147">
        <w:rPr>
          <w:rFonts w:eastAsia="宋体" w:hint="eastAsia"/>
          <w:lang w:val="en-US" w:eastAsia="zh-CN"/>
        </w:rPr>
        <w:t xml:space="preserve"> by using DBC </w:t>
      </w:r>
      <w:r w:rsidR="00F07147">
        <w:rPr>
          <w:rFonts w:eastAsia="宋体"/>
          <w:lang w:val="en-US" w:eastAsia="zh-CN"/>
        </w:rPr>
        <w:t>mechanism</w:t>
      </w:r>
      <w:r w:rsidR="00F07147">
        <w:rPr>
          <w:rFonts w:eastAsia="宋体" w:hint="eastAsia"/>
          <w:lang w:val="en-US" w:eastAsia="zh-CN"/>
        </w:rPr>
        <w:t xml:space="preserve"> defined in clause 9</w:t>
      </w:r>
      <w:r w:rsidR="001B5559">
        <w:rPr>
          <w:rFonts w:eastAsia="宋体" w:hint="eastAsia"/>
          <w:lang w:val="en-US" w:eastAsia="zh-CN"/>
        </w:rPr>
        <w:t xml:space="preserve"> in 802.11aj [1]</w:t>
      </w:r>
      <w:r w:rsidR="00C76520">
        <w:rPr>
          <w:lang w:val="en-US"/>
        </w:rPr>
        <w:t>.</w:t>
      </w:r>
      <w:r w:rsidR="00AD7213">
        <w:rPr>
          <w:lang w:val="en-US"/>
        </w:rPr>
        <w:t xml:space="preserve"> </w:t>
      </w:r>
      <w:r w:rsidR="00693F14">
        <w:rPr>
          <w:lang w:val="en-US"/>
        </w:rPr>
        <w:t xml:space="preserve">As 802.11ad has already addressed the </w:t>
      </w:r>
      <w:r w:rsidR="00C76520">
        <w:rPr>
          <w:lang w:val="en-US"/>
        </w:rPr>
        <w:t xml:space="preserve">co-existence with 802.15.3c </w:t>
      </w:r>
      <w:r w:rsidR="00A471F4">
        <w:rPr>
          <w:lang w:val="en-US"/>
        </w:rPr>
        <w:t>[4] [5</w:t>
      </w:r>
      <w:r w:rsidR="00693F14">
        <w:rPr>
          <w:lang w:val="en-US"/>
        </w:rPr>
        <w:t>], therefore 802.11aj enables the co-existence with 802.15.3c accordingly</w:t>
      </w:r>
      <w:r w:rsidR="00C76520">
        <w:rPr>
          <w:lang w:val="en-US"/>
        </w:rPr>
        <w:t xml:space="preserve">. </w:t>
      </w:r>
    </w:p>
    <w:p w14:paraId="1BE6522D" w14:textId="77777777" w:rsidR="00266155" w:rsidRDefault="00266155" w:rsidP="000E47CD">
      <w:pPr>
        <w:jc w:val="both"/>
        <w:rPr>
          <w:lang w:val="en-US"/>
        </w:rPr>
      </w:pPr>
    </w:p>
    <w:p w14:paraId="6DEB51A0" w14:textId="77777777" w:rsidR="00266155" w:rsidRPr="006B2612" w:rsidRDefault="00266155" w:rsidP="000E47CD">
      <w:pPr>
        <w:jc w:val="both"/>
        <w:rPr>
          <w:rFonts w:eastAsia="宋体"/>
          <w:szCs w:val="23"/>
          <w:lang w:eastAsia="zh-CN"/>
        </w:rPr>
      </w:pPr>
      <w:r w:rsidRPr="00914EFD">
        <w:rPr>
          <w:szCs w:val="23"/>
        </w:rPr>
        <w:t>STAs</w:t>
      </w:r>
      <w:r w:rsidRPr="00175624">
        <w:rPr>
          <w:szCs w:val="23"/>
        </w:rPr>
        <w:t xml:space="preserve"> compliant with the phy</w:t>
      </w:r>
      <w:r w:rsidR="00175624">
        <w:rPr>
          <w:szCs w:val="23"/>
        </w:rPr>
        <w:t>sical layer defined in clause 25</w:t>
      </w:r>
      <w:r w:rsidRPr="00175624">
        <w:rPr>
          <w:szCs w:val="23"/>
        </w:rPr>
        <w:t xml:space="preserve"> </w:t>
      </w:r>
      <w:r w:rsidR="00C63225" w:rsidRPr="00175624">
        <w:rPr>
          <w:szCs w:val="23"/>
        </w:rPr>
        <w:t>of 80</w:t>
      </w:r>
      <w:r w:rsidR="005418B3">
        <w:rPr>
          <w:szCs w:val="23"/>
        </w:rPr>
        <w:t xml:space="preserve"> </w:t>
      </w:r>
      <w:r w:rsidR="00C63225" w:rsidRPr="00175624">
        <w:rPr>
          <w:szCs w:val="23"/>
        </w:rPr>
        <w:t>2.11aj [1</w:t>
      </w:r>
      <w:r w:rsidR="00FE4C03" w:rsidRPr="00175624">
        <w:rPr>
          <w:szCs w:val="23"/>
        </w:rPr>
        <w:t xml:space="preserve">] </w:t>
      </w:r>
      <w:r w:rsidRPr="00175624">
        <w:rPr>
          <w:szCs w:val="23"/>
        </w:rPr>
        <w:t xml:space="preserve">operate in the channels defined in the </w:t>
      </w:r>
      <w:r w:rsidR="00A82B38" w:rsidRPr="00175624">
        <w:rPr>
          <w:szCs w:val="23"/>
        </w:rPr>
        <w:t xml:space="preserve">additional rows introduced into the </w:t>
      </w:r>
      <w:r w:rsidRPr="00175624">
        <w:rPr>
          <w:szCs w:val="23"/>
        </w:rPr>
        <w:t>tables in An</w:t>
      </w:r>
      <w:r w:rsidR="00C63225" w:rsidRPr="00175624">
        <w:rPr>
          <w:szCs w:val="23"/>
        </w:rPr>
        <w:t>nex E</w:t>
      </w:r>
      <w:r w:rsidRPr="00175624">
        <w:rPr>
          <w:szCs w:val="23"/>
        </w:rPr>
        <w:t xml:space="preserve"> </w:t>
      </w:r>
      <w:r w:rsidR="00F973B8" w:rsidRPr="00175624">
        <w:rPr>
          <w:szCs w:val="23"/>
        </w:rPr>
        <w:t xml:space="preserve">of [1] </w:t>
      </w:r>
      <w:r w:rsidRPr="00175624">
        <w:rPr>
          <w:szCs w:val="23"/>
        </w:rPr>
        <w:t>(see below</w:t>
      </w:r>
      <w:r w:rsidR="00C76520" w:rsidRPr="00175624">
        <w:rPr>
          <w:szCs w:val="23"/>
        </w:rPr>
        <w:t xml:space="preserve">) </w:t>
      </w:r>
      <w:r w:rsidR="00C63225" w:rsidRPr="00175624">
        <w:rPr>
          <w:szCs w:val="23"/>
        </w:rPr>
        <w:t xml:space="preserve">when </w:t>
      </w:r>
      <w:r w:rsidR="00253ECF">
        <w:rPr>
          <w:rFonts w:eastAsia="宋体" w:hint="eastAsia"/>
          <w:szCs w:val="23"/>
          <w:lang w:eastAsia="zh-CN"/>
        </w:rPr>
        <w:t>they</w:t>
      </w:r>
      <w:r w:rsidR="00C63225" w:rsidRPr="00914EFD">
        <w:rPr>
          <w:szCs w:val="23"/>
        </w:rPr>
        <w:t xml:space="preserve"> operate</w:t>
      </w:r>
      <w:r w:rsidR="00C63225" w:rsidRPr="00175624">
        <w:rPr>
          <w:szCs w:val="23"/>
        </w:rPr>
        <w:t xml:space="preserve"> in 60GHz frequency band</w:t>
      </w:r>
      <w:r w:rsidRPr="00175624">
        <w:rPr>
          <w:szCs w:val="23"/>
        </w:rPr>
        <w:t>.</w:t>
      </w:r>
    </w:p>
    <w:p w14:paraId="77A759B0" w14:textId="77777777" w:rsidR="000A390F" w:rsidRDefault="000A390F" w:rsidP="0012370A">
      <w:pPr>
        <w:rPr>
          <w:lang w:val="en-US"/>
        </w:rPr>
      </w:pPr>
    </w:p>
    <w:p w14:paraId="6A28AACC" w14:textId="77777777" w:rsidR="00693F14" w:rsidRDefault="00693F14" w:rsidP="00693F14">
      <w:pPr>
        <w:jc w:val="both"/>
        <w:rPr>
          <w:lang w:val="en-US"/>
        </w:rPr>
      </w:pPr>
      <w:r>
        <w:rPr>
          <w:lang w:val="en-US"/>
        </w:rPr>
        <w:t xml:space="preserve">When 802.11aj operates in </w:t>
      </w:r>
      <w:r w:rsidR="005418B3">
        <w:rPr>
          <w:lang w:val="en-US"/>
        </w:rPr>
        <w:t xml:space="preserve">the </w:t>
      </w:r>
      <w:r>
        <w:rPr>
          <w:lang w:val="en-US"/>
        </w:rPr>
        <w:t>45</w:t>
      </w:r>
      <w:r w:rsidR="005418B3">
        <w:rPr>
          <w:lang w:val="en-US"/>
        </w:rPr>
        <w:t xml:space="preserve"> </w:t>
      </w:r>
      <w:r>
        <w:rPr>
          <w:lang w:val="en-US"/>
        </w:rPr>
        <w:t>G</w:t>
      </w:r>
      <w:r w:rsidR="00975F59">
        <w:rPr>
          <w:rFonts w:eastAsia="宋体" w:hint="eastAsia"/>
          <w:lang w:val="en-US" w:eastAsia="zh-CN"/>
        </w:rPr>
        <w:t>H</w:t>
      </w:r>
      <w:r>
        <w:rPr>
          <w:lang w:val="en-US"/>
        </w:rPr>
        <w:t>z frequency band, it adop</w:t>
      </w:r>
      <w:r w:rsidR="00175624">
        <w:rPr>
          <w:lang w:val="en-US"/>
        </w:rPr>
        <w:t xml:space="preserve">ts a new channelization </w:t>
      </w:r>
      <w:r w:rsidR="00A25118" w:rsidRPr="00175624">
        <w:rPr>
          <w:szCs w:val="23"/>
        </w:rPr>
        <w:t>defined in the additional rows introduced into the tables in Annex E of [1] (see below)</w:t>
      </w:r>
      <w:r w:rsidR="007F5E3F">
        <w:rPr>
          <w:rFonts w:eastAsia="宋体" w:hint="eastAsia"/>
          <w:lang w:val="en-US" w:eastAsia="zh-CN"/>
        </w:rPr>
        <w:t xml:space="preserve"> but</w:t>
      </w:r>
      <w:r w:rsidR="00F31721">
        <w:rPr>
          <w:rFonts w:eastAsia="宋体" w:hint="eastAsia"/>
          <w:lang w:val="en-US" w:eastAsia="zh-CN"/>
        </w:rPr>
        <w:t xml:space="preserve"> no </w:t>
      </w:r>
      <w:proofErr w:type="spellStart"/>
      <w:r w:rsidR="00F31721">
        <w:rPr>
          <w:rFonts w:eastAsia="宋体" w:hint="eastAsia"/>
          <w:lang w:val="en-US" w:eastAsia="zh-CN"/>
        </w:rPr>
        <w:t>coexisetence</w:t>
      </w:r>
      <w:proofErr w:type="spellEnd"/>
      <w:r w:rsidR="00F31721">
        <w:rPr>
          <w:rFonts w:eastAsia="宋体" w:hint="eastAsia"/>
          <w:lang w:val="en-US" w:eastAsia="zh-CN"/>
        </w:rPr>
        <w:t xml:space="preserve"> issue</w:t>
      </w:r>
      <w:r w:rsidR="00A471F4">
        <w:rPr>
          <w:lang w:val="en-US"/>
        </w:rPr>
        <w:t xml:space="preserve"> </w:t>
      </w:r>
      <w:r>
        <w:rPr>
          <w:lang w:val="en-US"/>
        </w:rPr>
        <w:t>as there is no other wireless system operating in this 45</w:t>
      </w:r>
      <w:r w:rsidR="005418B3">
        <w:rPr>
          <w:lang w:val="en-US"/>
        </w:rPr>
        <w:t xml:space="preserve"> </w:t>
      </w:r>
      <w:r>
        <w:rPr>
          <w:lang w:val="en-US"/>
        </w:rPr>
        <w:t>GHz frequency band in China</w:t>
      </w:r>
      <w:r w:rsidR="00975F59">
        <w:rPr>
          <w:rFonts w:eastAsia="宋体" w:hint="eastAsia"/>
          <w:lang w:val="en-US" w:eastAsia="zh-CN"/>
        </w:rPr>
        <w:t xml:space="preserve"> at the time 802.11aj</w:t>
      </w:r>
      <w:r w:rsidR="001402C2">
        <w:rPr>
          <w:rFonts w:eastAsia="宋体" w:hint="eastAsia"/>
          <w:lang w:val="en-US" w:eastAsia="zh-CN"/>
        </w:rPr>
        <w:t xml:space="preserve"> </w:t>
      </w:r>
      <w:r w:rsidR="001402C2">
        <w:rPr>
          <w:lang w:val="en-US"/>
        </w:rPr>
        <w:t>[1]</w:t>
      </w:r>
      <w:r w:rsidR="00975F59">
        <w:rPr>
          <w:rFonts w:eastAsia="宋体" w:hint="eastAsia"/>
          <w:lang w:val="en-US" w:eastAsia="zh-CN"/>
        </w:rPr>
        <w:t xml:space="preserve"> was completed</w:t>
      </w:r>
      <w:r>
        <w:rPr>
          <w:lang w:val="en-US"/>
        </w:rPr>
        <w:t xml:space="preserve">. </w:t>
      </w:r>
      <w:r w:rsidRPr="0012370A">
        <w:rPr>
          <w:lang w:val="en-US"/>
        </w:rPr>
        <w:t xml:space="preserve"> </w:t>
      </w:r>
    </w:p>
    <w:p w14:paraId="352D49AC" w14:textId="77777777" w:rsidR="001402C2" w:rsidRDefault="001402C2" w:rsidP="001402C2">
      <w:pPr>
        <w:rPr>
          <w:sz w:val="23"/>
          <w:szCs w:val="23"/>
        </w:rPr>
      </w:pPr>
    </w:p>
    <w:p w14:paraId="2570251A" w14:textId="77777777" w:rsidR="001402C2" w:rsidRDefault="001402C2" w:rsidP="001402C2">
      <w:pPr>
        <w:pStyle w:val="Caption"/>
        <w:jc w:val="center"/>
        <w:rPr>
          <w:sz w:val="28"/>
          <w:szCs w:val="28"/>
        </w:rPr>
      </w:pPr>
      <w:r>
        <w:t xml:space="preserve">Table E-4 – Global operating </w:t>
      </w:r>
      <w:proofErr w:type="spellStart"/>
      <w:r>
        <w:t>classess</w:t>
      </w:r>
      <w:proofErr w:type="spell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521"/>
        <w:gridCol w:w="1417"/>
        <w:gridCol w:w="1276"/>
        <w:gridCol w:w="992"/>
        <w:gridCol w:w="1276"/>
        <w:gridCol w:w="1276"/>
      </w:tblGrid>
      <w:tr w:rsidR="001402C2" w14:paraId="56DA53F8" w14:textId="77777777" w:rsidTr="00256898"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C1336" w14:textId="77777777" w:rsidR="001402C2" w:rsidRPr="00587722" w:rsidRDefault="001402C2" w:rsidP="00256898">
            <w:pPr>
              <w:autoSpaceDE w:val="0"/>
              <w:autoSpaceDN w:val="0"/>
              <w:jc w:val="both"/>
              <w:rPr>
                <w:rFonts w:ascii="TimesNewRoman,Bold" w:eastAsia="Calibri" w:hAnsi="TimesNewRoman,Bold"/>
                <w:b/>
                <w:bCs/>
                <w:sz w:val="18"/>
                <w:szCs w:val="18"/>
              </w:rPr>
            </w:pPr>
            <w:r w:rsidRPr="00587722">
              <w:rPr>
                <w:rFonts w:ascii="TimesNewRoman,Bold" w:hAnsi="TimesNewRoman,Bold"/>
                <w:b/>
                <w:bCs/>
                <w:sz w:val="18"/>
                <w:szCs w:val="18"/>
              </w:rPr>
              <w:t>Operating class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9E45F" w14:textId="77777777" w:rsidR="001402C2" w:rsidRPr="00587722" w:rsidRDefault="001402C2" w:rsidP="00256898">
            <w:pPr>
              <w:autoSpaceDE w:val="0"/>
              <w:autoSpaceDN w:val="0"/>
              <w:jc w:val="both"/>
              <w:rPr>
                <w:rFonts w:ascii="TimesNewRoman,Bold" w:eastAsia="Calibri" w:hAnsi="TimesNewRoman,Bold"/>
                <w:b/>
                <w:bCs/>
                <w:sz w:val="18"/>
                <w:szCs w:val="18"/>
              </w:rPr>
            </w:pPr>
            <w:r w:rsidRPr="00587722">
              <w:rPr>
                <w:rFonts w:ascii="TimesNewRoman,Bold" w:hAnsi="TimesNewRoman,Bold"/>
                <w:b/>
                <w:bCs/>
                <w:sz w:val="18"/>
                <w:szCs w:val="18"/>
              </w:rPr>
              <w:t>Nonglobal operating class(</w:t>
            </w:r>
            <w:proofErr w:type="spellStart"/>
            <w:r w:rsidRPr="00587722">
              <w:rPr>
                <w:rFonts w:ascii="TimesNewRoman,Bold" w:hAnsi="TimesNewRoman,Bold"/>
                <w:b/>
                <w:bCs/>
                <w:sz w:val="18"/>
                <w:szCs w:val="18"/>
              </w:rPr>
              <w:t>es</w:t>
            </w:r>
            <w:proofErr w:type="spellEnd"/>
            <w:r w:rsidRPr="00587722">
              <w:rPr>
                <w:rFonts w:ascii="TimesNewRoman,Bold" w:hAnsi="TimesNewRoman,Bold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ADD9D" w14:textId="77777777" w:rsidR="001402C2" w:rsidRPr="00587722" w:rsidRDefault="001402C2" w:rsidP="00256898">
            <w:pPr>
              <w:autoSpaceDE w:val="0"/>
              <w:autoSpaceDN w:val="0"/>
              <w:jc w:val="both"/>
              <w:rPr>
                <w:rFonts w:ascii="TimesNewRoman,Bold" w:eastAsia="Calibri" w:hAnsi="TimesNewRoman,Bold"/>
                <w:b/>
                <w:bCs/>
                <w:sz w:val="18"/>
                <w:szCs w:val="18"/>
              </w:rPr>
            </w:pPr>
            <w:r w:rsidRPr="00587722">
              <w:rPr>
                <w:rFonts w:ascii="TimesNewRoman,Bold" w:hAnsi="TimesNewRoman,Bold"/>
                <w:b/>
                <w:bCs/>
                <w:sz w:val="18"/>
                <w:szCs w:val="18"/>
              </w:rPr>
              <w:t>Channel starting frequency (GHz)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4A65A" w14:textId="77777777" w:rsidR="001402C2" w:rsidRPr="00587722" w:rsidRDefault="001402C2" w:rsidP="00256898">
            <w:pPr>
              <w:autoSpaceDE w:val="0"/>
              <w:autoSpaceDN w:val="0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587722">
              <w:rPr>
                <w:rFonts w:ascii="TimesNewRoman,Bold" w:hAnsi="TimesNewRoman,Bold"/>
                <w:b/>
                <w:bCs/>
                <w:sz w:val="18"/>
                <w:szCs w:val="18"/>
              </w:rPr>
              <w:t>Channel spacing (MHz)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EAE1F" w14:textId="77777777" w:rsidR="001402C2" w:rsidRPr="00587722" w:rsidRDefault="001402C2" w:rsidP="00256898">
            <w:pPr>
              <w:autoSpaceDE w:val="0"/>
              <w:autoSpaceDN w:val="0"/>
              <w:jc w:val="both"/>
              <w:rPr>
                <w:rFonts w:ascii="TimesNewRoman,Bold" w:eastAsia="Calibri" w:hAnsi="TimesNewRoman,Bold"/>
                <w:b/>
                <w:bCs/>
                <w:sz w:val="18"/>
                <w:szCs w:val="18"/>
              </w:rPr>
            </w:pPr>
            <w:r w:rsidRPr="00587722">
              <w:rPr>
                <w:rFonts w:ascii="TimesNewRoman,Bold" w:hAnsi="TimesNewRoman,Bold"/>
                <w:b/>
                <w:bCs/>
                <w:sz w:val="18"/>
                <w:szCs w:val="18"/>
              </w:rPr>
              <w:t>Channel set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ADCE4" w14:textId="77777777" w:rsidR="001402C2" w:rsidRPr="00587722" w:rsidRDefault="001402C2" w:rsidP="00256898">
            <w:pPr>
              <w:autoSpaceDE w:val="0"/>
              <w:autoSpaceDN w:val="0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587722">
              <w:rPr>
                <w:b/>
                <w:bCs/>
                <w:sz w:val="18"/>
                <w:szCs w:val="18"/>
              </w:rPr>
              <w:t xml:space="preserve">Channel </w:t>
            </w:r>
            <w:proofErr w:type="spellStart"/>
            <w:r w:rsidRPr="00587722">
              <w:rPr>
                <w:b/>
                <w:bCs/>
                <w:sz w:val="18"/>
                <w:szCs w:val="18"/>
              </w:rPr>
              <w:t>center</w:t>
            </w:r>
            <w:proofErr w:type="spellEnd"/>
            <w:r w:rsidRPr="00587722">
              <w:rPr>
                <w:b/>
                <w:bCs/>
                <w:sz w:val="18"/>
                <w:szCs w:val="18"/>
              </w:rPr>
              <w:t xml:space="preserve"> frequency index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8D399" w14:textId="77777777" w:rsidR="001402C2" w:rsidRPr="00587722" w:rsidRDefault="001402C2" w:rsidP="00256898">
            <w:pPr>
              <w:autoSpaceDE w:val="0"/>
              <w:autoSpaceDN w:val="0"/>
              <w:jc w:val="both"/>
              <w:rPr>
                <w:rFonts w:ascii="TimesNewRoman,Bold" w:eastAsia="Calibri" w:hAnsi="TimesNewRoman,Bold"/>
                <w:b/>
                <w:bCs/>
                <w:sz w:val="18"/>
                <w:szCs w:val="18"/>
              </w:rPr>
            </w:pPr>
            <w:r w:rsidRPr="00587722">
              <w:rPr>
                <w:rFonts w:ascii="TimesNewRoman,Bold" w:hAnsi="TimesNewRoman,Bold"/>
                <w:b/>
                <w:bCs/>
                <w:sz w:val="18"/>
                <w:szCs w:val="18"/>
              </w:rPr>
              <w:t>Behavior limits set</w:t>
            </w:r>
          </w:p>
        </w:tc>
      </w:tr>
      <w:tr w:rsidR="001402C2" w14:paraId="284EE19B" w14:textId="77777777" w:rsidTr="00256898"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44490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108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6F844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E-1-34, E-2-18, E-3-59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F2C22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56.16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CEF9D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13D04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1,2,3,4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E9A58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rFonts w:eastAsia="Calibri"/>
                <w:sz w:val="18"/>
                <w:szCs w:val="18"/>
              </w:rPr>
              <w:t>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3FE47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rFonts w:eastAsia="Calibri"/>
                <w:sz w:val="18"/>
                <w:szCs w:val="18"/>
              </w:rPr>
              <w:t>----</w:t>
            </w:r>
          </w:p>
        </w:tc>
      </w:tr>
    </w:tbl>
    <w:p w14:paraId="7531BBCA" w14:textId="77777777" w:rsidR="001402C2" w:rsidRDefault="001402C2" w:rsidP="001402C2">
      <w:pPr>
        <w:rPr>
          <w:lang w:val="en-US"/>
        </w:rPr>
      </w:pPr>
    </w:p>
    <w:p w14:paraId="0FFE3556" w14:textId="77777777" w:rsidR="001402C2" w:rsidRDefault="001402C2" w:rsidP="001402C2">
      <w:pPr>
        <w:rPr>
          <w:lang w:val="en-US"/>
        </w:rPr>
      </w:pPr>
    </w:p>
    <w:p w14:paraId="2650EEF3" w14:textId="77777777" w:rsidR="001402C2" w:rsidRDefault="001402C2" w:rsidP="001402C2">
      <w:pPr>
        <w:pStyle w:val="Caption"/>
        <w:jc w:val="center"/>
      </w:pPr>
      <w:r>
        <w:t>Table E-5 – Operating classes in China</w:t>
      </w:r>
    </w:p>
    <w:p w14:paraId="09EB976E" w14:textId="77777777" w:rsidR="001402C2" w:rsidRDefault="001402C2" w:rsidP="001402C2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521"/>
        <w:gridCol w:w="1417"/>
        <w:gridCol w:w="1134"/>
        <w:gridCol w:w="1134"/>
        <w:gridCol w:w="1276"/>
        <w:gridCol w:w="1559"/>
      </w:tblGrid>
      <w:tr w:rsidR="001402C2" w14:paraId="56BE84E5" w14:textId="77777777" w:rsidTr="00256898"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CFE73" w14:textId="77777777" w:rsidR="001402C2" w:rsidRPr="00587722" w:rsidRDefault="001402C2" w:rsidP="00256898">
            <w:pPr>
              <w:autoSpaceDE w:val="0"/>
              <w:autoSpaceDN w:val="0"/>
              <w:jc w:val="both"/>
              <w:rPr>
                <w:rFonts w:ascii="TimesNewRoman,Bold" w:eastAsia="Calibri" w:hAnsi="TimesNewRoman,Bold"/>
                <w:b/>
                <w:bCs/>
                <w:sz w:val="18"/>
                <w:szCs w:val="18"/>
              </w:rPr>
            </w:pPr>
            <w:r w:rsidRPr="00587722">
              <w:rPr>
                <w:rFonts w:ascii="TimesNewRoman,Bold" w:hAnsi="TimesNewRoman,Bold"/>
                <w:b/>
                <w:bCs/>
                <w:sz w:val="18"/>
                <w:szCs w:val="18"/>
              </w:rPr>
              <w:t>Operating class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A510E" w14:textId="77777777" w:rsidR="001402C2" w:rsidRPr="00587722" w:rsidRDefault="001402C2" w:rsidP="00256898">
            <w:pPr>
              <w:autoSpaceDE w:val="0"/>
              <w:autoSpaceDN w:val="0"/>
              <w:jc w:val="both"/>
              <w:rPr>
                <w:rFonts w:ascii="TimesNewRoman,Bold" w:eastAsia="Calibri" w:hAnsi="TimesNewRoman,Bold"/>
                <w:b/>
                <w:bCs/>
                <w:sz w:val="18"/>
                <w:szCs w:val="18"/>
              </w:rPr>
            </w:pPr>
            <w:r w:rsidRPr="00587722">
              <w:rPr>
                <w:rFonts w:ascii="TimesNewRoman,Bold" w:hAnsi="TimesNewRoman,Bold"/>
                <w:b/>
                <w:bCs/>
                <w:sz w:val="18"/>
                <w:szCs w:val="18"/>
              </w:rPr>
              <w:t>Nonglobal operating class(</w:t>
            </w:r>
            <w:proofErr w:type="spellStart"/>
            <w:r w:rsidRPr="00587722">
              <w:rPr>
                <w:rFonts w:ascii="TimesNewRoman,Bold" w:hAnsi="TimesNewRoman,Bold"/>
                <w:b/>
                <w:bCs/>
                <w:sz w:val="18"/>
                <w:szCs w:val="18"/>
              </w:rPr>
              <w:t>es</w:t>
            </w:r>
            <w:proofErr w:type="spellEnd"/>
            <w:r w:rsidRPr="00587722">
              <w:rPr>
                <w:rFonts w:ascii="TimesNewRoman,Bold" w:hAnsi="TimesNewRoman,Bold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4404F" w14:textId="77777777" w:rsidR="001402C2" w:rsidRPr="00587722" w:rsidRDefault="001402C2" w:rsidP="00256898">
            <w:pPr>
              <w:autoSpaceDE w:val="0"/>
              <w:autoSpaceDN w:val="0"/>
              <w:jc w:val="both"/>
              <w:rPr>
                <w:rFonts w:ascii="TimesNewRoman,Bold" w:eastAsia="Calibri" w:hAnsi="TimesNewRoman,Bold"/>
                <w:b/>
                <w:bCs/>
                <w:sz w:val="18"/>
                <w:szCs w:val="18"/>
              </w:rPr>
            </w:pPr>
            <w:r w:rsidRPr="00587722">
              <w:rPr>
                <w:rFonts w:ascii="TimesNewRoman,Bold" w:hAnsi="TimesNewRoman,Bold"/>
                <w:b/>
                <w:bCs/>
                <w:sz w:val="18"/>
                <w:szCs w:val="18"/>
              </w:rPr>
              <w:t>Channel starting frequency (GHz)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3CF59" w14:textId="77777777" w:rsidR="001402C2" w:rsidRPr="00587722" w:rsidRDefault="001402C2" w:rsidP="00256898">
            <w:pPr>
              <w:autoSpaceDE w:val="0"/>
              <w:autoSpaceDN w:val="0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587722">
              <w:rPr>
                <w:rFonts w:ascii="TimesNewRoman,Bold" w:hAnsi="TimesNewRoman,Bold"/>
                <w:b/>
                <w:bCs/>
                <w:sz w:val="18"/>
                <w:szCs w:val="18"/>
              </w:rPr>
              <w:t>Channel spacing (MHz)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64918" w14:textId="77777777" w:rsidR="001402C2" w:rsidRPr="00587722" w:rsidRDefault="001402C2" w:rsidP="00256898">
            <w:pPr>
              <w:autoSpaceDE w:val="0"/>
              <w:autoSpaceDN w:val="0"/>
              <w:jc w:val="both"/>
              <w:rPr>
                <w:rFonts w:ascii="TimesNewRoman,Bold" w:eastAsia="Calibri" w:hAnsi="TimesNewRoman,Bold"/>
                <w:b/>
                <w:bCs/>
                <w:sz w:val="18"/>
                <w:szCs w:val="18"/>
              </w:rPr>
            </w:pPr>
            <w:r w:rsidRPr="00587722">
              <w:rPr>
                <w:rFonts w:ascii="TimesNewRoman,Bold" w:hAnsi="TimesNewRoman,Bold"/>
                <w:b/>
                <w:bCs/>
                <w:sz w:val="18"/>
                <w:szCs w:val="18"/>
              </w:rPr>
              <w:t>Channel set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F0DAA" w14:textId="77777777" w:rsidR="001402C2" w:rsidRPr="00587722" w:rsidRDefault="001402C2" w:rsidP="00256898">
            <w:pPr>
              <w:autoSpaceDE w:val="0"/>
              <w:autoSpaceDN w:val="0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587722">
              <w:rPr>
                <w:b/>
                <w:bCs/>
                <w:sz w:val="18"/>
                <w:szCs w:val="18"/>
              </w:rPr>
              <w:t xml:space="preserve">Channel </w:t>
            </w:r>
            <w:proofErr w:type="spellStart"/>
            <w:r w:rsidRPr="00587722">
              <w:rPr>
                <w:b/>
                <w:bCs/>
                <w:sz w:val="18"/>
                <w:szCs w:val="18"/>
              </w:rPr>
              <w:t>center</w:t>
            </w:r>
            <w:proofErr w:type="spellEnd"/>
            <w:r w:rsidRPr="00587722">
              <w:rPr>
                <w:b/>
                <w:bCs/>
                <w:sz w:val="18"/>
                <w:szCs w:val="18"/>
              </w:rPr>
              <w:t xml:space="preserve"> frequency index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BF479" w14:textId="77777777" w:rsidR="001402C2" w:rsidRPr="00587722" w:rsidRDefault="001402C2" w:rsidP="00256898">
            <w:pPr>
              <w:autoSpaceDE w:val="0"/>
              <w:autoSpaceDN w:val="0"/>
              <w:jc w:val="both"/>
              <w:rPr>
                <w:rFonts w:ascii="TimesNewRoman,Bold" w:eastAsia="Calibri" w:hAnsi="TimesNewRoman,Bold"/>
                <w:b/>
                <w:bCs/>
                <w:sz w:val="18"/>
                <w:szCs w:val="18"/>
              </w:rPr>
            </w:pPr>
            <w:r w:rsidRPr="00587722">
              <w:rPr>
                <w:rFonts w:ascii="TimesNewRoman,Bold" w:hAnsi="TimesNewRoman,Bold"/>
                <w:b/>
                <w:bCs/>
                <w:sz w:val="18"/>
                <w:szCs w:val="18"/>
              </w:rPr>
              <w:t>Behavior limits set</w:t>
            </w:r>
          </w:p>
        </w:tc>
      </w:tr>
      <w:tr w:rsidR="001402C2" w14:paraId="6A67224D" w14:textId="77777777" w:rsidTr="00256898"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D3535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&lt;ANA&gt;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F214C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&lt;ANA&gt;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D41CB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59.4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1D2C6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FE175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8EBB9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rFonts w:eastAsia="Calibri"/>
                <w:sz w:val="18"/>
                <w:szCs w:val="18"/>
              </w:rPr>
              <w:t>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7BDC0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rFonts w:eastAsia="Calibri"/>
                <w:sz w:val="18"/>
                <w:szCs w:val="18"/>
              </w:rPr>
              <w:t>----</w:t>
            </w:r>
          </w:p>
        </w:tc>
      </w:tr>
      <w:tr w:rsidR="001402C2" w14:paraId="61BFB078" w14:textId="77777777" w:rsidTr="00256898"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BC81E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&lt;ANA&gt;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8E47E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&lt;ANA&gt;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27517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59.4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2B97D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1080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2CADA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5,6,7,8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C9E3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rFonts w:eastAsia="Calibri"/>
                <w:sz w:val="18"/>
                <w:szCs w:val="18"/>
              </w:rPr>
              <w:t>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9E841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rFonts w:eastAsia="Calibri"/>
                <w:sz w:val="18"/>
                <w:szCs w:val="18"/>
              </w:rPr>
              <w:t>----</w:t>
            </w:r>
          </w:p>
        </w:tc>
      </w:tr>
      <w:tr w:rsidR="001402C2" w14:paraId="4A53C307" w14:textId="77777777" w:rsidTr="00256898"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1E7E7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&lt;ANA&gt;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A4982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&lt;ANA&gt;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2C9BC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42.66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1EC0A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9250F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1,2,3,4,5,6,7,8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F79CE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rFonts w:eastAsia="Calibri"/>
                <w:sz w:val="18"/>
                <w:szCs w:val="18"/>
              </w:rPr>
              <w:t>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A703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587722">
              <w:rPr>
                <w:rFonts w:eastAsia="Calibri"/>
                <w:sz w:val="18"/>
                <w:szCs w:val="18"/>
              </w:rPr>
              <w:t>LicenseExemptBehavior</w:t>
            </w:r>
            <w:proofErr w:type="spellEnd"/>
          </w:p>
        </w:tc>
      </w:tr>
      <w:tr w:rsidR="001402C2" w14:paraId="5996C3D6" w14:textId="77777777" w:rsidTr="00256898"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DD271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&lt;ANA&gt;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EE5EF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&lt;ANA&gt;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7D418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47.52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0877F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AC065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3B171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rFonts w:eastAsia="Calibri"/>
                <w:sz w:val="18"/>
                <w:szCs w:val="18"/>
              </w:rPr>
              <w:t>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B1237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587722">
              <w:rPr>
                <w:rFonts w:eastAsia="Calibri"/>
                <w:sz w:val="18"/>
                <w:szCs w:val="18"/>
              </w:rPr>
              <w:t>LicenseExemptBehavior</w:t>
            </w:r>
            <w:proofErr w:type="spellEnd"/>
          </w:p>
        </w:tc>
      </w:tr>
      <w:tr w:rsidR="001402C2" w14:paraId="7C675885" w14:textId="77777777" w:rsidTr="00256898"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3CC53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lastRenderedPageBreak/>
              <w:t>&lt;ANA&gt;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4EFD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&lt;ANA&gt;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D1AA6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42.93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2ADE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1080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D7B50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11,12,13,14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07EDC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rFonts w:eastAsia="Calibri"/>
                <w:sz w:val="18"/>
                <w:szCs w:val="18"/>
              </w:rPr>
              <w:t>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F8CBF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587722">
              <w:rPr>
                <w:rFonts w:eastAsia="Calibri"/>
                <w:sz w:val="18"/>
                <w:szCs w:val="18"/>
              </w:rPr>
              <w:t>LicenseExemptBehavior</w:t>
            </w:r>
            <w:proofErr w:type="spellEnd"/>
          </w:p>
        </w:tc>
      </w:tr>
      <w:tr w:rsidR="001402C2" w14:paraId="1209CFD6" w14:textId="77777777" w:rsidTr="00256898"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BDE0E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&lt;ANA&gt;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7CC0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&lt;ANA&gt;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8BE66" w14:textId="77777777" w:rsidR="001402C2" w:rsidRPr="00587722" w:rsidRDefault="005418B3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47.79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D1137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1080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A53BC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B0460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rFonts w:eastAsia="Calibri"/>
                <w:sz w:val="18"/>
                <w:szCs w:val="18"/>
              </w:rPr>
              <w:t>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3AFBD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587722">
              <w:rPr>
                <w:rFonts w:eastAsia="Calibri"/>
                <w:sz w:val="18"/>
                <w:szCs w:val="18"/>
              </w:rPr>
              <w:t>LicenseExemptBehavior</w:t>
            </w:r>
            <w:proofErr w:type="spellEnd"/>
          </w:p>
        </w:tc>
      </w:tr>
      <w:tr w:rsidR="001402C2" w14:paraId="62E9E2CA" w14:textId="77777777" w:rsidTr="00256898"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706FB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&lt;ANA&gt;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39489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Reserved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6454D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Reserved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D8CCB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Reserved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EF7EE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sz w:val="18"/>
                <w:szCs w:val="18"/>
              </w:rPr>
              <w:t>Reserved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A1113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rFonts w:eastAsia="Calibri"/>
                <w:sz w:val="18"/>
                <w:szCs w:val="18"/>
              </w:rPr>
              <w:t>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DAE6F" w14:textId="77777777" w:rsidR="001402C2" w:rsidRPr="00587722" w:rsidRDefault="001402C2" w:rsidP="00256898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587722">
              <w:rPr>
                <w:rFonts w:eastAsia="Calibri"/>
                <w:sz w:val="18"/>
                <w:szCs w:val="18"/>
              </w:rPr>
              <w:t>Reserved</w:t>
            </w:r>
          </w:p>
        </w:tc>
      </w:tr>
    </w:tbl>
    <w:p w14:paraId="41AE52FF" w14:textId="77777777" w:rsidR="001402C2" w:rsidRDefault="001402C2" w:rsidP="001402C2"/>
    <w:p w14:paraId="57B2E4E4" w14:textId="77777777" w:rsidR="00693F14" w:rsidRDefault="00693F14" w:rsidP="0012370A">
      <w:pPr>
        <w:rPr>
          <w:lang w:val="en-US"/>
        </w:rPr>
      </w:pPr>
    </w:p>
    <w:p w14:paraId="0503DA05" w14:textId="77777777" w:rsidR="000A390F" w:rsidRDefault="000A390F" w:rsidP="00295711">
      <w:pPr>
        <w:pStyle w:val="Heading1"/>
        <w:rPr>
          <w:lang w:val="en-US"/>
        </w:rPr>
      </w:pPr>
      <w:r>
        <w:rPr>
          <w:lang w:val="en-US"/>
        </w:rPr>
        <w:t>Preamble Design</w:t>
      </w:r>
      <w:r w:rsidR="00182EC1">
        <w:rPr>
          <w:lang w:val="en-US"/>
        </w:rPr>
        <w:t xml:space="preserve"> for Coexistence</w:t>
      </w:r>
    </w:p>
    <w:p w14:paraId="7FCFA776" w14:textId="77777777" w:rsidR="000A390F" w:rsidRDefault="000A390F" w:rsidP="000A390F">
      <w:pPr>
        <w:rPr>
          <w:lang w:val="en-US"/>
        </w:rPr>
      </w:pPr>
    </w:p>
    <w:p w14:paraId="5C585C2B" w14:textId="77777777" w:rsidR="00DE4584" w:rsidRDefault="00DE4584" w:rsidP="000E47CD">
      <w:pPr>
        <w:jc w:val="both"/>
        <w:rPr>
          <w:lang w:val="en-US"/>
        </w:rPr>
      </w:pPr>
      <w:r>
        <w:rPr>
          <w:lang w:val="en-US"/>
        </w:rPr>
        <w:t>When 802</w:t>
      </w:r>
      <w:r w:rsidR="00BA7921">
        <w:rPr>
          <w:lang w:val="en-US"/>
        </w:rPr>
        <w:t>.</w:t>
      </w:r>
      <w:r>
        <w:rPr>
          <w:lang w:val="en-US"/>
        </w:rPr>
        <w:t xml:space="preserve">11aj operates in </w:t>
      </w:r>
      <w:r w:rsidR="00BA7921">
        <w:rPr>
          <w:lang w:val="en-US"/>
        </w:rPr>
        <w:t xml:space="preserve">the </w:t>
      </w:r>
      <w:r>
        <w:rPr>
          <w:lang w:val="en-US"/>
        </w:rPr>
        <w:t>60</w:t>
      </w:r>
      <w:r w:rsidR="00BA7921">
        <w:rPr>
          <w:lang w:val="en-US"/>
        </w:rPr>
        <w:t xml:space="preserve"> </w:t>
      </w:r>
      <w:r>
        <w:rPr>
          <w:lang w:val="en-US"/>
        </w:rPr>
        <w:t>G</w:t>
      </w:r>
      <w:r w:rsidR="0093181F">
        <w:rPr>
          <w:rFonts w:eastAsia="宋体" w:hint="eastAsia"/>
          <w:lang w:val="en-US" w:eastAsia="zh-CN"/>
        </w:rPr>
        <w:t>H</w:t>
      </w:r>
      <w:r>
        <w:rPr>
          <w:lang w:val="en-US"/>
        </w:rPr>
        <w:t xml:space="preserve">z frequency band, it </w:t>
      </w:r>
      <w:r w:rsidR="00CB7640">
        <w:rPr>
          <w:lang w:val="en-US"/>
        </w:rPr>
        <w:t>uses the same preamble design as 802.11ad</w:t>
      </w:r>
      <w:r w:rsidR="00A471F4">
        <w:rPr>
          <w:lang w:val="en-US"/>
        </w:rPr>
        <w:t xml:space="preserve"> [1] [4]</w:t>
      </w:r>
      <w:r w:rsidR="00CB7640">
        <w:rPr>
          <w:lang w:val="en-US"/>
        </w:rPr>
        <w:t xml:space="preserve">. This enables the co-existence with 802.11ad. </w:t>
      </w:r>
    </w:p>
    <w:p w14:paraId="44D4B2AA" w14:textId="77777777" w:rsidR="00DE4584" w:rsidRDefault="00DE4584" w:rsidP="000E47CD">
      <w:pPr>
        <w:jc w:val="both"/>
        <w:rPr>
          <w:lang w:val="en-US"/>
        </w:rPr>
      </w:pPr>
    </w:p>
    <w:p w14:paraId="2ED703D1" w14:textId="77777777" w:rsidR="00CB7640" w:rsidRPr="006B2612" w:rsidRDefault="00DE4584" w:rsidP="000E47CD">
      <w:pPr>
        <w:jc w:val="both"/>
        <w:rPr>
          <w:rFonts w:eastAsia="宋体"/>
          <w:lang w:val="en-US" w:eastAsia="zh-CN"/>
        </w:rPr>
      </w:pPr>
      <w:r>
        <w:rPr>
          <w:lang w:val="en-US"/>
        </w:rPr>
        <w:t xml:space="preserve">When 802.11aj operates in </w:t>
      </w:r>
      <w:r w:rsidR="00BA7921">
        <w:rPr>
          <w:lang w:val="en-US"/>
        </w:rPr>
        <w:t xml:space="preserve">the </w:t>
      </w:r>
      <w:r>
        <w:rPr>
          <w:lang w:val="en-US"/>
        </w:rPr>
        <w:t>45</w:t>
      </w:r>
      <w:r w:rsidR="00BA7921">
        <w:rPr>
          <w:lang w:val="en-US"/>
        </w:rPr>
        <w:t xml:space="preserve"> </w:t>
      </w:r>
      <w:r>
        <w:rPr>
          <w:lang w:val="en-US"/>
        </w:rPr>
        <w:t>G</w:t>
      </w:r>
      <w:r w:rsidR="0093181F">
        <w:rPr>
          <w:rFonts w:eastAsia="宋体" w:hint="eastAsia"/>
          <w:lang w:val="en-US" w:eastAsia="zh-CN"/>
        </w:rPr>
        <w:t>H</w:t>
      </w:r>
      <w:r>
        <w:rPr>
          <w:lang w:val="en-US"/>
        </w:rPr>
        <w:t>z</w:t>
      </w:r>
      <w:r w:rsidR="00BA7921">
        <w:rPr>
          <w:lang w:val="en-US"/>
        </w:rPr>
        <w:t xml:space="preserve"> frequency band</w:t>
      </w:r>
      <w:r>
        <w:rPr>
          <w:lang w:val="en-US"/>
        </w:rPr>
        <w:t xml:space="preserve">, it </w:t>
      </w:r>
      <w:r w:rsidR="00CB7640">
        <w:rPr>
          <w:lang w:val="en-US"/>
        </w:rPr>
        <w:t xml:space="preserve">uses </w:t>
      </w:r>
      <w:r w:rsidR="0072793F">
        <w:rPr>
          <w:rFonts w:eastAsia="宋体" w:hint="eastAsia"/>
          <w:lang w:val="en-US" w:eastAsia="zh-CN"/>
        </w:rPr>
        <w:t xml:space="preserve">a </w:t>
      </w:r>
      <w:r w:rsidR="00CB7640">
        <w:rPr>
          <w:lang w:val="en-US"/>
        </w:rPr>
        <w:t>different preamble design</w:t>
      </w:r>
      <w:r w:rsidR="00EC0070">
        <w:rPr>
          <w:rFonts w:eastAsia="宋体" w:hint="eastAsia"/>
          <w:lang w:val="en-US" w:eastAsia="zh-CN"/>
        </w:rPr>
        <w:t xml:space="preserve"> </w:t>
      </w:r>
      <w:r w:rsidR="0072793F">
        <w:rPr>
          <w:rFonts w:eastAsia="宋体" w:hint="eastAsia"/>
          <w:lang w:val="en-US" w:eastAsia="zh-CN"/>
        </w:rPr>
        <w:t>from 802.11ad</w:t>
      </w:r>
      <w:r w:rsidR="00614926">
        <w:rPr>
          <w:rFonts w:eastAsia="宋体" w:hint="eastAsia"/>
          <w:lang w:val="en-US" w:eastAsia="zh-CN"/>
        </w:rPr>
        <w:t xml:space="preserve"> </w:t>
      </w:r>
      <w:r w:rsidR="00614926">
        <w:rPr>
          <w:lang w:val="en-US"/>
        </w:rPr>
        <w:t>[1] [4]</w:t>
      </w:r>
      <w:r w:rsidR="007F5E3F">
        <w:rPr>
          <w:rFonts w:eastAsia="宋体" w:hint="eastAsia"/>
          <w:lang w:val="en-US" w:eastAsia="zh-CN"/>
        </w:rPr>
        <w:t xml:space="preserve"> but</w:t>
      </w:r>
      <w:r w:rsidR="00614926">
        <w:rPr>
          <w:rFonts w:eastAsia="宋体" w:hint="eastAsia"/>
          <w:lang w:val="en-US" w:eastAsia="zh-CN"/>
        </w:rPr>
        <w:t xml:space="preserve"> no coexistence issue </w:t>
      </w:r>
      <w:r w:rsidR="00CB7640">
        <w:rPr>
          <w:lang w:val="en-US"/>
        </w:rPr>
        <w:t>as there is no other wireless system operating in 45GHz frequency band in China</w:t>
      </w:r>
      <w:r w:rsidR="00A471F4">
        <w:rPr>
          <w:lang w:val="en-US"/>
        </w:rPr>
        <w:t xml:space="preserve"> [1] [6]</w:t>
      </w:r>
      <w:r w:rsidR="0072793F">
        <w:rPr>
          <w:rFonts w:eastAsia="宋体" w:hint="eastAsia"/>
          <w:lang w:val="en-US" w:eastAsia="zh-CN"/>
        </w:rPr>
        <w:t xml:space="preserve"> at the time 802.11aj </w:t>
      </w:r>
      <w:r w:rsidR="001402C2">
        <w:rPr>
          <w:lang w:val="en-US"/>
        </w:rPr>
        <w:t>[1]</w:t>
      </w:r>
      <w:r w:rsidR="001402C2">
        <w:rPr>
          <w:rFonts w:eastAsia="宋体" w:hint="eastAsia"/>
          <w:lang w:val="en-US" w:eastAsia="zh-CN"/>
        </w:rPr>
        <w:t xml:space="preserve"> </w:t>
      </w:r>
      <w:r w:rsidR="0072793F">
        <w:rPr>
          <w:rFonts w:eastAsia="宋体" w:hint="eastAsia"/>
          <w:lang w:val="en-US" w:eastAsia="zh-CN"/>
        </w:rPr>
        <w:t>was completed</w:t>
      </w:r>
      <w:r w:rsidR="00CB7640">
        <w:rPr>
          <w:lang w:val="en-US"/>
        </w:rPr>
        <w:t>.</w:t>
      </w:r>
    </w:p>
    <w:p w14:paraId="09BA3D86" w14:textId="77777777" w:rsidR="00CB7640" w:rsidRDefault="00CB7640" w:rsidP="000A390F">
      <w:pPr>
        <w:rPr>
          <w:lang w:val="en-US"/>
        </w:rPr>
      </w:pPr>
    </w:p>
    <w:p w14:paraId="48D6F3ED" w14:textId="77777777" w:rsidR="00170B84" w:rsidRDefault="00170B84" w:rsidP="00295711">
      <w:pPr>
        <w:pStyle w:val="Heading1"/>
        <w:rPr>
          <w:lang w:val="en-US"/>
        </w:rPr>
      </w:pPr>
      <w:r>
        <w:rPr>
          <w:lang w:val="en-US"/>
        </w:rPr>
        <w:t xml:space="preserve">BSS Establishment </w:t>
      </w:r>
    </w:p>
    <w:p w14:paraId="7958B86A" w14:textId="77777777" w:rsidR="00514B8A" w:rsidRDefault="00514B8A" w:rsidP="000E47CD">
      <w:pPr>
        <w:jc w:val="both"/>
        <w:rPr>
          <w:szCs w:val="22"/>
        </w:rPr>
      </w:pPr>
    </w:p>
    <w:p w14:paraId="5BA7BB3C" w14:textId="77777777" w:rsidR="0012370A" w:rsidRPr="00A82B38" w:rsidRDefault="00F33F36" w:rsidP="000E47CD">
      <w:pPr>
        <w:jc w:val="both"/>
        <w:rPr>
          <w:szCs w:val="22"/>
        </w:rPr>
      </w:pPr>
      <w:r>
        <w:rPr>
          <w:szCs w:val="22"/>
        </w:rPr>
        <w:t>When 802.11aj operates in</w:t>
      </w:r>
      <w:r w:rsidR="00BA7921">
        <w:rPr>
          <w:szCs w:val="22"/>
        </w:rPr>
        <w:t xml:space="preserve"> the</w:t>
      </w:r>
      <w:r>
        <w:rPr>
          <w:szCs w:val="22"/>
        </w:rPr>
        <w:t xml:space="preserve"> </w:t>
      </w:r>
      <w:r w:rsidR="0093181F">
        <w:rPr>
          <w:szCs w:val="22"/>
        </w:rPr>
        <w:t>60</w:t>
      </w:r>
      <w:r w:rsidR="00BA7921">
        <w:rPr>
          <w:szCs w:val="22"/>
        </w:rPr>
        <w:t xml:space="preserve"> </w:t>
      </w:r>
      <w:r w:rsidR="0093181F">
        <w:rPr>
          <w:szCs w:val="22"/>
        </w:rPr>
        <w:t>G</w:t>
      </w:r>
      <w:r w:rsidR="0093181F">
        <w:rPr>
          <w:rFonts w:eastAsia="宋体" w:hint="eastAsia"/>
          <w:szCs w:val="22"/>
          <w:lang w:eastAsia="zh-CN"/>
        </w:rPr>
        <w:t>H</w:t>
      </w:r>
      <w:r w:rsidR="0093181F">
        <w:rPr>
          <w:szCs w:val="22"/>
        </w:rPr>
        <w:t xml:space="preserve">z </w:t>
      </w:r>
      <w:r>
        <w:rPr>
          <w:szCs w:val="22"/>
        </w:rPr>
        <w:t>frequency band, t</w:t>
      </w:r>
      <w:r w:rsidR="001C42C4" w:rsidRPr="00A82B38">
        <w:rPr>
          <w:szCs w:val="22"/>
        </w:rPr>
        <w:t xml:space="preserve">o minimize interference to other systems, </w:t>
      </w:r>
      <w:r w:rsidR="002A3B5B" w:rsidRPr="00A82B38">
        <w:rPr>
          <w:szCs w:val="22"/>
        </w:rPr>
        <w:t>a</w:t>
      </w:r>
      <w:r w:rsidR="0012370A" w:rsidRPr="00A82B38">
        <w:rPr>
          <w:szCs w:val="22"/>
        </w:rPr>
        <w:t xml:space="preserve">n </w:t>
      </w:r>
      <w:r>
        <w:rPr>
          <w:szCs w:val="22"/>
        </w:rPr>
        <w:t xml:space="preserve">802.11aj </w:t>
      </w:r>
      <w:r w:rsidR="0012370A" w:rsidRPr="00A82B38">
        <w:rPr>
          <w:szCs w:val="22"/>
        </w:rPr>
        <w:t xml:space="preserve">AP should not start an infrastructure BSS on a channel where the signal level is at or above </w:t>
      </w:r>
      <w:r w:rsidR="002A3B5B" w:rsidRPr="00A82B38">
        <w:rPr>
          <w:szCs w:val="22"/>
        </w:rPr>
        <w:t>-48dBm</w:t>
      </w:r>
      <w:r w:rsidR="0012370A" w:rsidRPr="00A82B38">
        <w:rPr>
          <w:szCs w:val="22"/>
        </w:rPr>
        <w:t xml:space="preserve"> or upon detecting a valid </w:t>
      </w:r>
      <w:r>
        <w:rPr>
          <w:szCs w:val="22"/>
        </w:rPr>
        <w:t xml:space="preserve">IEEE 802.11ad preamble or </w:t>
      </w:r>
      <w:r w:rsidR="0012370A" w:rsidRPr="00A82B38">
        <w:rPr>
          <w:szCs w:val="22"/>
        </w:rPr>
        <w:t>IEEE 802.15.3c CMS preamble at a receive level equal to or greater than -60 dBm.</w:t>
      </w:r>
      <w:r w:rsidR="00E91432" w:rsidRPr="00A82B38">
        <w:rPr>
          <w:szCs w:val="22"/>
        </w:rPr>
        <w:t xml:space="preserve">  As previously described, commonalities in the preamble design </w:t>
      </w:r>
      <w:r w:rsidR="00FE4C03" w:rsidRPr="00A82B38">
        <w:rPr>
          <w:szCs w:val="22"/>
        </w:rPr>
        <w:t xml:space="preserve">of </w:t>
      </w:r>
      <w:r w:rsidR="009A08C5">
        <w:rPr>
          <w:szCs w:val="22"/>
        </w:rPr>
        <w:t>802.11aj, 802.11ad</w:t>
      </w:r>
      <w:r w:rsidR="00E91432" w:rsidRPr="00A82B38">
        <w:rPr>
          <w:szCs w:val="22"/>
        </w:rPr>
        <w:t xml:space="preserve"> and 802.15.3c enable detection with tighter thresholds.</w:t>
      </w:r>
    </w:p>
    <w:p w14:paraId="4CC6C908" w14:textId="77777777" w:rsidR="0012370A" w:rsidRPr="00A82B38" w:rsidRDefault="0012370A" w:rsidP="000E47CD">
      <w:pPr>
        <w:numPr>
          <w:ilvl w:val="0"/>
          <w:numId w:val="22"/>
        </w:numPr>
        <w:jc w:val="both"/>
        <w:rPr>
          <w:szCs w:val="22"/>
        </w:rPr>
      </w:pPr>
      <w:r w:rsidRPr="00A82B38">
        <w:rPr>
          <w:rFonts w:hint="eastAsia"/>
          <w:szCs w:val="22"/>
        </w:rPr>
        <w:t xml:space="preserve">In 802.11a/n, MCS 0 (BPSK, R=1/2) receive sensitivity is -82dBm and non-802.11 detection level is -62 dBm </w:t>
      </w:r>
      <w:r w:rsidRPr="00A82B38">
        <w:rPr>
          <w:rFonts w:hint="eastAsia"/>
          <w:szCs w:val="22"/>
        </w:rPr>
        <w:t>→</w:t>
      </w:r>
      <w:r w:rsidRPr="00A82B38">
        <w:rPr>
          <w:rFonts w:hint="eastAsia"/>
          <w:szCs w:val="22"/>
        </w:rPr>
        <w:t xml:space="preserve"> 20 dB difference</w:t>
      </w:r>
    </w:p>
    <w:p w14:paraId="011B28C1" w14:textId="77777777" w:rsidR="0012370A" w:rsidRPr="00A82B38" w:rsidRDefault="00F33F36" w:rsidP="000E47CD">
      <w:pPr>
        <w:numPr>
          <w:ilvl w:val="0"/>
          <w:numId w:val="22"/>
        </w:numPr>
        <w:jc w:val="both"/>
        <w:rPr>
          <w:szCs w:val="22"/>
        </w:rPr>
      </w:pPr>
      <w:r>
        <w:rPr>
          <w:rFonts w:hint="eastAsia"/>
          <w:szCs w:val="22"/>
        </w:rPr>
        <w:t>In 60</w:t>
      </w:r>
      <w:r w:rsidR="005418B3">
        <w:rPr>
          <w:szCs w:val="22"/>
        </w:rPr>
        <w:t xml:space="preserve"> </w:t>
      </w:r>
      <w:r>
        <w:rPr>
          <w:rFonts w:hint="eastAsia"/>
          <w:szCs w:val="22"/>
        </w:rPr>
        <w:t>G</w:t>
      </w:r>
      <w:r w:rsidR="00F73235">
        <w:rPr>
          <w:rFonts w:eastAsia="宋体" w:hint="eastAsia"/>
          <w:szCs w:val="22"/>
          <w:lang w:eastAsia="zh-CN"/>
        </w:rPr>
        <w:t>H</w:t>
      </w:r>
      <w:r w:rsidR="0012370A" w:rsidRPr="00A82B38">
        <w:rPr>
          <w:rFonts w:hint="eastAsia"/>
          <w:szCs w:val="22"/>
        </w:rPr>
        <w:t xml:space="preserve">z, SC MCS 1 receive sensitivity is -68 dBm </w:t>
      </w:r>
      <w:r w:rsidR="0012370A" w:rsidRPr="00A82B38">
        <w:rPr>
          <w:rFonts w:hint="eastAsia"/>
          <w:szCs w:val="22"/>
        </w:rPr>
        <w:t>→</w:t>
      </w:r>
      <w:r w:rsidR="0012370A" w:rsidRPr="00A82B38">
        <w:rPr>
          <w:rFonts w:hint="eastAsia"/>
          <w:szCs w:val="22"/>
        </w:rPr>
        <w:t xml:space="preserve"> 8 dB difference with respect to required 802.15.3c CMS preamble detection threshold</w:t>
      </w:r>
    </w:p>
    <w:p w14:paraId="09F7165C" w14:textId="77777777" w:rsidR="0012370A" w:rsidRDefault="0012370A" w:rsidP="000E47CD">
      <w:pPr>
        <w:numPr>
          <w:ilvl w:val="0"/>
          <w:numId w:val="22"/>
        </w:numPr>
        <w:jc w:val="both"/>
        <w:rPr>
          <w:szCs w:val="22"/>
        </w:rPr>
      </w:pPr>
      <w:r w:rsidRPr="00A82B38">
        <w:rPr>
          <w:szCs w:val="22"/>
        </w:rPr>
        <w:t>Requirement of detection of 802.15.3c CMS preamble is 12dB more stringent than 802.11a/n and non-802.11 detection!</w:t>
      </w:r>
    </w:p>
    <w:p w14:paraId="67217B45" w14:textId="77777777" w:rsidR="00F33F36" w:rsidRDefault="00F33F36" w:rsidP="00F33F36">
      <w:pPr>
        <w:jc w:val="both"/>
        <w:rPr>
          <w:szCs w:val="22"/>
        </w:rPr>
      </w:pPr>
    </w:p>
    <w:p w14:paraId="0A830616" w14:textId="77777777" w:rsidR="00F33F36" w:rsidRPr="00A82B38" w:rsidRDefault="00F33F36" w:rsidP="00F33F36">
      <w:pPr>
        <w:jc w:val="both"/>
        <w:rPr>
          <w:szCs w:val="22"/>
        </w:rPr>
      </w:pPr>
      <w:r>
        <w:rPr>
          <w:szCs w:val="22"/>
        </w:rPr>
        <w:t xml:space="preserve">When 802.11aj operates in </w:t>
      </w:r>
      <w:r w:rsidR="005418B3">
        <w:rPr>
          <w:szCs w:val="22"/>
        </w:rPr>
        <w:t xml:space="preserve">the </w:t>
      </w:r>
      <w:r>
        <w:rPr>
          <w:szCs w:val="22"/>
        </w:rPr>
        <w:t>45</w:t>
      </w:r>
      <w:r w:rsidR="00BA7921">
        <w:rPr>
          <w:szCs w:val="22"/>
        </w:rPr>
        <w:t xml:space="preserve"> </w:t>
      </w:r>
      <w:r>
        <w:rPr>
          <w:szCs w:val="22"/>
        </w:rPr>
        <w:t xml:space="preserve">GHz frequency band, there is no </w:t>
      </w:r>
      <w:proofErr w:type="spellStart"/>
      <w:r w:rsidR="00865D87">
        <w:rPr>
          <w:rFonts w:eastAsia="宋体" w:hint="eastAsia"/>
          <w:szCs w:val="22"/>
          <w:lang w:eastAsia="zh-CN"/>
        </w:rPr>
        <w:t>coexsistence</w:t>
      </w:r>
      <w:proofErr w:type="spellEnd"/>
      <w:r w:rsidR="00865D87">
        <w:rPr>
          <w:rFonts w:eastAsia="宋体" w:hint="eastAsia"/>
          <w:szCs w:val="22"/>
          <w:lang w:eastAsia="zh-CN"/>
        </w:rPr>
        <w:t xml:space="preserve"> issue</w:t>
      </w:r>
      <w:r>
        <w:rPr>
          <w:szCs w:val="22"/>
        </w:rPr>
        <w:t xml:space="preserve"> as there is no other wireless system operating in </w:t>
      </w:r>
      <w:r w:rsidR="005418B3">
        <w:rPr>
          <w:szCs w:val="22"/>
        </w:rPr>
        <w:t xml:space="preserve">the </w:t>
      </w:r>
      <w:r>
        <w:rPr>
          <w:szCs w:val="22"/>
        </w:rPr>
        <w:t>45</w:t>
      </w:r>
      <w:r w:rsidR="00BA7921">
        <w:rPr>
          <w:szCs w:val="22"/>
        </w:rPr>
        <w:t xml:space="preserve"> </w:t>
      </w:r>
      <w:r>
        <w:rPr>
          <w:szCs w:val="22"/>
        </w:rPr>
        <w:t xml:space="preserve">GHz frequency </w:t>
      </w:r>
      <w:r w:rsidR="00846173">
        <w:rPr>
          <w:rFonts w:eastAsia="宋体" w:hint="eastAsia"/>
          <w:szCs w:val="22"/>
          <w:lang w:eastAsia="zh-CN"/>
        </w:rPr>
        <w:t xml:space="preserve">band </w:t>
      </w:r>
      <w:r>
        <w:rPr>
          <w:szCs w:val="22"/>
        </w:rPr>
        <w:t>in China</w:t>
      </w:r>
      <w:r w:rsidR="00865D87" w:rsidRPr="00865D87">
        <w:rPr>
          <w:rFonts w:eastAsia="宋体" w:hint="eastAsia"/>
          <w:lang w:val="en-US" w:eastAsia="zh-CN"/>
        </w:rPr>
        <w:t xml:space="preserve"> </w:t>
      </w:r>
      <w:r w:rsidR="00865D87">
        <w:rPr>
          <w:rFonts w:eastAsia="宋体" w:hint="eastAsia"/>
          <w:lang w:val="en-US" w:eastAsia="zh-CN"/>
        </w:rPr>
        <w:t xml:space="preserve">at the time 802.11aj </w:t>
      </w:r>
      <w:r w:rsidR="00865D87">
        <w:rPr>
          <w:lang w:val="en-US"/>
        </w:rPr>
        <w:t>[1]</w:t>
      </w:r>
      <w:r w:rsidR="00865D87">
        <w:rPr>
          <w:rFonts w:eastAsia="宋体" w:hint="eastAsia"/>
          <w:lang w:val="en-US" w:eastAsia="zh-CN"/>
        </w:rPr>
        <w:t xml:space="preserve"> was completed</w:t>
      </w:r>
      <w:r>
        <w:rPr>
          <w:szCs w:val="22"/>
        </w:rPr>
        <w:t xml:space="preserve">. </w:t>
      </w:r>
    </w:p>
    <w:p w14:paraId="5F8D2719" w14:textId="77777777" w:rsidR="005C7081" w:rsidRDefault="005C7081" w:rsidP="005C7081">
      <w:pPr>
        <w:pStyle w:val="Heading1"/>
        <w:rPr>
          <w:lang w:val="en-US"/>
        </w:rPr>
      </w:pPr>
      <w:r w:rsidRPr="005C7081">
        <w:rPr>
          <w:lang w:val="en-US"/>
        </w:rPr>
        <w:t>Coexistence Analysis</w:t>
      </w:r>
    </w:p>
    <w:p w14:paraId="4521D142" w14:textId="77777777" w:rsidR="00514B8A" w:rsidRDefault="00514B8A" w:rsidP="000E47CD">
      <w:pPr>
        <w:jc w:val="both"/>
        <w:rPr>
          <w:lang w:val="en-US"/>
        </w:rPr>
      </w:pPr>
    </w:p>
    <w:p w14:paraId="3D65AF63" w14:textId="77777777" w:rsidR="00F33F36" w:rsidRDefault="009A08C5" w:rsidP="000E47CD">
      <w:pPr>
        <w:jc w:val="both"/>
        <w:rPr>
          <w:lang w:val="en-US"/>
        </w:rPr>
      </w:pPr>
      <w:r>
        <w:rPr>
          <w:lang w:val="en-US"/>
        </w:rPr>
        <w:t>When 802.11aj operates in 60</w:t>
      </w:r>
      <w:r w:rsidR="005418B3">
        <w:rPr>
          <w:lang w:val="en-US"/>
        </w:rPr>
        <w:t xml:space="preserve"> </w:t>
      </w:r>
      <w:r>
        <w:rPr>
          <w:lang w:val="en-US"/>
        </w:rPr>
        <w:t>GHz frequency band, a</w:t>
      </w:r>
      <w:r w:rsidR="005C7081" w:rsidRPr="005C7081">
        <w:rPr>
          <w:lang w:val="en-US"/>
        </w:rPr>
        <w:t xml:space="preserve">s described </w:t>
      </w:r>
      <w:r w:rsidR="005C7081">
        <w:rPr>
          <w:lang w:val="en-US"/>
        </w:rPr>
        <w:t xml:space="preserve">in </w:t>
      </w:r>
      <w:r>
        <w:rPr>
          <w:lang w:val="en-US"/>
        </w:rPr>
        <w:t xml:space="preserve">section 2, </w:t>
      </w:r>
      <w:r w:rsidR="005C7081" w:rsidRPr="005C7081">
        <w:rPr>
          <w:lang w:val="en-US"/>
        </w:rPr>
        <w:t xml:space="preserve">the </w:t>
      </w:r>
      <w:r>
        <w:rPr>
          <w:lang w:val="en-US"/>
        </w:rPr>
        <w:t xml:space="preserve">same </w:t>
      </w:r>
      <w:r w:rsidR="005C7081" w:rsidRPr="005C7081">
        <w:rPr>
          <w:lang w:val="en-US"/>
        </w:rPr>
        <w:t xml:space="preserve">channel spacing for 802.11ad was </w:t>
      </w:r>
      <w:r>
        <w:rPr>
          <w:lang w:val="en-US"/>
        </w:rPr>
        <w:t xml:space="preserve">kept to match both 802.11ad and 802.15.3c. </w:t>
      </w:r>
      <w:r w:rsidR="005C7081" w:rsidRPr="005C7081">
        <w:rPr>
          <w:lang w:val="en-US"/>
        </w:rPr>
        <w:t>As described in</w:t>
      </w:r>
      <w:r w:rsidR="00D92DAB">
        <w:rPr>
          <w:lang w:val="en-US"/>
        </w:rPr>
        <w:t xml:space="preserve"> Section 3, </w:t>
      </w:r>
      <w:r w:rsidR="00F33F36">
        <w:rPr>
          <w:lang w:val="en-US"/>
        </w:rPr>
        <w:t xml:space="preserve">the similar </w:t>
      </w:r>
      <w:r w:rsidR="00D92DAB">
        <w:rPr>
          <w:lang w:val="en-US"/>
        </w:rPr>
        <w:t>802.1</w:t>
      </w:r>
      <w:r w:rsidR="005C7081" w:rsidRPr="005C7081">
        <w:rPr>
          <w:lang w:val="en-US"/>
        </w:rPr>
        <w:t xml:space="preserve">1ad preambles were </w:t>
      </w:r>
      <w:r>
        <w:rPr>
          <w:lang w:val="en-US"/>
        </w:rPr>
        <w:t xml:space="preserve">kept </w:t>
      </w:r>
      <w:r w:rsidR="005C7081" w:rsidRPr="005C7081">
        <w:rPr>
          <w:lang w:val="en-US"/>
        </w:rPr>
        <w:t xml:space="preserve">to be similar to </w:t>
      </w:r>
      <w:r>
        <w:rPr>
          <w:lang w:val="en-US"/>
        </w:rPr>
        <w:t xml:space="preserve">both 802.11ad and </w:t>
      </w:r>
      <w:r w:rsidR="005C7081" w:rsidRPr="005C7081">
        <w:rPr>
          <w:lang w:val="en-US"/>
        </w:rPr>
        <w:t>802.15.3c.  Furthermore transmit power levels and</w:t>
      </w:r>
      <w:r>
        <w:rPr>
          <w:lang w:val="en-US"/>
        </w:rPr>
        <w:t xml:space="preserve"> receive sensitivity of 802.11aj</w:t>
      </w:r>
      <w:r w:rsidR="005C7081" w:rsidRPr="005C7081">
        <w:rPr>
          <w:lang w:val="en-US"/>
        </w:rPr>
        <w:t xml:space="preserve"> system should be comparable to </w:t>
      </w:r>
      <w:r>
        <w:rPr>
          <w:lang w:val="en-US"/>
        </w:rPr>
        <w:t xml:space="preserve">both 802.11ad and </w:t>
      </w:r>
      <w:r w:rsidR="005C7081" w:rsidRPr="005C7081">
        <w:rPr>
          <w:lang w:val="en-US"/>
        </w:rPr>
        <w:t xml:space="preserve">802.15.3c. </w:t>
      </w:r>
    </w:p>
    <w:p w14:paraId="01063DB7" w14:textId="77777777" w:rsidR="00F33F36" w:rsidRDefault="00F33F36" w:rsidP="000E47CD">
      <w:pPr>
        <w:jc w:val="both"/>
        <w:rPr>
          <w:lang w:val="en-US"/>
        </w:rPr>
      </w:pPr>
    </w:p>
    <w:p w14:paraId="677A334D" w14:textId="77777777" w:rsidR="009A08C5" w:rsidRPr="005C7081" w:rsidRDefault="00F33F36" w:rsidP="000E47CD">
      <w:pPr>
        <w:jc w:val="both"/>
        <w:rPr>
          <w:lang w:val="en-US"/>
        </w:rPr>
      </w:pPr>
      <w:r>
        <w:rPr>
          <w:lang w:val="en-US"/>
        </w:rPr>
        <w:t xml:space="preserve">When 802.11aj operates in </w:t>
      </w:r>
      <w:r w:rsidR="005418B3">
        <w:rPr>
          <w:lang w:val="en-US"/>
        </w:rPr>
        <w:t xml:space="preserve">the </w:t>
      </w:r>
      <w:r w:rsidR="00846173">
        <w:rPr>
          <w:lang w:val="en-US"/>
        </w:rPr>
        <w:t>45</w:t>
      </w:r>
      <w:r w:rsidR="005418B3">
        <w:rPr>
          <w:lang w:val="en-US"/>
        </w:rPr>
        <w:t xml:space="preserve"> </w:t>
      </w:r>
      <w:r w:rsidR="00846173">
        <w:rPr>
          <w:lang w:val="en-US"/>
        </w:rPr>
        <w:t>G</w:t>
      </w:r>
      <w:r w:rsidR="00846173">
        <w:rPr>
          <w:rFonts w:eastAsia="宋体" w:hint="eastAsia"/>
          <w:lang w:val="en-US" w:eastAsia="zh-CN"/>
        </w:rPr>
        <w:t>H</w:t>
      </w:r>
      <w:r w:rsidR="00846173">
        <w:rPr>
          <w:lang w:val="en-US"/>
        </w:rPr>
        <w:t>z</w:t>
      </w:r>
      <w:r w:rsidR="00846173">
        <w:rPr>
          <w:rFonts w:eastAsia="宋体" w:hint="eastAsia"/>
          <w:lang w:val="en-US" w:eastAsia="zh-CN"/>
        </w:rPr>
        <w:t xml:space="preserve"> </w:t>
      </w:r>
      <w:r w:rsidR="00846173">
        <w:rPr>
          <w:szCs w:val="22"/>
        </w:rPr>
        <w:t>frequency band</w:t>
      </w:r>
      <w:r>
        <w:rPr>
          <w:lang w:val="en-US"/>
        </w:rPr>
        <w:t xml:space="preserve">, </w:t>
      </w:r>
      <w:r w:rsidR="00846173">
        <w:rPr>
          <w:szCs w:val="22"/>
        </w:rPr>
        <w:t xml:space="preserve">there is no </w:t>
      </w:r>
      <w:proofErr w:type="spellStart"/>
      <w:r w:rsidR="00F31721">
        <w:rPr>
          <w:rFonts w:eastAsia="宋体" w:hint="eastAsia"/>
          <w:szCs w:val="22"/>
          <w:lang w:eastAsia="zh-CN"/>
        </w:rPr>
        <w:t>coexsistence</w:t>
      </w:r>
      <w:proofErr w:type="spellEnd"/>
      <w:r w:rsidR="00F31721">
        <w:rPr>
          <w:rFonts w:eastAsia="宋体" w:hint="eastAsia"/>
          <w:szCs w:val="22"/>
          <w:lang w:eastAsia="zh-CN"/>
        </w:rPr>
        <w:t xml:space="preserve"> issue</w:t>
      </w:r>
      <w:r w:rsidR="00846173">
        <w:rPr>
          <w:lang w:val="en-US"/>
        </w:rPr>
        <w:t xml:space="preserve"> </w:t>
      </w:r>
      <w:r w:rsidR="00846173">
        <w:rPr>
          <w:rFonts w:eastAsia="宋体" w:hint="eastAsia"/>
          <w:lang w:val="en-US" w:eastAsia="zh-CN"/>
        </w:rPr>
        <w:t xml:space="preserve">as </w:t>
      </w:r>
      <w:r>
        <w:rPr>
          <w:lang w:val="en-US"/>
        </w:rPr>
        <w:t>t</w:t>
      </w:r>
      <w:r w:rsidR="009A08C5">
        <w:rPr>
          <w:lang w:val="en-US"/>
        </w:rPr>
        <w:t xml:space="preserve">here is no other wireless system operating in </w:t>
      </w:r>
      <w:r w:rsidR="005418B3">
        <w:rPr>
          <w:lang w:val="en-US"/>
        </w:rPr>
        <w:t xml:space="preserve">the </w:t>
      </w:r>
      <w:r w:rsidR="009A08C5">
        <w:rPr>
          <w:lang w:val="en-US"/>
        </w:rPr>
        <w:t>45</w:t>
      </w:r>
      <w:r w:rsidR="005418B3">
        <w:rPr>
          <w:lang w:val="en-US"/>
        </w:rPr>
        <w:t xml:space="preserve"> </w:t>
      </w:r>
      <w:r w:rsidR="009A08C5">
        <w:rPr>
          <w:lang w:val="en-US"/>
        </w:rPr>
        <w:t>GHz frequency band in China</w:t>
      </w:r>
      <w:r w:rsidR="00F31721" w:rsidRPr="00865D87">
        <w:rPr>
          <w:rFonts w:eastAsia="宋体" w:hint="eastAsia"/>
          <w:lang w:val="en-US" w:eastAsia="zh-CN"/>
        </w:rPr>
        <w:t xml:space="preserve"> </w:t>
      </w:r>
      <w:r w:rsidR="00F31721">
        <w:rPr>
          <w:rFonts w:eastAsia="宋体" w:hint="eastAsia"/>
          <w:lang w:val="en-US" w:eastAsia="zh-CN"/>
        </w:rPr>
        <w:t xml:space="preserve">at the time 802.11aj </w:t>
      </w:r>
      <w:r w:rsidR="00F31721">
        <w:rPr>
          <w:lang w:val="en-US"/>
        </w:rPr>
        <w:t>[1]</w:t>
      </w:r>
      <w:r w:rsidR="00F31721">
        <w:rPr>
          <w:rFonts w:eastAsia="宋体" w:hint="eastAsia"/>
          <w:lang w:val="en-US" w:eastAsia="zh-CN"/>
        </w:rPr>
        <w:t xml:space="preserve"> was completed</w:t>
      </w:r>
      <w:r w:rsidR="009A08C5">
        <w:rPr>
          <w:lang w:val="en-US"/>
        </w:rPr>
        <w:t>.</w:t>
      </w:r>
    </w:p>
    <w:p w14:paraId="560EF60D" w14:textId="77777777" w:rsidR="00266155" w:rsidRDefault="00266155" w:rsidP="00266155">
      <w:pPr>
        <w:pStyle w:val="Heading1"/>
        <w:rPr>
          <w:lang w:val="en-US"/>
        </w:rPr>
      </w:pPr>
      <w:r>
        <w:rPr>
          <w:lang w:val="en-US"/>
        </w:rPr>
        <w:t>Acronyms</w:t>
      </w:r>
    </w:p>
    <w:p w14:paraId="1702374D" w14:textId="77777777" w:rsidR="00514B8A" w:rsidRPr="00514B8A" w:rsidRDefault="00514B8A" w:rsidP="00514B8A"/>
    <w:p w14:paraId="4B105200" w14:textId="77777777" w:rsidR="00266155" w:rsidRDefault="00266155" w:rsidP="00266155">
      <w:pPr>
        <w:numPr>
          <w:ilvl w:val="0"/>
          <w:numId w:val="24"/>
        </w:numPr>
        <w:rPr>
          <w:lang w:val="en-US"/>
        </w:rPr>
      </w:pPr>
      <w:r>
        <w:rPr>
          <w:lang w:val="en-US"/>
        </w:rPr>
        <w:t>AP</w:t>
      </w:r>
      <w:r w:rsidR="00F55F2B">
        <w:rPr>
          <w:lang w:val="en-US"/>
        </w:rPr>
        <w:tab/>
      </w:r>
      <w:r w:rsidR="00F55F2B">
        <w:rPr>
          <w:lang w:val="en-US"/>
        </w:rPr>
        <w:tab/>
        <w:t>Access Point</w:t>
      </w:r>
    </w:p>
    <w:p w14:paraId="4C269959" w14:textId="77777777" w:rsidR="00266155" w:rsidRDefault="00266155" w:rsidP="00266155">
      <w:pPr>
        <w:numPr>
          <w:ilvl w:val="0"/>
          <w:numId w:val="24"/>
        </w:numPr>
        <w:rPr>
          <w:lang w:val="en-US"/>
        </w:rPr>
      </w:pPr>
      <w:r>
        <w:rPr>
          <w:lang w:val="en-US"/>
        </w:rPr>
        <w:t>STA</w:t>
      </w:r>
      <w:r w:rsidR="00F55F2B">
        <w:rPr>
          <w:lang w:val="en-US"/>
        </w:rPr>
        <w:tab/>
      </w:r>
      <w:r w:rsidR="00F55F2B">
        <w:rPr>
          <w:lang w:val="en-US"/>
        </w:rPr>
        <w:tab/>
        <w:t>Station</w:t>
      </w:r>
    </w:p>
    <w:p w14:paraId="7FD5D2E1" w14:textId="77777777" w:rsidR="009C5A63" w:rsidRDefault="009C5A63" w:rsidP="00266155">
      <w:pPr>
        <w:numPr>
          <w:ilvl w:val="0"/>
          <w:numId w:val="24"/>
        </w:numPr>
        <w:rPr>
          <w:lang w:val="en-US"/>
        </w:rPr>
      </w:pPr>
      <w:r>
        <w:rPr>
          <w:lang w:val="en-US"/>
        </w:rPr>
        <w:t>CMS</w:t>
      </w:r>
      <w:r w:rsidR="00F55F2B">
        <w:rPr>
          <w:lang w:val="en-US"/>
        </w:rPr>
        <w:tab/>
      </w:r>
      <w:r w:rsidR="00F55F2B">
        <w:rPr>
          <w:lang w:val="en-US"/>
        </w:rPr>
        <w:tab/>
      </w:r>
      <w:r w:rsidR="00952AC6">
        <w:rPr>
          <w:lang w:val="en-US"/>
        </w:rPr>
        <w:t>Common Mode Signaling</w:t>
      </w:r>
    </w:p>
    <w:p w14:paraId="490802FD" w14:textId="77777777" w:rsidR="00D06430" w:rsidRDefault="00D06430" w:rsidP="00266155">
      <w:pPr>
        <w:numPr>
          <w:ilvl w:val="0"/>
          <w:numId w:val="24"/>
        </w:numPr>
        <w:rPr>
          <w:lang w:val="en-US"/>
        </w:rPr>
      </w:pPr>
      <w:r>
        <w:rPr>
          <w:lang w:val="en-US"/>
        </w:rPr>
        <w:t>BSS</w:t>
      </w:r>
      <w:r w:rsidR="00F55F2B">
        <w:rPr>
          <w:lang w:val="en-US"/>
        </w:rPr>
        <w:tab/>
      </w:r>
      <w:r w:rsidR="00F55F2B">
        <w:rPr>
          <w:lang w:val="en-US"/>
        </w:rPr>
        <w:tab/>
        <w:t>Basic Service Set</w:t>
      </w:r>
    </w:p>
    <w:p w14:paraId="53678A7C" w14:textId="77777777" w:rsidR="00D06430" w:rsidRDefault="00D06430" w:rsidP="00266155">
      <w:pPr>
        <w:numPr>
          <w:ilvl w:val="0"/>
          <w:numId w:val="24"/>
        </w:numPr>
        <w:rPr>
          <w:lang w:val="en-US"/>
        </w:rPr>
      </w:pPr>
      <w:r>
        <w:rPr>
          <w:lang w:val="en-US"/>
        </w:rPr>
        <w:lastRenderedPageBreak/>
        <w:t>MCS</w:t>
      </w:r>
      <w:r w:rsidR="00F55F2B">
        <w:rPr>
          <w:lang w:val="en-US"/>
        </w:rPr>
        <w:tab/>
      </w:r>
      <w:r w:rsidR="00F55F2B">
        <w:rPr>
          <w:lang w:val="en-US"/>
        </w:rPr>
        <w:tab/>
        <w:t xml:space="preserve">Modulation </w:t>
      </w:r>
      <w:r w:rsidR="00952AC6">
        <w:rPr>
          <w:lang w:val="en-US"/>
        </w:rPr>
        <w:t>and Coding</w:t>
      </w:r>
      <w:r w:rsidR="00F55F2B">
        <w:rPr>
          <w:lang w:val="en-US"/>
        </w:rPr>
        <w:t xml:space="preserve"> S</w:t>
      </w:r>
      <w:r w:rsidR="00952AC6">
        <w:rPr>
          <w:lang w:val="en-US"/>
        </w:rPr>
        <w:t>cheme</w:t>
      </w:r>
    </w:p>
    <w:p w14:paraId="4638AA70" w14:textId="77777777" w:rsidR="009E38AC" w:rsidRDefault="009E38AC" w:rsidP="009E38AC">
      <w:pPr>
        <w:pStyle w:val="Heading1"/>
        <w:rPr>
          <w:lang w:val="en-US"/>
        </w:rPr>
      </w:pPr>
      <w:r>
        <w:rPr>
          <w:lang w:val="en-US"/>
        </w:rPr>
        <w:t>References</w:t>
      </w:r>
    </w:p>
    <w:p w14:paraId="06EF5A0A" w14:textId="77777777" w:rsidR="00A82B38" w:rsidRPr="00A82B38" w:rsidRDefault="00A82B38" w:rsidP="00A82B38">
      <w:pPr>
        <w:rPr>
          <w:lang w:val="en-US"/>
        </w:rPr>
      </w:pPr>
    </w:p>
    <w:p w14:paraId="275DF2D2" w14:textId="77777777" w:rsidR="00743AC9" w:rsidRDefault="00A82B38" w:rsidP="00A82B38">
      <w:pPr>
        <w:ind w:firstLine="180"/>
        <w:rPr>
          <w:rFonts w:eastAsia="PMingLiU"/>
          <w:lang w:val="en-US" w:eastAsia="zh-TW"/>
        </w:rPr>
      </w:pPr>
      <w:r>
        <w:rPr>
          <w:lang w:val="en-US"/>
        </w:rPr>
        <w:t xml:space="preserve">[1] </w:t>
      </w:r>
      <w:r w:rsidR="00E37759">
        <w:rPr>
          <w:lang w:val="en-US"/>
        </w:rPr>
        <w:t>Draft P</w:t>
      </w:r>
      <w:r w:rsidR="007E0A58">
        <w:rPr>
          <w:lang w:val="en-US"/>
        </w:rPr>
        <w:t>802.11aj</w:t>
      </w:r>
      <w:r w:rsidR="008B6E2D">
        <w:rPr>
          <w:lang w:val="en-US"/>
        </w:rPr>
        <w:t xml:space="preserve"> D</w:t>
      </w:r>
      <w:r w:rsidR="002C3896">
        <w:rPr>
          <w:lang w:val="en-US"/>
        </w:rPr>
        <w:t>1.0</w:t>
      </w:r>
    </w:p>
    <w:p w14:paraId="5A393D2D" w14:textId="77777777" w:rsidR="00743AC9" w:rsidRDefault="00A82B38" w:rsidP="00A82B38">
      <w:pPr>
        <w:ind w:firstLine="180"/>
      </w:pPr>
      <w:r>
        <w:t xml:space="preserve">[2] </w:t>
      </w:r>
      <w:r w:rsidR="007E0A58" w:rsidRPr="007E0A58">
        <w:t>11-12-0141-07-cmmw-ieee-802-11-cmww-sg-5c</w:t>
      </w:r>
    </w:p>
    <w:p w14:paraId="60ECCDD9" w14:textId="77777777" w:rsidR="00A471F4" w:rsidRPr="00A471F4" w:rsidRDefault="00A471F4" w:rsidP="00A471F4">
      <w:pPr>
        <w:ind w:firstLine="180"/>
        <w:rPr>
          <w:lang w:val="en-US"/>
        </w:rPr>
      </w:pPr>
      <w:r>
        <w:rPr>
          <w:lang w:val="en-US"/>
        </w:rPr>
        <w:t xml:space="preserve">[3] </w:t>
      </w:r>
      <w:r w:rsidRPr="00A471F4">
        <w:rPr>
          <w:lang w:val="en-US"/>
        </w:rPr>
        <w:t>11-12-0140-09-cmmw-ieee-802-11-cmmw-sg-par</w:t>
      </w:r>
    </w:p>
    <w:p w14:paraId="77A1EA40" w14:textId="77777777" w:rsidR="00911B65" w:rsidRDefault="00A471F4" w:rsidP="00A82B38">
      <w:pPr>
        <w:ind w:firstLine="180"/>
        <w:rPr>
          <w:lang w:val="en-US"/>
        </w:rPr>
      </w:pPr>
      <w:r>
        <w:rPr>
          <w:lang w:val="en-US"/>
        </w:rPr>
        <w:t>[4</w:t>
      </w:r>
      <w:r w:rsidR="00A82B38">
        <w:rPr>
          <w:lang w:val="en-US"/>
        </w:rPr>
        <w:t xml:space="preserve">] </w:t>
      </w:r>
      <w:proofErr w:type="gramStart"/>
      <w:r w:rsidR="00E37759">
        <w:rPr>
          <w:lang w:val="en-US"/>
        </w:rPr>
        <w:t>IEEE Std</w:t>
      </w:r>
      <w:proofErr w:type="gramEnd"/>
      <w:r w:rsidR="00E37759">
        <w:rPr>
          <w:lang w:val="en-US"/>
        </w:rPr>
        <w:t xml:space="preserve"> </w:t>
      </w:r>
      <w:r w:rsidR="007E0A58">
        <w:rPr>
          <w:lang w:val="en-US"/>
        </w:rPr>
        <w:t>802.11ad</w:t>
      </w:r>
      <w:r w:rsidR="00E37759">
        <w:rPr>
          <w:lang w:val="en-US"/>
        </w:rPr>
        <w:t>-20</w:t>
      </w:r>
      <w:r w:rsidR="007E0A58">
        <w:rPr>
          <w:lang w:val="en-US"/>
        </w:rPr>
        <w:t>12</w:t>
      </w:r>
    </w:p>
    <w:p w14:paraId="19A49316" w14:textId="77777777" w:rsidR="009E38AC" w:rsidRDefault="00A471F4" w:rsidP="00517C9E">
      <w:pPr>
        <w:ind w:firstLine="180"/>
        <w:rPr>
          <w:lang w:val="en-US"/>
        </w:rPr>
      </w:pPr>
      <w:r>
        <w:rPr>
          <w:lang w:val="en-US"/>
        </w:rPr>
        <w:t>[5</w:t>
      </w:r>
      <w:r w:rsidR="005C7081">
        <w:rPr>
          <w:lang w:val="en-US"/>
        </w:rPr>
        <w:t xml:space="preserve">] </w:t>
      </w:r>
      <w:proofErr w:type="gramStart"/>
      <w:r w:rsidR="007E0A58">
        <w:rPr>
          <w:lang w:val="en-US"/>
        </w:rPr>
        <w:t>IEEE Std</w:t>
      </w:r>
      <w:proofErr w:type="gramEnd"/>
      <w:r w:rsidR="007E0A58">
        <w:rPr>
          <w:lang w:val="en-US"/>
        </w:rPr>
        <w:t xml:space="preserve"> 802.15.3c-2009</w:t>
      </w:r>
    </w:p>
    <w:p w14:paraId="59AB73F4" w14:textId="77777777" w:rsidR="00D326B5" w:rsidRPr="009E38AC" w:rsidRDefault="00A471F4" w:rsidP="00517C9E">
      <w:pPr>
        <w:ind w:firstLine="180"/>
        <w:rPr>
          <w:lang w:val="en-US"/>
        </w:rPr>
      </w:pPr>
      <w:r>
        <w:rPr>
          <w:lang w:val="en-US"/>
        </w:rPr>
        <w:t>[6</w:t>
      </w:r>
      <w:r w:rsidR="00D326B5">
        <w:rPr>
          <w:lang w:val="en-US"/>
        </w:rPr>
        <w:t xml:space="preserve">] </w:t>
      </w:r>
      <w:r w:rsidR="00D326B5" w:rsidRPr="00D326B5">
        <w:rPr>
          <w:lang w:val="en-US"/>
        </w:rPr>
        <w:t>11-13-1365-02-00aj-45ghz-spectrum-allocation-in-china</w:t>
      </w:r>
    </w:p>
    <w:sectPr w:rsidR="00D326B5" w:rsidRPr="009E38AC" w:rsidSect="00CF238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printerSettings r:id="rId1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43368" w14:textId="77777777" w:rsidR="00AA3E3B" w:rsidRDefault="00AA3E3B">
      <w:r>
        <w:separator/>
      </w:r>
    </w:p>
  </w:endnote>
  <w:endnote w:type="continuationSeparator" w:id="0">
    <w:p w14:paraId="6B5A62D7" w14:textId="77777777" w:rsidR="00AA3E3B" w:rsidRDefault="00AA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NewRoman,Bold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35084" w14:textId="77777777" w:rsidR="00693F14" w:rsidRDefault="00693F14" w:rsidP="002676F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rPr>
        <w:lang w:val="fr-FR"/>
      </w:rPr>
      <w:instrText xml:space="preserve"> SUBJECT  \* MERGEFORMAT </w:instrText>
    </w:r>
    <w:r>
      <w:fldChar w:fldCharType="separate"/>
    </w:r>
    <w:r w:rsidRPr="002D0F36">
      <w:rPr>
        <w:lang w:val="en-US"/>
      </w:rPr>
      <w:t>Submission</w:t>
    </w:r>
    <w:r>
      <w:fldChar w:fldCharType="end"/>
    </w:r>
    <w:r>
      <w:rPr>
        <w:lang w:val="fr-FR"/>
      </w:rPr>
      <w:tab/>
      <w:t xml:space="preserve">page </w:t>
    </w:r>
    <w:r>
      <w:fldChar w:fldCharType="begin"/>
    </w:r>
    <w:r>
      <w:rPr>
        <w:lang w:val="fr-FR"/>
      </w:rPr>
      <w:instrText xml:space="preserve">page </w:instrText>
    </w:r>
    <w:r>
      <w:fldChar w:fldCharType="separate"/>
    </w:r>
    <w:r w:rsidR="00CF238D">
      <w:rPr>
        <w:noProof/>
        <w:lang w:val="fr-FR"/>
      </w:rPr>
      <w:t>1</w:t>
    </w:r>
    <w:r>
      <w:fldChar w:fldCharType="end"/>
    </w:r>
    <w:r>
      <w:rPr>
        <w:lang w:val="fr-FR"/>
      </w:rPr>
      <w:tab/>
    </w:r>
    <w:r>
      <w:t>Xiaoming Peng, I</w:t>
    </w:r>
    <w:r w:rsidRPr="00B71C53">
      <w:rPr>
        <w:vertAlign w:val="superscript"/>
      </w:rPr>
      <w:t>2</w:t>
    </w:r>
    <w:r>
      <w:t>R</w:t>
    </w:r>
  </w:p>
  <w:p w14:paraId="66D4C4E6" w14:textId="77777777" w:rsidR="00693F14" w:rsidRDefault="00693F1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46071" w14:textId="77777777" w:rsidR="00AA3E3B" w:rsidRDefault="00AA3E3B">
      <w:r>
        <w:separator/>
      </w:r>
    </w:p>
  </w:footnote>
  <w:footnote w:type="continuationSeparator" w:id="0">
    <w:p w14:paraId="45C0FD42" w14:textId="77777777" w:rsidR="00AA3E3B" w:rsidRDefault="00AA3E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E37E0" w14:textId="77777777" w:rsidR="00693F14" w:rsidRDefault="00044F94" w:rsidP="006851C5">
    <w:pPr>
      <w:pStyle w:val="Header"/>
      <w:tabs>
        <w:tab w:val="clear" w:pos="6480"/>
        <w:tab w:val="center" w:pos="4680"/>
        <w:tab w:val="right" w:pos="9360"/>
      </w:tabs>
    </w:pPr>
    <w:r>
      <w:rPr>
        <w:rFonts w:eastAsia="宋体" w:hint="eastAsia"/>
        <w:lang w:eastAsia="zh-CN"/>
      </w:rPr>
      <w:t>December</w:t>
    </w:r>
    <w:r w:rsidR="00CF238D">
      <w:fldChar w:fldCharType="begin"/>
    </w:r>
    <w:r w:rsidR="00CF238D">
      <w:instrText xml:space="preserve"> KEYWORDS  \* MERGEFORMAT </w:instrText>
    </w:r>
    <w:r w:rsidR="00CF238D">
      <w:fldChar w:fldCharType="separate"/>
    </w:r>
    <w:r w:rsidR="00693F14">
      <w:t xml:space="preserve"> 2015</w:t>
    </w:r>
    <w:r w:rsidR="00CF238D">
      <w:fldChar w:fldCharType="end"/>
    </w:r>
    <w:r w:rsidR="00693F14">
      <w:tab/>
    </w:r>
    <w:r w:rsidR="00693F14">
      <w:tab/>
    </w:r>
    <w:r w:rsidR="00CF238D">
      <w:fldChar w:fldCharType="begin"/>
    </w:r>
    <w:r w:rsidR="00CF238D">
      <w:instrText xml:space="preserve"> TITLE  \* MERGEFORMAT </w:instrText>
    </w:r>
    <w:r w:rsidR="00CF238D">
      <w:fldChar w:fldCharType="separate"/>
    </w:r>
    <w:r w:rsidR="00693F14">
      <w:t>doc.: IEEE 802.11-15/</w:t>
    </w:r>
    <w:r w:rsidR="006B2612">
      <w:t>1535</w:t>
    </w:r>
    <w:r w:rsidR="00693F14">
      <w:t>r0</w:t>
    </w:r>
    <w:r w:rsidR="00CF238D"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47820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501A8C"/>
    <w:multiLevelType w:val="hybridMultilevel"/>
    <w:tmpl w:val="4116678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B875F54"/>
    <w:multiLevelType w:val="hybridMultilevel"/>
    <w:tmpl w:val="733C64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8841E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EAC0C9A"/>
    <w:multiLevelType w:val="hybridMultilevel"/>
    <w:tmpl w:val="30F0B7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3C2F34"/>
    <w:multiLevelType w:val="hybridMultilevel"/>
    <w:tmpl w:val="4024F7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A0C984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F80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E28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41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2ED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74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0A7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EAC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D38152F"/>
    <w:multiLevelType w:val="hybridMultilevel"/>
    <w:tmpl w:val="BC2A4D9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C2111A"/>
    <w:multiLevelType w:val="hybridMultilevel"/>
    <w:tmpl w:val="B1686CC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B16720"/>
    <w:multiLevelType w:val="hybridMultilevel"/>
    <w:tmpl w:val="27AC4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5840B8"/>
    <w:multiLevelType w:val="hybridMultilevel"/>
    <w:tmpl w:val="360E4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0021B5"/>
    <w:multiLevelType w:val="hybridMultilevel"/>
    <w:tmpl w:val="7D661A9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ADDD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491A9B"/>
    <w:multiLevelType w:val="hybridMultilevel"/>
    <w:tmpl w:val="AC420C4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9507EB"/>
    <w:multiLevelType w:val="hybridMultilevel"/>
    <w:tmpl w:val="E1FE5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966A1C"/>
    <w:multiLevelType w:val="hybridMultilevel"/>
    <w:tmpl w:val="03BC8558"/>
    <w:lvl w:ilvl="0" w:tplc="EBFCC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38CB46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E8ED6C">
      <w:start w:val="18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46E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702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F8C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6D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EA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182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17849E6"/>
    <w:multiLevelType w:val="multilevel"/>
    <w:tmpl w:val="F588211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96"/>
        </w:tabs>
        <w:ind w:left="3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684"/>
        </w:tabs>
        <w:ind w:left="6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828"/>
        </w:tabs>
        <w:ind w:left="8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972"/>
        </w:tabs>
        <w:ind w:left="9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116"/>
        </w:tabs>
        <w:ind w:left="11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404"/>
        </w:tabs>
        <w:ind w:left="1404" w:hanging="1584"/>
      </w:pPr>
      <w:rPr>
        <w:rFonts w:hint="default"/>
      </w:rPr>
    </w:lvl>
  </w:abstractNum>
  <w:abstractNum w:abstractNumId="14">
    <w:nsid w:val="45951ED5"/>
    <w:multiLevelType w:val="hybridMultilevel"/>
    <w:tmpl w:val="379E0C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BE71059"/>
    <w:multiLevelType w:val="hybridMultilevel"/>
    <w:tmpl w:val="A470F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877876"/>
    <w:multiLevelType w:val="hybridMultilevel"/>
    <w:tmpl w:val="354AC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2F18B4"/>
    <w:multiLevelType w:val="hybridMultilevel"/>
    <w:tmpl w:val="B7F47F4A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F065BC"/>
    <w:multiLevelType w:val="hybridMultilevel"/>
    <w:tmpl w:val="2A8EF0F4"/>
    <w:lvl w:ilvl="0" w:tplc="7C5A0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A0C984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DE28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41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2ED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74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0A7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EAC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41078DB"/>
    <w:multiLevelType w:val="hybridMultilevel"/>
    <w:tmpl w:val="8B3C2560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5B189E"/>
    <w:multiLevelType w:val="hybridMultilevel"/>
    <w:tmpl w:val="30F0CBC4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A369A0"/>
    <w:multiLevelType w:val="hybridMultilevel"/>
    <w:tmpl w:val="CC02E9DA"/>
    <w:lvl w:ilvl="0" w:tplc="E35A7FA8">
      <w:start w:val="2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NewRoman" w:eastAsia="MS Mincho" w:hAnsi="TimesNewRoman" w:cs="TimesNew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193719"/>
    <w:multiLevelType w:val="hybridMultilevel"/>
    <w:tmpl w:val="E5D0F992"/>
    <w:lvl w:ilvl="0" w:tplc="ECEA897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453C667A">
      <w:start w:val="183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CCF0B9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C8BECE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54C0A8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E5220C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581227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893C33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A1FE358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3">
    <w:nsid w:val="724BA2C7"/>
    <w:multiLevelType w:val="hybridMultilevel"/>
    <w:tmpl w:val="F3F2D1DB"/>
    <w:lvl w:ilvl="0" w:tplc="04090001">
      <w:start w:val="1"/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4">
    <w:nsid w:val="74867A6F"/>
    <w:multiLevelType w:val="multilevel"/>
    <w:tmpl w:val="9C945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3657BD"/>
    <w:multiLevelType w:val="hybridMultilevel"/>
    <w:tmpl w:val="619C1E1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C90994"/>
    <w:multiLevelType w:val="hybridMultilevel"/>
    <w:tmpl w:val="238CF42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21"/>
  </w:num>
  <w:num w:numId="5">
    <w:abstractNumId w:val="9"/>
  </w:num>
  <w:num w:numId="6">
    <w:abstractNumId w:val="18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  <w:num w:numId="11">
    <w:abstractNumId w:val="14"/>
  </w:num>
  <w:num w:numId="12">
    <w:abstractNumId w:val="13"/>
  </w:num>
  <w:num w:numId="13">
    <w:abstractNumId w:val="24"/>
  </w:num>
  <w:num w:numId="14">
    <w:abstractNumId w:val="23"/>
  </w:num>
  <w:num w:numId="15">
    <w:abstractNumId w:val="13"/>
  </w:num>
  <w:num w:numId="16">
    <w:abstractNumId w:val="13"/>
  </w:num>
  <w:num w:numId="17">
    <w:abstractNumId w:val="13"/>
  </w:num>
  <w:num w:numId="18">
    <w:abstractNumId w:val="22"/>
  </w:num>
  <w:num w:numId="19">
    <w:abstractNumId w:val="12"/>
  </w:num>
  <w:num w:numId="20">
    <w:abstractNumId w:val="26"/>
  </w:num>
  <w:num w:numId="21">
    <w:abstractNumId w:val="19"/>
  </w:num>
  <w:num w:numId="22">
    <w:abstractNumId w:val="25"/>
  </w:num>
  <w:num w:numId="23">
    <w:abstractNumId w:val="20"/>
  </w:num>
  <w:num w:numId="24">
    <w:abstractNumId w:val="5"/>
  </w:num>
  <w:num w:numId="25">
    <w:abstractNumId w:val="17"/>
  </w:num>
  <w:num w:numId="26">
    <w:abstractNumId w:val="10"/>
  </w:num>
  <w:num w:numId="27">
    <w:abstractNumId w:val="3"/>
  </w:num>
  <w:num w:numId="28">
    <w:abstractNumId w:val="7"/>
  </w:num>
  <w:num w:numId="29">
    <w:abstractNumId w:val="8"/>
  </w:num>
  <w:num w:numId="3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iming Wang">
    <w15:presenceInfo w15:providerId="None" w15:userId="Haiming W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intFractionalCharacterWidth/>
  <w:mirrorMargins/>
  <w:hideSpellingError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6A"/>
    <w:rsid w:val="00016931"/>
    <w:rsid w:val="00017DA4"/>
    <w:rsid w:val="000204C9"/>
    <w:rsid w:val="00025077"/>
    <w:rsid w:val="00026E69"/>
    <w:rsid w:val="000322FC"/>
    <w:rsid w:val="0003260B"/>
    <w:rsid w:val="00034386"/>
    <w:rsid w:val="00044F94"/>
    <w:rsid w:val="00052F5D"/>
    <w:rsid w:val="00081BF5"/>
    <w:rsid w:val="00085119"/>
    <w:rsid w:val="000908B3"/>
    <w:rsid w:val="00094C6A"/>
    <w:rsid w:val="000A390F"/>
    <w:rsid w:val="000A7A59"/>
    <w:rsid w:val="000B011C"/>
    <w:rsid w:val="000B13B4"/>
    <w:rsid w:val="000B4575"/>
    <w:rsid w:val="000B6E4E"/>
    <w:rsid w:val="000C2D5F"/>
    <w:rsid w:val="000C3E97"/>
    <w:rsid w:val="000E47CD"/>
    <w:rsid w:val="00101E7A"/>
    <w:rsid w:val="00104BD9"/>
    <w:rsid w:val="001065A1"/>
    <w:rsid w:val="00115AFA"/>
    <w:rsid w:val="001218BA"/>
    <w:rsid w:val="0012370A"/>
    <w:rsid w:val="00127E39"/>
    <w:rsid w:val="00135B24"/>
    <w:rsid w:val="001402C2"/>
    <w:rsid w:val="00146B8C"/>
    <w:rsid w:val="00150682"/>
    <w:rsid w:val="0016456A"/>
    <w:rsid w:val="00170B84"/>
    <w:rsid w:val="001711AE"/>
    <w:rsid w:val="00175624"/>
    <w:rsid w:val="00182EC1"/>
    <w:rsid w:val="00183A52"/>
    <w:rsid w:val="0018766E"/>
    <w:rsid w:val="001A0E3D"/>
    <w:rsid w:val="001B5559"/>
    <w:rsid w:val="001B57E1"/>
    <w:rsid w:val="001C42C4"/>
    <w:rsid w:val="001C47CF"/>
    <w:rsid w:val="001C6149"/>
    <w:rsid w:val="001D3835"/>
    <w:rsid w:val="001E64FC"/>
    <w:rsid w:val="001E70DD"/>
    <w:rsid w:val="001F7867"/>
    <w:rsid w:val="00212F94"/>
    <w:rsid w:val="0022683D"/>
    <w:rsid w:val="00232D52"/>
    <w:rsid w:val="00233A0D"/>
    <w:rsid w:val="002344BB"/>
    <w:rsid w:val="002370FC"/>
    <w:rsid w:val="0024171E"/>
    <w:rsid w:val="00241E2A"/>
    <w:rsid w:val="00253447"/>
    <w:rsid w:val="00253ECF"/>
    <w:rsid w:val="00256898"/>
    <w:rsid w:val="00266155"/>
    <w:rsid w:val="0026642D"/>
    <w:rsid w:val="002676F0"/>
    <w:rsid w:val="0028642B"/>
    <w:rsid w:val="0029502B"/>
    <w:rsid w:val="00295711"/>
    <w:rsid w:val="00295B4F"/>
    <w:rsid w:val="002A3B5B"/>
    <w:rsid w:val="002A48E8"/>
    <w:rsid w:val="002A5958"/>
    <w:rsid w:val="002C3896"/>
    <w:rsid w:val="002D0F36"/>
    <w:rsid w:val="002D4CD7"/>
    <w:rsid w:val="002D62B3"/>
    <w:rsid w:val="002D7138"/>
    <w:rsid w:val="002D7D75"/>
    <w:rsid w:val="002E26B0"/>
    <w:rsid w:val="0030652B"/>
    <w:rsid w:val="00312498"/>
    <w:rsid w:val="00313D0A"/>
    <w:rsid w:val="003429A1"/>
    <w:rsid w:val="0039270F"/>
    <w:rsid w:val="00392FAB"/>
    <w:rsid w:val="00393D0B"/>
    <w:rsid w:val="003A5A9E"/>
    <w:rsid w:val="003A61C2"/>
    <w:rsid w:val="003A66BA"/>
    <w:rsid w:val="003B318C"/>
    <w:rsid w:val="003B504D"/>
    <w:rsid w:val="003B77AE"/>
    <w:rsid w:val="003C63C7"/>
    <w:rsid w:val="003D07D1"/>
    <w:rsid w:val="003D14AC"/>
    <w:rsid w:val="003E153B"/>
    <w:rsid w:val="003E1C7A"/>
    <w:rsid w:val="00400491"/>
    <w:rsid w:val="004110E7"/>
    <w:rsid w:val="0043028C"/>
    <w:rsid w:val="00445FA0"/>
    <w:rsid w:val="00447267"/>
    <w:rsid w:val="00455B5C"/>
    <w:rsid w:val="00457DE6"/>
    <w:rsid w:val="00457F42"/>
    <w:rsid w:val="00460D1D"/>
    <w:rsid w:val="00463F17"/>
    <w:rsid w:val="00470FD9"/>
    <w:rsid w:val="00472929"/>
    <w:rsid w:val="00474F5D"/>
    <w:rsid w:val="0047516D"/>
    <w:rsid w:val="00475D97"/>
    <w:rsid w:val="0049047D"/>
    <w:rsid w:val="004946C2"/>
    <w:rsid w:val="004946C8"/>
    <w:rsid w:val="004A1C2E"/>
    <w:rsid w:val="004A2343"/>
    <w:rsid w:val="004B166E"/>
    <w:rsid w:val="004C3F84"/>
    <w:rsid w:val="004D037A"/>
    <w:rsid w:val="004E01B2"/>
    <w:rsid w:val="004E6CC5"/>
    <w:rsid w:val="004F5710"/>
    <w:rsid w:val="004F5C8A"/>
    <w:rsid w:val="00500E48"/>
    <w:rsid w:val="005025B3"/>
    <w:rsid w:val="005044FC"/>
    <w:rsid w:val="00512FA0"/>
    <w:rsid w:val="00514B8A"/>
    <w:rsid w:val="00517C9E"/>
    <w:rsid w:val="00530DFA"/>
    <w:rsid w:val="0053378B"/>
    <w:rsid w:val="0053550E"/>
    <w:rsid w:val="005418B3"/>
    <w:rsid w:val="0054295D"/>
    <w:rsid w:val="005439F2"/>
    <w:rsid w:val="0054623A"/>
    <w:rsid w:val="00554743"/>
    <w:rsid w:val="00556FB0"/>
    <w:rsid w:val="00560742"/>
    <w:rsid w:val="0056134D"/>
    <w:rsid w:val="0056763F"/>
    <w:rsid w:val="00573235"/>
    <w:rsid w:val="00573A9E"/>
    <w:rsid w:val="00575022"/>
    <w:rsid w:val="00580B52"/>
    <w:rsid w:val="00587722"/>
    <w:rsid w:val="005B5E31"/>
    <w:rsid w:val="005C11B0"/>
    <w:rsid w:val="005C34D1"/>
    <w:rsid w:val="005C7081"/>
    <w:rsid w:val="005D21B2"/>
    <w:rsid w:val="005E4536"/>
    <w:rsid w:val="005E6A6E"/>
    <w:rsid w:val="005F1B76"/>
    <w:rsid w:val="005F6D11"/>
    <w:rsid w:val="0060128B"/>
    <w:rsid w:val="00602AE6"/>
    <w:rsid w:val="00614926"/>
    <w:rsid w:val="00625BA7"/>
    <w:rsid w:val="00627270"/>
    <w:rsid w:val="00627B80"/>
    <w:rsid w:val="00627D2F"/>
    <w:rsid w:val="006424D9"/>
    <w:rsid w:val="00656115"/>
    <w:rsid w:val="006655E0"/>
    <w:rsid w:val="00682DE8"/>
    <w:rsid w:val="00683C78"/>
    <w:rsid w:val="006851C5"/>
    <w:rsid w:val="006902E0"/>
    <w:rsid w:val="00693F14"/>
    <w:rsid w:val="00693F93"/>
    <w:rsid w:val="006940FD"/>
    <w:rsid w:val="006B2612"/>
    <w:rsid w:val="006C38C2"/>
    <w:rsid w:val="006C4C96"/>
    <w:rsid w:val="006C771A"/>
    <w:rsid w:val="006D1DB8"/>
    <w:rsid w:val="006D2D73"/>
    <w:rsid w:val="006D6203"/>
    <w:rsid w:val="006E31C6"/>
    <w:rsid w:val="006F02A6"/>
    <w:rsid w:val="006F49AB"/>
    <w:rsid w:val="007054F6"/>
    <w:rsid w:val="0071380B"/>
    <w:rsid w:val="00713B48"/>
    <w:rsid w:val="00720DFA"/>
    <w:rsid w:val="00721C5F"/>
    <w:rsid w:val="007230C0"/>
    <w:rsid w:val="00724D22"/>
    <w:rsid w:val="00726C2B"/>
    <w:rsid w:val="0072793F"/>
    <w:rsid w:val="00742001"/>
    <w:rsid w:val="00743AC9"/>
    <w:rsid w:val="00766E07"/>
    <w:rsid w:val="00781C3F"/>
    <w:rsid w:val="007826CE"/>
    <w:rsid w:val="00785FA0"/>
    <w:rsid w:val="00787076"/>
    <w:rsid w:val="007B2BD8"/>
    <w:rsid w:val="007C42EE"/>
    <w:rsid w:val="007C6BA0"/>
    <w:rsid w:val="007D1772"/>
    <w:rsid w:val="007D3D32"/>
    <w:rsid w:val="007D5B6B"/>
    <w:rsid w:val="007E0A53"/>
    <w:rsid w:val="007E0A58"/>
    <w:rsid w:val="007F2421"/>
    <w:rsid w:val="007F3B22"/>
    <w:rsid w:val="007F3E41"/>
    <w:rsid w:val="007F5E3F"/>
    <w:rsid w:val="007F7934"/>
    <w:rsid w:val="00807E42"/>
    <w:rsid w:val="0081453D"/>
    <w:rsid w:val="00830135"/>
    <w:rsid w:val="00835F12"/>
    <w:rsid w:val="008374B4"/>
    <w:rsid w:val="00841C64"/>
    <w:rsid w:val="00843BD9"/>
    <w:rsid w:val="00846173"/>
    <w:rsid w:val="00851C96"/>
    <w:rsid w:val="00865D87"/>
    <w:rsid w:val="0086623E"/>
    <w:rsid w:val="00881681"/>
    <w:rsid w:val="00883457"/>
    <w:rsid w:val="00884AD2"/>
    <w:rsid w:val="00892B19"/>
    <w:rsid w:val="00894696"/>
    <w:rsid w:val="00895EC6"/>
    <w:rsid w:val="008A0F53"/>
    <w:rsid w:val="008B49DF"/>
    <w:rsid w:val="008B5F51"/>
    <w:rsid w:val="008B6908"/>
    <w:rsid w:val="008B6E2D"/>
    <w:rsid w:val="008B6ECD"/>
    <w:rsid w:val="008C1DCE"/>
    <w:rsid w:val="008C6F96"/>
    <w:rsid w:val="008D1FEB"/>
    <w:rsid w:val="008D26BD"/>
    <w:rsid w:val="008D68CF"/>
    <w:rsid w:val="008D7AF9"/>
    <w:rsid w:val="008E04A8"/>
    <w:rsid w:val="008E270B"/>
    <w:rsid w:val="008F0B61"/>
    <w:rsid w:val="008F5830"/>
    <w:rsid w:val="00911B65"/>
    <w:rsid w:val="009133CB"/>
    <w:rsid w:val="00914D7E"/>
    <w:rsid w:val="00914EFD"/>
    <w:rsid w:val="0091771A"/>
    <w:rsid w:val="009224EA"/>
    <w:rsid w:val="009241F9"/>
    <w:rsid w:val="0093151F"/>
    <w:rsid w:val="0093181F"/>
    <w:rsid w:val="00931A22"/>
    <w:rsid w:val="00932574"/>
    <w:rsid w:val="00935698"/>
    <w:rsid w:val="00936704"/>
    <w:rsid w:val="00936C51"/>
    <w:rsid w:val="00937D89"/>
    <w:rsid w:val="00945E5E"/>
    <w:rsid w:val="009466E7"/>
    <w:rsid w:val="00952AC6"/>
    <w:rsid w:val="00975F59"/>
    <w:rsid w:val="0098158F"/>
    <w:rsid w:val="0098399F"/>
    <w:rsid w:val="009A08C5"/>
    <w:rsid w:val="009A1DDB"/>
    <w:rsid w:val="009A6C1A"/>
    <w:rsid w:val="009B612D"/>
    <w:rsid w:val="009B63F2"/>
    <w:rsid w:val="009B66FB"/>
    <w:rsid w:val="009C07CA"/>
    <w:rsid w:val="009C5A63"/>
    <w:rsid w:val="009D49B1"/>
    <w:rsid w:val="009D7BD4"/>
    <w:rsid w:val="009E38AC"/>
    <w:rsid w:val="009E7C1A"/>
    <w:rsid w:val="009F5479"/>
    <w:rsid w:val="00A07D24"/>
    <w:rsid w:val="00A11410"/>
    <w:rsid w:val="00A151B2"/>
    <w:rsid w:val="00A1579D"/>
    <w:rsid w:val="00A168D2"/>
    <w:rsid w:val="00A20FCE"/>
    <w:rsid w:val="00A210E9"/>
    <w:rsid w:val="00A22C92"/>
    <w:rsid w:val="00A25118"/>
    <w:rsid w:val="00A255DB"/>
    <w:rsid w:val="00A2655D"/>
    <w:rsid w:val="00A3482C"/>
    <w:rsid w:val="00A447FB"/>
    <w:rsid w:val="00A471F4"/>
    <w:rsid w:val="00A47F53"/>
    <w:rsid w:val="00A549D1"/>
    <w:rsid w:val="00A55444"/>
    <w:rsid w:val="00A60647"/>
    <w:rsid w:val="00A640E2"/>
    <w:rsid w:val="00A642B9"/>
    <w:rsid w:val="00A654B3"/>
    <w:rsid w:val="00A6726F"/>
    <w:rsid w:val="00A770F8"/>
    <w:rsid w:val="00A82B38"/>
    <w:rsid w:val="00A86545"/>
    <w:rsid w:val="00A87482"/>
    <w:rsid w:val="00A90AD9"/>
    <w:rsid w:val="00A973F8"/>
    <w:rsid w:val="00A97761"/>
    <w:rsid w:val="00AA3E3B"/>
    <w:rsid w:val="00AB23AD"/>
    <w:rsid w:val="00AB7C76"/>
    <w:rsid w:val="00AC6866"/>
    <w:rsid w:val="00AC6D8A"/>
    <w:rsid w:val="00AD22D7"/>
    <w:rsid w:val="00AD7213"/>
    <w:rsid w:val="00AD7639"/>
    <w:rsid w:val="00AE3740"/>
    <w:rsid w:val="00AE6400"/>
    <w:rsid w:val="00AF06B1"/>
    <w:rsid w:val="00AF2C9F"/>
    <w:rsid w:val="00AF488B"/>
    <w:rsid w:val="00B017AC"/>
    <w:rsid w:val="00B103B9"/>
    <w:rsid w:val="00B13E5B"/>
    <w:rsid w:val="00B23123"/>
    <w:rsid w:val="00B31FB4"/>
    <w:rsid w:val="00B56C14"/>
    <w:rsid w:val="00B64181"/>
    <w:rsid w:val="00B65A0B"/>
    <w:rsid w:val="00B71C53"/>
    <w:rsid w:val="00B73C23"/>
    <w:rsid w:val="00B81ACF"/>
    <w:rsid w:val="00B87719"/>
    <w:rsid w:val="00BA7921"/>
    <w:rsid w:val="00BB289B"/>
    <w:rsid w:val="00BB3422"/>
    <w:rsid w:val="00BB43FB"/>
    <w:rsid w:val="00BB5C88"/>
    <w:rsid w:val="00BB7D63"/>
    <w:rsid w:val="00BC4778"/>
    <w:rsid w:val="00BD54DB"/>
    <w:rsid w:val="00BE0D6B"/>
    <w:rsid w:val="00BE1DD4"/>
    <w:rsid w:val="00BE3BE6"/>
    <w:rsid w:val="00BE71FB"/>
    <w:rsid w:val="00BF2414"/>
    <w:rsid w:val="00C00BCE"/>
    <w:rsid w:val="00C03487"/>
    <w:rsid w:val="00C049AC"/>
    <w:rsid w:val="00C10E1A"/>
    <w:rsid w:val="00C11AAE"/>
    <w:rsid w:val="00C12829"/>
    <w:rsid w:val="00C13B42"/>
    <w:rsid w:val="00C220F6"/>
    <w:rsid w:val="00C25466"/>
    <w:rsid w:val="00C27897"/>
    <w:rsid w:val="00C41612"/>
    <w:rsid w:val="00C440CA"/>
    <w:rsid w:val="00C46726"/>
    <w:rsid w:val="00C46B9B"/>
    <w:rsid w:val="00C51A04"/>
    <w:rsid w:val="00C5474D"/>
    <w:rsid w:val="00C54836"/>
    <w:rsid w:val="00C62C1A"/>
    <w:rsid w:val="00C63225"/>
    <w:rsid w:val="00C65971"/>
    <w:rsid w:val="00C722DB"/>
    <w:rsid w:val="00C76520"/>
    <w:rsid w:val="00C804BF"/>
    <w:rsid w:val="00C80533"/>
    <w:rsid w:val="00C8329C"/>
    <w:rsid w:val="00C94264"/>
    <w:rsid w:val="00C957FF"/>
    <w:rsid w:val="00CA0625"/>
    <w:rsid w:val="00CA09D7"/>
    <w:rsid w:val="00CA1AB6"/>
    <w:rsid w:val="00CB1A67"/>
    <w:rsid w:val="00CB1EDD"/>
    <w:rsid w:val="00CB7640"/>
    <w:rsid w:val="00CC1F99"/>
    <w:rsid w:val="00CF238D"/>
    <w:rsid w:val="00CF7100"/>
    <w:rsid w:val="00D02A43"/>
    <w:rsid w:val="00D02D6F"/>
    <w:rsid w:val="00D057F6"/>
    <w:rsid w:val="00D05816"/>
    <w:rsid w:val="00D06430"/>
    <w:rsid w:val="00D12DB9"/>
    <w:rsid w:val="00D176DB"/>
    <w:rsid w:val="00D20D0B"/>
    <w:rsid w:val="00D23A76"/>
    <w:rsid w:val="00D2730E"/>
    <w:rsid w:val="00D326B5"/>
    <w:rsid w:val="00D37E83"/>
    <w:rsid w:val="00D4040C"/>
    <w:rsid w:val="00D460F6"/>
    <w:rsid w:val="00D46D8B"/>
    <w:rsid w:val="00D50084"/>
    <w:rsid w:val="00D6157D"/>
    <w:rsid w:val="00D67FC2"/>
    <w:rsid w:val="00D868C2"/>
    <w:rsid w:val="00D86DA9"/>
    <w:rsid w:val="00D9112C"/>
    <w:rsid w:val="00D92DAB"/>
    <w:rsid w:val="00D94C65"/>
    <w:rsid w:val="00DA6CFE"/>
    <w:rsid w:val="00DC126E"/>
    <w:rsid w:val="00DC2ABA"/>
    <w:rsid w:val="00DC50E7"/>
    <w:rsid w:val="00DD3176"/>
    <w:rsid w:val="00DE4584"/>
    <w:rsid w:val="00DF1A83"/>
    <w:rsid w:val="00DF314D"/>
    <w:rsid w:val="00E17578"/>
    <w:rsid w:val="00E239B9"/>
    <w:rsid w:val="00E24513"/>
    <w:rsid w:val="00E30C40"/>
    <w:rsid w:val="00E31DA3"/>
    <w:rsid w:val="00E37759"/>
    <w:rsid w:val="00E4371E"/>
    <w:rsid w:val="00E5021C"/>
    <w:rsid w:val="00E52E1B"/>
    <w:rsid w:val="00E57666"/>
    <w:rsid w:val="00E742F1"/>
    <w:rsid w:val="00E76D55"/>
    <w:rsid w:val="00E91432"/>
    <w:rsid w:val="00EA3960"/>
    <w:rsid w:val="00EB24AC"/>
    <w:rsid w:val="00EC0070"/>
    <w:rsid w:val="00EC570D"/>
    <w:rsid w:val="00ED1755"/>
    <w:rsid w:val="00ED57C7"/>
    <w:rsid w:val="00ED5D0A"/>
    <w:rsid w:val="00ED63F5"/>
    <w:rsid w:val="00ED77CA"/>
    <w:rsid w:val="00EF054E"/>
    <w:rsid w:val="00EF69D1"/>
    <w:rsid w:val="00F02A6A"/>
    <w:rsid w:val="00F07147"/>
    <w:rsid w:val="00F075FE"/>
    <w:rsid w:val="00F07FE2"/>
    <w:rsid w:val="00F11326"/>
    <w:rsid w:val="00F23E58"/>
    <w:rsid w:val="00F26248"/>
    <w:rsid w:val="00F30832"/>
    <w:rsid w:val="00F31721"/>
    <w:rsid w:val="00F33F36"/>
    <w:rsid w:val="00F43E83"/>
    <w:rsid w:val="00F44B20"/>
    <w:rsid w:val="00F454C6"/>
    <w:rsid w:val="00F5132E"/>
    <w:rsid w:val="00F55F2B"/>
    <w:rsid w:val="00F57396"/>
    <w:rsid w:val="00F6272A"/>
    <w:rsid w:val="00F6344D"/>
    <w:rsid w:val="00F64AD2"/>
    <w:rsid w:val="00F73235"/>
    <w:rsid w:val="00F826E2"/>
    <w:rsid w:val="00F82FE0"/>
    <w:rsid w:val="00F9421E"/>
    <w:rsid w:val="00F96D6A"/>
    <w:rsid w:val="00F973B8"/>
    <w:rsid w:val="00FA65C0"/>
    <w:rsid w:val="00FA6734"/>
    <w:rsid w:val="00FB3E4E"/>
    <w:rsid w:val="00FB3E5B"/>
    <w:rsid w:val="00FD1302"/>
    <w:rsid w:val="00FD51D3"/>
    <w:rsid w:val="00FD5B29"/>
    <w:rsid w:val="00FE2B77"/>
    <w:rsid w:val="00FE4C03"/>
    <w:rsid w:val="00FF1CA5"/>
    <w:rsid w:val="00FF26A2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C559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numPr>
        <w:ilvl w:val="3"/>
        <w:numId w:val="12"/>
      </w:numPr>
      <w:outlineLvl w:val="3"/>
    </w:pPr>
    <w:rPr>
      <w:rFonts w:ascii="Times" w:eastAsia="Times New Roman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numPr>
        <w:ilvl w:val="4"/>
        <w:numId w:val="12"/>
      </w:numPr>
      <w:spacing w:before="240" w:after="60"/>
      <w:outlineLvl w:val="4"/>
    </w:pPr>
    <w:rPr>
      <w:rFonts w:eastAsia="Times New Roman"/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numPr>
        <w:ilvl w:val="5"/>
        <w:numId w:val="12"/>
      </w:numPr>
      <w:spacing w:before="240" w:after="60"/>
      <w:outlineLvl w:val="5"/>
    </w:pPr>
    <w:rPr>
      <w:rFonts w:eastAsia="Times New Roman"/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numPr>
        <w:ilvl w:val="6"/>
        <w:numId w:val="12"/>
      </w:numPr>
      <w:spacing w:before="240" w:after="60"/>
      <w:outlineLvl w:val="6"/>
    </w:pPr>
    <w:rPr>
      <w:rFonts w:ascii="Arial" w:eastAsia="Times New Roman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numPr>
        <w:ilvl w:val="7"/>
        <w:numId w:val="12"/>
      </w:numPr>
      <w:spacing w:before="240" w:after="60"/>
      <w:outlineLvl w:val="7"/>
    </w:pPr>
    <w:rPr>
      <w:rFonts w:ascii="Arial" w:eastAsia="Times New Roman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numPr>
        <w:ilvl w:val="8"/>
        <w:numId w:val="12"/>
      </w:numPr>
      <w:spacing w:before="240" w:after="60"/>
      <w:outlineLvl w:val="8"/>
    </w:pPr>
    <w:rPr>
      <w:rFonts w:ascii="Arial" w:eastAsia="Times New Roman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uiPriority w:val="99"/>
    <w:qFormat/>
    <w:rPr>
      <w:b/>
      <w:bCs/>
      <w:sz w:val="20"/>
      <w:lang w:eastAsia="x-none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rsid w:val="00F0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eastAsia="Times New Roman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rFonts w:eastAsia="Times New Roman"/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rFonts w:eastAsia="Times New Roman"/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numId w:val="0"/>
      </w:numPr>
      <w:tabs>
        <w:tab w:val="num" w:pos="576"/>
      </w:tabs>
      <w:ind w:left="576" w:hanging="576"/>
    </w:pPr>
    <w:rPr>
      <w:rFonts w:eastAsia="Times New Roman"/>
      <w:bCs/>
      <w:i/>
      <w:iCs/>
      <w:u w:val="none"/>
      <w:lang w:val="en-US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link w:val="Caption"/>
    <w:uiPriority w:val="99"/>
    <w:locked/>
    <w:rsid w:val="00A640E2"/>
    <w:rPr>
      <w:b/>
      <w:bCs/>
      <w:lang w:val="en-GB"/>
    </w:rPr>
  </w:style>
  <w:style w:type="paragraph" w:styleId="Revision">
    <w:name w:val="Revision"/>
    <w:hidden/>
    <w:uiPriority w:val="99"/>
    <w:semiHidden/>
    <w:rsid w:val="005418B3"/>
    <w:rPr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numPr>
        <w:ilvl w:val="3"/>
        <w:numId w:val="12"/>
      </w:numPr>
      <w:outlineLvl w:val="3"/>
    </w:pPr>
    <w:rPr>
      <w:rFonts w:ascii="Times" w:eastAsia="Times New Roman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numPr>
        <w:ilvl w:val="4"/>
        <w:numId w:val="12"/>
      </w:numPr>
      <w:spacing w:before="240" w:after="60"/>
      <w:outlineLvl w:val="4"/>
    </w:pPr>
    <w:rPr>
      <w:rFonts w:eastAsia="Times New Roman"/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numPr>
        <w:ilvl w:val="5"/>
        <w:numId w:val="12"/>
      </w:numPr>
      <w:spacing w:before="240" w:after="60"/>
      <w:outlineLvl w:val="5"/>
    </w:pPr>
    <w:rPr>
      <w:rFonts w:eastAsia="Times New Roman"/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numPr>
        <w:ilvl w:val="6"/>
        <w:numId w:val="12"/>
      </w:numPr>
      <w:spacing w:before="240" w:after="60"/>
      <w:outlineLvl w:val="6"/>
    </w:pPr>
    <w:rPr>
      <w:rFonts w:ascii="Arial" w:eastAsia="Times New Roman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numPr>
        <w:ilvl w:val="7"/>
        <w:numId w:val="12"/>
      </w:numPr>
      <w:spacing w:before="240" w:after="60"/>
      <w:outlineLvl w:val="7"/>
    </w:pPr>
    <w:rPr>
      <w:rFonts w:ascii="Arial" w:eastAsia="Times New Roman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numPr>
        <w:ilvl w:val="8"/>
        <w:numId w:val="12"/>
      </w:numPr>
      <w:spacing w:before="240" w:after="60"/>
      <w:outlineLvl w:val="8"/>
    </w:pPr>
    <w:rPr>
      <w:rFonts w:ascii="Arial" w:eastAsia="Times New Roman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uiPriority w:val="99"/>
    <w:qFormat/>
    <w:rPr>
      <w:b/>
      <w:bCs/>
      <w:sz w:val="20"/>
      <w:lang w:eastAsia="x-none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rsid w:val="00F0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eastAsia="Times New Roman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rFonts w:eastAsia="Times New Roman"/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rFonts w:eastAsia="Times New Roman"/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numId w:val="0"/>
      </w:numPr>
      <w:tabs>
        <w:tab w:val="num" w:pos="576"/>
      </w:tabs>
      <w:ind w:left="576" w:hanging="576"/>
    </w:pPr>
    <w:rPr>
      <w:rFonts w:eastAsia="Times New Roman"/>
      <w:bCs/>
      <w:i/>
      <w:iCs/>
      <w:u w:val="none"/>
      <w:lang w:val="en-US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link w:val="Caption"/>
    <w:uiPriority w:val="99"/>
    <w:locked/>
    <w:rsid w:val="00A640E2"/>
    <w:rPr>
      <w:b/>
      <w:bCs/>
      <w:lang w:val="en-GB"/>
    </w:rPr>
  </w:style>
  <w:style w:type="paragraph" w:styleId="Revision">
    <w:name w:val="Revision"/>
    <w:hidden/>
    <w:uiPriority w:val="99"/>
    <w:semiHidden/>
    <w:rsid w:val="005418B3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printerSettings" Target="printerSettings/printerSettings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yjs\Desktop\802.11n\06_05_Jacksonville\11-06-0587-00-000n%20txop-truncation-under-dual-cts-protection_DRAFT_files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Settings\levyjs\Desktop\802.11n\06_05_Jacksonville\11-06-0587-00-000n txop-truncation-under-dual-cts-protection_DRAFT_files\802-11-Submission-Portrait.dot</Template>
  <TotalTime>2</TotalTime>
  <Pages>4</Pages>
  <Words>859</Words>
  <Characters>4710</Characters>
  <Application>Microsoft Macintosh Word</Application>
  <DocSecurity>0</DocSecurity>
  <Lines>223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802.11-10/1535r0</vt:lpstr>
    </vt:vector>
  </TitlesOfParts>
  <Manager/>
  <Company>I2R</Company>
  <LinksUpToDate>false</LinksUpToDate>
  <CharactersWithSpaces>5475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802.11-10/1535r0</dc:title>
  <dc:subject>Submission</dc:subject>
  <dc:creator>Xiaoming Peng</dc:creator>
  <cp:keywords>December 2015</cp:keywords>
  <dc:description/>
  <cp:lastModifiedBy>Peng Xiaoming</cp:lastModifiedBy>
  <cp:revision>4</cp:revision>
  <dcterms:created xsi:type="dcterms:W3CDTF">2015-12-19T10:36:00Z</dcterms:created>
  <dcterms:modified xsi:type="dcterms:W3CDTF">2015-12-19T10:39:00Z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1450315831</vt:lpwstr>
  </property>
</Properties>
</file>