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D00D60">
              <w:rPr>
                <w:b w:val="0"/>
                <w:sz w:val="20"/>
              </w:rPr>
              <w:t>2016-11-01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bookmarkStart w:id="0" w:name="_GoBack"/>
            <w:bookmarkEnd w:id="0"/>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Default="00792B0F" w:rsidP="00792B0F">
      <w:r>
        <w:t xml:space="preserve">These are requests that the WG chair will take future action on in the form of a follow-up </w:t>
      </w:r>
      <w:proofErr w:type="spellStart"/>
      <w:r>
        <w:t>LoA</w:t>
      </w:r>
      <w:proofErr w:type="spellEnd"/>
      <w:r>
        <w:t xml:space="preserve"> request.</w:t>
      </w:r>
    </w:p>
    <w:p w:rsidR="00403EAD" w:rsidRDefault="00403EAD" w:rsidP="00792B0F"/>
    <w:p w:rsidR="00403EAD" w:rsidRDefault="00403EAD" w:rsidP="00403EAD">
      <w:pPr>
        <w:pStyle w:val="ListParagraph"/>
        <w:numPr>
          <w:ilvl w:val="0"/>
          <w:numId w:val="35"/>
        </w:numPr>
      </w:pPr>
      <w:r>
        <w:t xml:space="preserve">IHP GmbH 2016 </w:t>
      </w:r>
      <w:proofErr w:type="spellStart"/>
      <w:r>
        <w:t>TGaz</w:t>
      </w:r>
      <w:proofErr w:type="spellEnd"/>
    </w:p>
    <w:p w:rsidR="00403EAD" w:rsidRDefault="00403EAD" w:rsidP="00403EAD">
      <w:pPr>
        <w:pStyle w:val="ListParagraph"/>
        <w:numPr>
          <w:ilvl w:val="1"/>
          <w:numId w:val="35"/>
        </w:numPr>
      </w:pPr>
      <w:r>
        <w:t xml:space="preserve">Request for </w:t>
      </w:r>
      <w:proofErr w:type="spellStart"/>
      <w:r>
        <w:t>LoA</w:t>
      </w:r>
      <w:proofErr w:type="spellEnd"/>
    </w:p>
    <w:p w:rsidR="00403EAD" w:rsidRPr="00403EAD" w:rsidRDefault="00403EAD" w:rsidP="00403EAD">
      <w:pPr>
        <w:pStyle w:val="ListParagraph"/>
        <w:numPr>
          <w:ilvl w:val="2"/>
          <w:numId w:val="35"/>
        </w:numPr>
      </w:pPr>
      <w:r>
        <w:t xml:space="preserve">Sent 2016-09-16 to </w:t>
      </w:r>
      <w:hyperlink r:id="rId12" w:history="1">
        <w:r>
          <w:rPr>
            <w:rStyle w:val="Hyperlink"/>
            <w:rFonts w:ascii="Calibri" w:hAnsi="Calibri"/>
            <w:szCs w:val="22"/>
          </w:rPr>
          <w:t>zernick@ihp-microelectronics.com</w:t>
        </w:r>
      </w:hyperlink>
    </w:p>
    <w:p w:rsidR="00403EAD" w:rsidRDefault="00403EAD" w:rsidP="00403EAD">
      <w:pPr>
        <w:pStyle w:val="ListParagraph"/>
        <w:numPr>
          <w:ilvl w:val="2"/>
          <w:numId w:val="35"/>
        </w:numPr>
      </w:pPr>
      <w:r w:rsidRPr="00403EAD">
        <w:t>Project</w:t>
      </w:r>
      <w:r>
        <w:t xml:space="preserve"> P802.11az</w:t>
      </w:r>
    </w:p>
    <w:p w:rsidR="00403EAD" w:rsidRDefault="00403EAD" w:rsidP="00403EAD">
      <w:pPr>
        <w:pStyle w:val="ListParagraph"/>
        <w:numPr>
          <w:ilvl w:val="2"/>
          <w:numId w:val="35"/>
        </w:numPr>
      </w:pPr>
      <w:r>
        <w:t>Cited patent</w:t>
      </w:r>
    </w:p>
    <w:p w:rsidR="00403EAD" w:rsidRDefault="00403EAD" w:rsidP="00403EAD">
      <w:pPr>
        <w:pStyle w:val="ListParagraph"/>
        <w:numPr>
          <w:ilvl w:val="3"/>
          <w:numId w:val="35"/>
        </w:numPr>
      </w:pPr>
      <w:r>
        <w:t>Registration Number of German Patent: 102016217277.8</w:t>
      </w:r>
    </w:p>
    <w:p w:rsidR="001318AD" w:rsidRDefault="00403EAD" w:rsidP="001318AD">
      <w:pPr>
        <w:pStyle w:val="ListParagraph"/>
        <w:numPr>
          <w:ilvl w:val="3"/>
          <w:numId w:val="35"/>
        </w:numPr>
      </w:pPr>
      <w:r>
        <w:t>Title of Patent: "Precise Positioning Using Time of Arrival with Pseudo-Synchronized Anchor Nodes"</w:t>
      </w:r>
    </w:p>
    <w:p w:rsidR="005806C9" w:rsidRDefault="005D4F98" w:rsidP="005D4F98">
      <w:pPr>
        <w:pStyle w:val="ListParagraph"/>
        <w:numPr>
          <w:ilvl w:val="1"/>
          <w:numId w:val="35"/>
        </w:numPr>
      </w:pPr>
      <w:r>
        <w:t>Acknowledgement of receipt</w:t>
      </w:r>
      <w:r w:rsidR="005806C9">
        <w:t xml:space="preserve"> of request</w:t>
      </w:r>
    </w:p>
    <w:p w:rsidR="005806C9" w:rsidRDefault="005806C9" w:rsidP="005806C9">
      <w:pPr>
        <w:pStyle w:val="ListParagraph"/>
        <w:numPr>
          <w:ilvl w:val="2"/>
          <w:numId w:val="35"/>
        </w:numPr>
      </w:pPr>
      <w:r>
        <w:t xml:space="preserve">2016-10-11 </w:t>
      </w:r>
    </w:p>
    <w:p w:rsidR="005D4F98" w:rsidRDefault="005D4F98" w:rsidP="005806C9">
      <w:pPr>
        <w:pStyle w:val="ListParagraph"/>
        <w:numPr>
          <w:ilvl w:val="2"/>
          <w:numId w:val="35"/>
        </w:numPr>
      </w:pPr>
      <w:r>
        <w:t xml:space="preserve">Mr Marco </w:t>
      </w:r>
      <w:proofErr w:type="spellStart"/>
      <w:r>
        <w:t>Dannemann</w:t>
      </w:r>
      <w:proofErr w:type="spellEnd"/>
      <w:r>
        <w:t>, IHP-Solutions GmbH.</w:t>
      </w:r>
    </w:p>
    <w:p w:rsidR="005806C9" w:rsidRPr="00792B0F" w:rsidRDefault="005806C9" w:rsidP="005D4F98">
      <w:pPr>
        <w:pStyle w:val="ListParagraph"/>
        <w:numPr>
          <w:ilvl w:val="1"/>
          <w:numId w:val="35"/>
        </w:numPr>
      </w:pPr>
      <w:r>
        <w:t xml:space="preserve">Next step – although the WG chair’s action is complete.  Waiting to see what the outcome is in terms of filed </w:t>
      </w:r>
      <w:proofErr w:type="spellStart"/>
      <w:r>
        <w:t>LoA</w:t>
      </w:r>
      <w:proofErr w:type="spellEnd"/>
      <w:r>
        <w:t>.</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306EAD" w:rsidRPr="00FC4575" w:rsidRDefault="00306EAD" w:rsidP="00306EAD">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3"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0C7057"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lastRenderedPageBreak/>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4"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5"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lastRenderedPageBreak/>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6"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lastRenderedPageBreak/>
        <w:t>Closed. Response 2015-10-26 from Yasuhiko Inoue (NTT) indicating that research in NTT shows that the patents have expired.</w:t>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F815D9" w:rsidP="001B3AC1">
      <w:pPr>
        <w:pStyle w:val="ListParagraph"/>
        <w:numPr>
          <w:ilvl w:val="4"/>
          <w:numId w:val="31"/>
        </w:numPr>
      </w:pPr>
      <w:hyperlink r:id="rId17"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F815D9" w:rsidP="001B3AC1">
      <w:pPr>
        <w:pStyle w:val="ListParagraph"/>
        <w:numPr>
          <w:ilvl w:val="4"/>
          <w:numId w:val="31"/>
        </w:numPr>
      </w:pPr>
      <w:hyperlink r:id="rId18"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F815D9" w:rsidP="001B3AC1">
      <w:pPr>
        <w:pStyle w:val="ListParagraph"/>
        <w:numPr>
          <w:ilvl w:val="4"/>
          <w:numId w:val="31"/>
        </w:numPr>
      </w:pPr>
      <w:hyperlink r:id="rId19"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0"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lastRenderedPageBreak/>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1B3AC1" w:rsidRDefault="00F815D9" w:rsidP="001B3AC1">
      <w:pPr>
        <w:pStyle w:val="ListParagraph"/>
        <w:numPr>
          <w:ilvl w:val="2"/>
          <w:numId w:val="34"/>
        </w:numPr>
        <w:rPr>
          <w:color w:val="000000"/>
          <w:lang w:val="en-US"/>
        </w:rPr>
      </w:pPr>
      <w:hyperlink r:id="rId21"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1B3AC1" w:rsidRDefault="00F815D9" w:rsidP="001B3AC1">
      <w:pPr>
        <w:pStyle w:val="ListParagraph"/>
        <w:numPr>
          <w:ilvl w:val="2"/>
          <w:numId w:val="34"/>
        </w:numPr>
        <w:rPr>
          <w:color w:val="000000"/>
          <w:lang w:val="en-US"/>
        </w:rPr>
      </w:pPr>
      <w:hyperlink r:id="rId22"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lastRenderedPageBreak/>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0323B4" w:rsidP="000323B4">
            <w:r w:rsidRPr="000323B4">
              <w:t>http://standards.ieee.org/about/sasb/patcom/negative-loa-802_11ai-nokia-07Oct2016.pdf</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5D9" w:rsidRDefault="00F815D9">
      <w:r>
        <w:separator/>
      </w:r>
    </w:p>
  </w:endnote>
  <w:endnote w:type="continuationSeparator" w:id="0">
    <w:p w:rsidR="00F815D9" w:rsidRDefault="00F8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D00D60">
      <w:rPr>
        <w:noProof/>
      </w:rPr>
      <w:t>3</w:t>
    </w:r>
    <w:r w:rsidR="00F92865">
      <w:fldChar w:fldCharType="end"/>
    </w:r>
    <w:r w:rsidR="00F92865">
      <w:tab/>
    </w:r>
    <w:r w:rsidR="00F815D9">
      <w:fldChar w:fldCharType="begin"/>
    </w:r>
    <w:r w:rsidR="00F815D9">
      <w:instrText xml:space="preserve"> COMMENTS  \* MERGEFORMAT </w:instrText>
    </w:r>
    <w:r w:rsidR="00F815D9">
      <w:fldChar w:fldCharType="separate"/>
    </w:r>
    <w:r w:rsidR="00061CD6">
      <w:t>Adrian Stephens, Intel Corporation</w:t>
    </w:r>
    <w:r w:rsidR="00F815D9">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5D9" w:rsidRDefault="00F815D9">
      <w:r>
        <w:separator/>
      </w:r>
    </w:p>
  </w:footnote>
  <w:footnote w:type="continuationSeparator" w:id="0">
    <w:p w:rsidR="00F815D9" w:rsidRDefault="00F8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F815D9">
    <w:pPr>
      <w:pStyle w:val="Header"/>
      <w:tabs>
        <w:tab w:val="clear" w:pos="6480"/>
        <w:tab w:val="center" w:pos="4680"/>
        <w:tab w:val="right" w:pos="9360"/>
      </w:tabs>
    </w:pPr>
    <w:r>
      <w:fldChar w:fldCharType="begin"/>
    </w:r>
    <w:r>
      <w:instrText xml:space="preserve"> KEYWORDS  \* MERGEFORMAT </w:instrText>
    </w:r>
    <w:r>
      <w:fldChar w:fldCharType="separate"/>
    </w:r>
    <w:r w:rsidR="000323B4">
      <w:t>November 2016</w:t>
    </w:r>
    <w:r>
      <w:fldChar w:fldCharType="end"/>
    </w:r>
    <w:r w:rsidR="00F92865">
      <w:tab/>
    </w:r>
    <w:r w:rsidR="00F92865">
      <w:tab/>
    </w:r>
    <w:r>
      <w:fldChar w:fldCharType="begin"/>
    </w:r>
    <w:r>
      <w:instrText xml:space="preserve"> TITLE  \* MERGEFORMAT </w:instrText>
    </w:r>
    <w:r>
      <w:fldChar w:fldCharType="separate"/>
    </w:r>
    <w:r w:rsidR="000323B4">
      <w:t>doc.: IEEE 802.11-15/1489r7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4"/>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3"/>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2"/>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738D"/>
    <w:rsid w:val="000A0719"/>
    <w:rsid w:val="000A1A81"/>
    <w:rsid w:val="000B5F87"/>
    <w:rsid w:val="000C7057"/>
    <w:rsid w:val="000D1420"/>
    <w:rsid w:val="000D1B5D"/>
    <w:rsid w:val="000D1BF0"/>
    <w:rsid w:val="000D459F"/>
    <w:rsid w:val="001018D2"/>
    <w:rsid w:val="001044EC"/>
    <w:rsid w:val="00112EA4"/>
    <w:rsid w:val="00116696"/>
    <w:rsid w:val="001208B4"/>
    <w:rsid w:val="00120D19"/>
    <w:rsid w:val="001318AD"/>
    <w:rsid w:val="00152FFD"/>
    <w:rsid w:val="00160C1C"/>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06EAD"/>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03EAD"/>
    <w:rsid w:val="00414BF4"/>
    <w:rsid w:val="00416CE4"/>
    <w:rsid w:val="004269AD"/>
    <w:rsid w:val="00431E00"/>
    <w:rsid w:val="004412F7"/>
    <w:rsid w:val="00442037"/>
    <w:rsid w:val="00445D13"/>
    <w:rsid w:val="0046161B"/>
    <w:rsid w:val="00465501"/>
    <w:rsid w:val="00484684"/>
    <w:rsid w:val="004928EA"/>
    <w:rsid w:val="00494C5A"/>
    <w:rsid w:val="004A0A87"/>
    <w:rsid w:val="004B064B"/>
    <w:rsid w:val="004D46ED"/>
    <w:rsid w:val="004F005C"/>
    <w:rsid w:val="005043DB"/>
    <w:rsid w:val="0052165F"/>
    <w:rsid w:val="0052657D"/>
    <w:rsid w:val="00530233"/>
    <w:rsid w:val="005311FD"/>
    <w:rsid w:val="0053361A"/>
    <w:rsid w:val="00535415"/>
    <w:rsid w:val="00543E75"/>
    <w:rsid w:val="005603D1"/>
    <w:rsid w:val="0056136D"/>
    <w:rsid w:val="00566A1F"/>
    <w:rsid w:val="005806C9"/>
    <w:rsid w:val="005818D6"/>
    <w:rsid w:val="00584CFB"/>
    <w:rsid w:val="005861A1"/>
    <w:rsid w:val="0059150A"/>
    <w:rsid w:val="00596877"/>
    <w:rsid w:val="005B7CE9"/>
    <w:rsid w:val="005D4F98"/>
    <w:rsid w:val="005E0AE8"/>
    <w:rsid w:val="005F1C47"/>
    <w:rsid w:val="0062440B"/>
    <w:rsid w:val="0063134D"/>
    <w:rsid w:val="0063457E"/>
    <w:rsid w:val="006523A8"/>
    <w:rsid w:val="00666B41"/>
    <w:rsid w:val="006C0727"/>
    <w:rsid w:val="006D2CDA"/>
    <w:rsid w:val="006E145F"/>
    <w:rsid w:val="006E71CB"/>
    <w:rsid w:val="007514DD"/>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2C10"/>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0231"/>
    <w:rsid w:val="00E874CF"/>
    <w:rsid w:val="00EA0F57"/>
    <w:rsid w:val="00EC13BC"/>
    <w:rsid w:val="00EC1973"/>
    <w:rsid w:val="00ED782E"/>
    <w:rsid w:val="00EE44C8"/>
    <w:rsid w:val="00EF697F"/>
    <w:rsid w:val="00EF73A7"/>
    <w:rsid w:val="00F02F98"/>
    <w:rsid w:val="00F1073C"/>
    <w:rsid w:val="00F13558"/>
    <w:rsid w:val="00F22D35"/>
    <w:rsid w:val="00F3161A"/>
    <w:rsid w:val="00F36E5A"/>
    <w:rsid w:val="00F36EF1"/>
    <w:rsid w:val="00F43432"/>
    <w:rsid w:val="00F56ED3"/>
    <w:rsid w:val="00F815D9"/>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mailto:stdsreq@microsoft.com" TargetMode="External"/><Relationship Id="rId18" Type="http://schemas.openxmlformats.org/officeDocument/2006/relationships/hyperlink" Target="https://datatracker.ietf.org/ipr/search/?draft=&amp;rfc=6090&amp;submit=rfc&amp;doctitle=&amp;group=&amp;holder=&amp;iprtitle=&amp;pat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5/11-15-1029-02-00ah-proposed-resolution-for-comments-on-missing-loa.docx" TargetMode="External"/><Relationship Id="rId7" Type="http://schemas.openxmlformats.org/officeDocument/2006/relationships/endnotes" Target="endnotes.xml"/><Relationship Id="rId12" Type="http://schemas.openxmlformats.org/officeDocument/2006/relationships/hyperlink" Target="mailto:zernick@ihp-microelectronics.com" TargetMode="External"/><Relationship Id="rId17" Type="http://schemas.openxmlformats.org/officeDocument/2006/relationships/hyperlink" Target="http://isotc.iso.org/livelink/livelink/fetch/2000/2122/3770791/16231513/1999-09-02_CerticomCorporation_9796-3.pdf?nodeid=16494873&amp;vernum=-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sotc.iso.org/livelink/livelink?func=ll&amp;objId=16494782&amp;objAction=Open&amp;nexturl=%2Flivelink%2Flivelink%3Ffunc%3Dll%26objId%3D16231513%26objAction%3Dbrowse%26viewType%3D1" TargetMode="External"/><Relationship Id="rId20" Type="http://schemas.openxmlformats.org/officeDocument/2006/relationships/hyperlink" Target="http://assignments.uspto.gov/assignments/q?db=pat&amp;pub=20130016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andards.licensing@intel.com" TargetMode="External"/><Relationship Id="rId23" Type="http://schemas.openxmlformats.org/officeDocument/2006/relationships/header" Target="head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s://datatracker.ietf.org/ipr/2541/"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mailto:licensing@huawei.com" TargetMode="External"/><Relationship Id="rId22" Type="http://schemas.openxmlformats.org/officeDocument/2006/relationships/hyperlink" Target="https://mentor.ieee.org/802.11/dcn/15/11-15-1127-01-00ah-response-to-document-107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FA58-2B26-41A2-BFE1-6283F5FD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470</TotalTime>
  <Pages>8</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802.11-15/1489r6</vt:lpstr>
    </vt:vector>
  </TitlesOfParts>
  <Company>Some Company</Company>
  <LinksUpToDate>false</LinksUpToDate>
  <CharactersWithSpaces>15739</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802.11-15/1489r7</dc:title>
  <dc:subject>Minutes</dc:subject>
  <dc:creator/>
  <cp:keywords>November 2016</cp:keywords>
  <dc:description>Adrian Stephens, Intel Corporation</dc:description>
  <cp:lastModifiedBy>adrians</cp:lastModifiedBy>
  <cp:revision>42</cp:revision>
  <cp:lastPrinted>2015-10-17T09:58:00Z</cp:lastPrinted>
  <dcterms:created xsi:type="dcterms:W3CDTF">2015-10-27T15:39:00Z</dcterms:created>
  <dcterms:modified xsi:type="dcterms:W3CDTF">2016-11-01T07:25:00Z</dcterms:modified>
</cp:coreProperties>
</file>