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52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5B98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DAF2643" w14:textId="45EE1737" w:rsidR="00CA09B2" w:rsidRDefault="00EF1854">
            <w:pPr>
              <w:pStyle w:val="T2"/>
            </w:pPr>
            <w:proofErr w:type="spellStart"/>
            <w:r>
              <w:t>Technicals</w:t>
            </w:r>
            <w:proofErr w:type="spellEnd"/>
          </w:p>
        </w:tc>
      </w:tr>
      <w:tr w:rsidR="00CA09B2" w14:paraId="26864AD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BECCD21" w14:textId="219D0D63" w:rsidR="00CA09B2" w:rsidRDefault="00CA09B2" w:rsidP="008D3A2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D3A2B">
              <w:rPr>
                <w:b w:val="0"/>
                <w:sz w:val="20"/>
              </w:rPr>
              <w:t>2015-11-09</w:t>
            </w:r>
          </w:p>
        </w:tc>
      </w:tr>
      <w:tr w:rsidR="00CA09B2" w14:paraId="2A3E329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F140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94ABD95" w14:textId="77777777">
        <w:trPr>
          <w:jc w:val="center"/>
        </w:trPr>
        <w:tc>
          <w:tcPr>
            <w:tcW w:w="1336" w:type="dxa"/>
            <w:vAlign w:val="center"/>
          </w:tcPr>
          <w:p w14:paraId="2F2743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067194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E4245C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7C0D4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5174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8D3A2B" w14:paraId="658EC25A" w14:textId="77777777">
        <w:trPr>
          <w:jc w:val="center"/>
        </w:trPr>
        <w:tc>
          <w:tcPr>
            <w:tcW w:w="1336" w:type="dxa"/>
            <w:vAlign w:val="center"/>
          </w:tcPr>
          <w:p w14:paraId="3357B63A" w14:textId="78EEE1F0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E. Eastlake, III</w:t>
            </w:r>
          </w:p>
        </w:tc>
        <w:tc>
          <w:tcPr>
            <w:tcW w:w="2064" w:type="dxa"/>
            <w:vAlign w:val="center"/>
          </w:tcPr>
          <w:p w14:paraId="46F69248" w14:textId="7F5EAEB1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7C56AB5F" w14:textId="6E60BBE7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</w:t>
            </w:r>
          </w:p>
        </w:tc>
        <w:tc>
          <w:tcPr>
            <w:tcW w:w="1715" w:type="dxa"/>
            <w:vAlign w:val="center"/>
          </w:tcPr>
          <w:p w14:paraId="23F945D6" w14:textId="101573A6" w:rsidR="008D3A2B" w:rsidRDefault="008D3A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CF8F2FE" w14:textId="22025BFB" w:rsidR="008D3A2B" w:rsidRDefault="008D3A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FF86A78" w14:textId="77777777">
        <w:trPr>
          <w:jc w:val="center"/>
        </w:trPr>
        <w:tc>
          <w:tcPr>
            <w:tcW w:w="1336" w:type="dxa"/>
            <w:vAlign w:val="center"/>
          </w:tcPr>
          <w:p w14:paraId="30C2EC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10578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9EEC81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7FC2E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865AF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8197002" w14:textId="77777777" w:rsidR="00CA09B2" w:rsidRDefault="00EE5662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47107F" wp14:editId="345097D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98A57" w14:textId="1F37C77E" w:rsidR="008C4732" w:rsidRDefault="008C4732" w:rsidP="008D3A2B">
                            <w:pPr>
                              <w:jc w:val="both"/>
                            </w:pPr>
                            <w:r>
                              <w:t>Resolutions of unresolved technical comments in 11-15/556r13 assigned to Donald Eastlake and Norman Finn.</w:t>
                            </w:r>
                          </w:p>
                          <w:p w14:paraId="39DBAC3C" w14:textId="16890EAB" w:rsidR="008C4732" w:rsidRDefault="008C473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76698A57" w14:textId="1F37C77E" w:rsidR="008C4732" w:rsidRDefault="008C4732" w:rsidP="008D3A2B">
                      <w:pPr>
                        <w:jc w:val="both"/>
                      </w:pPr>
                      <w:r>
                        <w:t>Resolutions of unresolved technical comments in 11-15/556r13 assigned to Donald Eastlake and Norman Finn.</w:t>
                      </w:r>
                    </w:p>
                    <w:p w14:paraId="39DBAC3C" w14:textId="16890EAB" w:rsidR="008C4732" w:rsidRDefault="008C473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6EDC84C" w14:textId="2ECE6B50" w:rsidR="00CA09B2" w:rsidRDefault="00CA09B2" w:rsidP="00864F63">
      <w:pPr>
        <w:pStyle w:val="Heading1"/>
      </w:pPr>
      <w:r>
        <w:br w:type="page"/>
      </w:r>
      <w:r w:rsidR="00864F63">
        <w:lastRenderedPageBreak/>
        <w:t>Resolutions</w:t>
      </w:r>
    </w:p>
    <w:p w14:paraId="5B29DFFA" w14:textId="77777777" w:rsidR="00CA09B2" w:rsidRDefault="00CA09B2"/>
    <w:p w14:paraId="708267E3" w14:textId="77777777" w:rsidR="00C963F2" w:rsidRDefault="00C963F2" w:rsidP="00C963F2">
      <w:r w:rsidRPr="00184519">
        <w:rPr>
          <w:u w:val="single"/>
        </w:rPr>
        <w:t>CID</w:t>
      </w:r>
      <w:r>
        <w:tab/>
      </w:r>
      <w:r w:rsidRPr="00184519">
        <w:rPr>
          <w:u w:val="single"/>
        </w:rPr>
        <w:t>Comment</w:t>
      </w:r>
    </w:p>
    <w:p w14:paraId="55D86926" w14:textId="77777777" w:rsidR="00C963F2" w:rsidRPr="00184519" w:rsidRDefault="00C963F2" w:rsidP="00C963F2">
      <w:pPr>
        <w:rPr>
          <w:u w:val="single"/>
        </w:rPr>
      </w:pPr>
      <w:r>
        <w:tab/>
      </w:r>
      <w:r>
        <w:tab/>
      </w:r>
      <w:r w:rsidRPr="00BB35CF">
        <w:rPr>
          <w:u w:val="single"/>
        </w:rPr>
        <w:t>[</w:t>
      </w:r>
      <w:r w:rsidRPr="00184519">
        <w:rPr>
          <w:u w:val="single"/>
        </w:rPr>
        <w:t>Proposed Change</w:t>
      </w:r>
      <w:r>
        <w:rPr>
          <w:u w:val="single"/>
        </w:rPr>
        <w:t>]</w:t>
      </w:r>
    </w:p>
    <w:p w14:paraId="6A46B00B" w14:textId="77777777" w:rsidR="00C963F2" w:rsidRPr="001257BC" w:rsidRDefault="00C963F2" w:rsidP="00C963F2">
      <w:pPr>
        <w:rPr>
          <w:b/>
          <w:u w:val="single"/>
        </w:rPr>
      </w:pPr>
      <w:r w:rsidRPr="001257BC">
        <w:rPr>
          <w:b/>
        </w:rPr>
        <w:tab/>
      </w:r>
      <w:r w:rsidRPr="001257BC">
        <w:rPr>
          <w:b/>
          <w:u w:val="single"/>
        </w:rPr>
        <w:t>Resolution</w:t>
      </w:r>
    </w:p>
    <w:p w14:paraId="34DC7CA6" w14:textId="77777777" w:rsidR="00C963F2" w:rsidRDefault="00C963F2" w:rsidP="00C963F2">
      <w:pPr>
        <w:rPr>
          <w:u w:val="single"/>
        </w:rPr>
      </w:pPr>
    </w:p>
    <w:p w14:paraId="5D2C1533" w14:textId="77777777" w:rsidR="001257BC" w:rsidRDefault="001257BC"/>
    <w:p w14:paraId="3DDE7159" w14:textId="543CA9A0" w:rsidR="00EC5196" w:rsidRPr="00EC5196" w:rsidRDefault="00EC5196" w:rsidP="00EC5196">
      <w:pPr>
        <w:ind w:left="720" w:hanging="720"/>
        <w:rPr>
          <w:rFonts w:ascii="MS Sans Serif" w:hAnsi="MS Sans Serif"/>
          <w:sz w:val="20"/>
          <w:lang w:val="en-US"/>
        </w:rPr>
      </w:pPr>
      <w:r>
        <w:t>062</w:t>
      </w:r>
      <w:r>
        <w:tab/>
      </w:r>
      <w:r w:rsidRPr="00EC5196">
        <w:rPr>
          <w:rFonts w:ascii="MS Sans Serif" w:hAnsi="MS Sans Serif"/>
          <w:sz w:val="20"/>
          <w:lang w:val="en-US"/>
        </w:rPr>
        <w:t>"Editor's Note: We plan to take four address use by 80</w:t>
      </w:r>
      <w:r>
        <w:rPr>
          <w:rFonts w:ascii="MS Sans Serif" w:hAnsi="MS Sans Serif"/>
          <w:sz w:val="20"/>
          <w:lang w:val="en-US"/>
        </w:rPr>
        <w:t>2.11ah into account at a later</w:t>
      </w:r>
      <w:r>
        <w:rPr>
          <w:rFonts w:ascii="MS Sans Serif" w:hAnsi="MS Sans Serif"/>
          <w:sz w:val="20"/>
          <w:lang w:val="en-US"/>
        </w:rPr>
        <w:br/>
      </w:r>
      <w:r w:rsidRPr="00EC5196">
        <w:rPr>
          <w:rFonts w:ascii="MS Sans Serif" w:hAnsi="MS Sans Serif"/>
          <w:sz w:val="20"/>
          <w:lang w:val="en-US"/>
        </w:rPr>
        <w:t>date because 802.11ah is not in the 802.11RE</w:t>
      </w:r>
      <w:r>
        <w:rPr>
          <w:rFonts w:ascii="MS Sans Serif" w:hAnsi="MS Sans Serif"/>
          <w:sz w:val="20"/>
          <w:lang w:val="en-US"/>
        </w:rPr>
        <w:t>Vmc D4.0 base for this draft."</w:t>
      </w:r>
      <w:r w:rsidRPr="00EC5196">
        <w:rPr>
          <w:rFonts w:ascii="MS Sans Serif" w:hAnsi="MS Sans Serif"/>
          <w:sz w:val="20"/>
          <w:lang w:val="en-US"/>
        </w:rPr>
        <w:br/>
      </w:r>
      <w:r w:rsidRPr="00EC5196">
        <w:rPr>
          <w:rFonts w:ascii="MS Sans Serif" w:hAnsi="MS Sans Serif"/>
          <w:sz w:val="20"/>
          <w:lang w:val="en-US"/>
        </w:rPr>
        <w:br/>
        <w:t>This is not the way to handle this.  802.11ah *is* in your baseline</w:t>
      </w:r>
      <w:proofErr w:type="gramStart"/>
      <w:r w:rsidRPr="00EC5196">
        <w:rPr>
          <w:rFonts w:ascii="MS Sans Serif" w:hAnsi="MS Sans Serif"/>
          <w:sz w:val="20"/>
          <w:lang w:val="en-US"/>
        </w:rPr>
        <w:t>,  and</w:t>
      </w:r>
      <w:proofErr w:type="gramEnd"/>
      <w:r w:rsidRPr="00EC5196">
        <w:rPr>
          <w:rFonts w:ascii="MS Sans Serif" w:hAnsi="MS Sans Serif"/>
          <w:sz w:val="20"/>
          <w:lang w:val="en-US"/>
        </w:rPr>
        <w:t xml:space="preserve"> you can propose changes to it to support GLK.</w:t>
      </w:r>
    </w:p>
    <w:p w14:paraId="62D29455" w14:textId="2276C880" w:rsidR="00EC5196" w:rsidRDefault="00EC5196" w:rsidP="00EC5196">
      <w:pPr>
        <w:ind w:left="1440"/>
      </w:pPr>
      <w:r>
        <w:t>[</w:t>
      </w:r>
      <w:r w:rsidRPr="00EC5196">
        <w:rPr>
          <w:rFonts w:ascii="MS Sans Serif" w:hAnsi="MS Sans Serif"/>
          <w:sz w:val="20"/>
          <w:lang w:val="en-US"/>
        </w:rPr>
        <w:t>Add support for 802.11ah features</w:t>
      </w:r>
      <w:proofErr w:type="gramStart"/>
      <w:r w:rsidRPr="00EC5196">
        <w:rPr>
          <w:rFonts w:ascii="MS Sans Serif" w:hAnsi="MS Sans Serif"/>
          <w:sz w:val="20"/>
          <w:lang w:val="en-US"/>
        </w:rPr>
        <w:t>,  or</w:t>
      </w:r>
      <w:proofErr w:type="gramEnd"/>
      <w:r w:rsidRPr="00EC5196">
        <w:rPr>
          <w:rFonts w:ascii="MS Sans Serif" w:hAnsi="MS Sans Serif"/>
          <w:sz w:val="20"/>
          <w:lang w:val="en-US"/>
        </w:rPr>
        <w:t xml:space="preserve"> indicate</w:t>
      </w:r>
      <w:r>
        <w:rPr>
          <w:rFonts w:ascii="MS Sans Serif" w:hAnsi="MS Sans Serif"/>
          <w:sz w:val="20"/>
          <w:lang w:val="en-US"/>
        </w:rPr>
        <w:t xml:space="preserve"> that it cannot support GLK.</w:t>
      </w:r>
      <w:r>
        <w:rPr>
          <w:rFonts w:ascii="MS Sans Serif" w:hAnsi="MS Sans Serif"/>
          <w:sz w:val="20"/>
          <w:lang w:val="en-US"/>
        </w:rPr>
        <w:br/>
      </w:r>
      <w:r>
        <w:rPr>
          <w:rFonts w:ascii="MS Sans Serif" w:hAnsi="MS Sans Serif"/>
          <w:sz w:val="20"/>
          <w:lang w:val="en-US"/>
        </w:rPr>
        <w:br/>
      </w:r>
      <w:r w:rsidRPr="00EC5196">
        <w:rPr>
          <w:rFonts w:ascii="MS Sans Serif" w:hAnsi="MS Sans Serif"/>
          <w:sz w:val="20"/>
          <w:lang w:val="en-US"/>
        </w:rPr>
        <w:t>Pay particular attention to</w:t>
      </w:r>
      <w:r>
        <w:rPr>
          <w:rFonts w:ascii="MS Sans Serif" w:hAnsi="MS Sans Serif"/>
          <w:sz w:val="20"/>
          <w:lang w:val="en-US"/>
        </w:rPr>
        <w:t xml:space="preserve"> the 802.11ah relaying function.</w:t>
      </w:r>
      <w:r>
        <w:t>]</w:t>
      </w:r>
    </w:p>
    <w:p w14:paraId="41F6A4BA" w14:textId="3D098572" w:rsidR="00EC5196" w:rsidRPr="00EC5196" w:rsidRDefault="00EC5196" w:rsidP="00EC5196">
      <w:pPr>
        <w:rPr>
          <w:rFonts w:ascii="MS Sans Serif" w:hAnsi="MS Sans Serif"/>
          <w:b/>
          <w:sz w:val="20"/>
          <w:lang w:val="en-US"/>
        </w:rPr>
      </w:pPr>
      <w:r w:rsidRPr="00EC5196">
        <w:rPr>
          <w:b/>
        </w:rPr>
        <w:tab/>
      </w:r>
      <w:r w:rsidR="00BF5C20">
        <w:rPr>
          <w:b/>
        </w:rPr>
        <w:t xml:space="preserve">Revise. </w:t>
      </w:r>
      <w:proofErr w:type="spellStart"/>
      <w:r w:rsidR="00BF5C20">
        <w:rPr>
          <w:b/>
        </w:rPr>
        <w:t>Tbd</w:t>
      </w:r>
      <w:proofErr w:type="spellEnd"/>
      <w:r w:rsidR="00BF5C20">
        <w:rPr>
          <w:b/>
        </w:rPr>
        <w:t>.</w:t>
      </w:r>
    </w:p>
    <w:p w14:paraId="3C37E0A9" w14:textId="77777777" w:rsidR="00EC5196" w:rsidRDefault="00EC5196"/>
    <w:p w14:paraId="7B29B26E" w14:textId="09AF110A" w:rsidR="00EC5196" w:rsidRPr="00EC5196" w:rsidRDefault="00EC5196" w:rsidP="00EC5196">
      <w:pPr>
        <w:ind w:left="720" w:hanging="720"/>
        <w:rPr>
          <w:rFonts w:ascii="MS Sans Serif" w:hAnsi="MS Sans Serif"/>
          <w:sz w:val="20"/>
          <w:lang w:val="en-US"/>
        </w:rPr>
      </w:pPr>
      <w:r>
        <w:t>133</w:t>
      </w:r>
      <w:r>
        <w:tab/>
      </w:r>
      <w:r w:rsidRPr="00EC5196">
        <w:rPr>
          <w:rFonts w:ascii="MS Sans Serif" w:hAnsi="MS Sans Serif"/>
          <w:sz w:val="20"/>
          <w:lang w:val="en-US"/>
        </w:rPr>
        <w:t>I don't think the words "roughly replaced" are appropriate in this amendment. Either the DS is replaced or not.</w:t>
      </w:r>
    </w:p>
    <w:p w14:paraId="16AAE089" w14:textId="7E761797" w:rsidR="00EC5196" w:rsidRDefault="00EC5196" w:rsidP="00EC5196">
      <w:pPr>
        <w:ind w:left="1440"/>
      </w:pPr>
      <w:r>
        <w:t>[</w:t>
      </w:r>
      <w:r w:rsidRPr="00EC5196">
        <w:rPr>
          <w:rFonts w:ascii="MS Sans Serif" w:hAnsi="MS Sans Serif"/>
          <w:sz w:val="20"/>
          <w:lang w:val="en-US"/>
        </w:rPr>
        <w:t>Modify the word "roughly" or re-write this clause, e.g. "Within a GLK ESS, the DS is replaced by an IEEE 802.1Q conformant network...</w:t>
      </w:r>
      <w:proofErr w:type="gramStart"/>
      <w:r w:rsidRPr="00EC5196">
        <w:rPr>
          <w:rFonts w:ascii="MS Sans Serif" w:hAnsi="MS Sans Serif"/>
          <w:sz w:val="20"/>
          <w:lang w:val="en-US"/>
        </w:rPr>
        <w:t>".</w:t>
      </w:r>
      <w:proofErr w:type="gramEnd"/>
      <w:r w:rsidRPr="00EC5196">
        <w:rPr>
          <w:rFonts w:ascii="MS Sans Serif" w:hAnsi="MS Sans Serif"/>
          <w:sz w:val="20"/>
          <w:lang w:val="en-US"/>
        </w:rPr>
        <w:t xml:space="preserve"> Also see clause 4.6 for some suitable text P12L23</w:t>
      </w:r>
      <w:r>
        <w:t>]</w:t>
      </w:r>
    </w:p>
    <w:p w14:paraId="34E7A338" w14:textId="173BA41A" w:rsidR="00E23C51" w:rsidRPr="00BF5C20" w:rsidRDefault="00BF5C20" w:rsidP="00E23C51">
      <w:pPr>
        <w:rPr>
          <w:b/>
        </w:rPr>
      </w:pPr>
      <w:r w:rsidRPr="00BF5C20">
        <w:rPr>
          <w:b/>
        </w:rPr>
        <w:tab/>
        <w:t>Revise. Fixed in D1.3, see CID 7.</w:t>
      </w:r>
    </w:p>
    <w:p w14:paraId="4CA2A909" w14:textId="77777777" w:rsidR="00BF5C20" w:rsidRDefault="00BF5C20" w:rsidP="00E23C51"/>
    <w:p w14:paraId="02EFB67A" w14:textId="4138269C" w:rsidR="00E23C51" w:rsidRPr="00E23C51" w:rsidRDefault="00E23C51" w:rsidP="00E23C51">
      <w:pPr>
        <w:ind w:left="720" w:hanging="720"/>
        <w:rPr>
          <w:rFonts w:ascii="MS Sans Serif" w:hAnsi="MS Sans Serif"/>
          <w:sz w:val="20"/>
          <w:lang w:val="en-US"/>
        </w:rPr>
      </w:pPr>
      <w:r>
        <w:t>181</w:t>
      </w:r>
      <w:r>
        <w:tab/>
      </w:r>
      <w:r w:rsidRPr="00E23C51">
        <w:rPr>
          <w:rFonts w:ascii="MS Sans Serif" w:hAnsi="MS Sans Serif"/>
          <w:sz w:val="20"/>
          <w:lang w:val="en-US"/>
        </w:rPr>
        <w:t>EPD capability is specified twice for DMG STAs. Once here and once in the Capability Information field itself. Also in Fig 8-500 the field name includes a "</w:t>
      </w:r>
      <w:proofErr w:type="spellStart"/>
      <w:r w:rsidRPr="00E23C51">
        <w:rPr>
          <w:rFonts w:ascii="MS Sans Serif" w:hAnsi="MS Sans Serif"/>
          <w:sz w:val="20"/>
          <w:lang w:val="en-US"/>
        </w:rPr>
        <w:t>Sta</w:t>
      </w:r>
      <w:proofErr w:type="spellEnd"/>
      <w:r w:rsidRPr="00E23C51">
        <w:rPr>
          <w:rFonts w:ascii="MS Sans Serif" w:hAnsi="MS Sans Serif"/>
          <w:sz w:val="20"/>
          <w:lang w:val="en-US"/>
        </w:rPr>
        <w:t xml:space="preserve"> Capability" which is not consistent with the definition here.</w:t>
      </w:r>
    </w:p>
    <w:p w14:paraId="356D7A34" w14:textId="3C2D1457" w:rsidR="00E23C51" w:rsidRDefault="00E23C51" w:rsidP="00E23C51">
      <w:pPr>
        <w:ind w:left="1440"/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>[</w:t>
      </w:r>
      <w:r w:rsidRPr="00E23C51">
        <w:rPr>
          <w:rFonts w:ascii="MS Sans Serif" w:hAnsi="MS Sans Serif"/>
          <w:sz w:val="20"/>
          <w:lang w:val="en-US"/>
        </w:rPr>
        <w:t>Either remove the capability field here or provide a motivation for its presence in two locations for DMG STAs. If the latter is performed then keep consistency between the field name in the figure and the EPD definition.</w:t>
      </w:r>
      <w:r>
        <w:rPr>
          <w:rFonts w:ascii="MS Sans Serif" w:hAnsi="MS Sans Serif"/>
          <w:sz w:val="20"/>
          <w:lang w:val="en-US"/>
        </w:rPr>
        <w:t>]</w:t>
      </w:r>
    </w:p>
    <w:p w14:paraId="03B1FC1B" w14:textId="17F33498" w:rsidR="00E23C51" w:rsidRPr="00BF5C20" w:rsidRDefault="00E23C51" w:rsidP="00E23C51">
      <w:pPr>
        <w:rPr>
          <w:b/>
          <w:sz w:val="20"/>
          <w:lang w:val="en-US"/>
        </w:rPr>
      </w:pPr>
      <w:r w:rsidRPr="00BF5C20">
        <w:rPr>
          <w:b/>
          <w:sz w:val="20"/>
          <w:lang w:val="en-US"/>
        </w:rPr>
        <w:tab/>
      </w:r>
      <w:r w:rsidR="00BF5C20" w:rsidRPr="00BF5C20">
        <w:rPr>
          <w:b/>
          <w:sz w:val="20"/>
          <w:lang w:val="en-US"/>
        </w:rPr>
        <w:t>Reject</w:t>
      </w:r>
      <w:r w:rsidRPr="00BF5C20">
        <w:rPr>
          <w:b/>
          <w:sz w:val="20"/>
          <w:lang w:val="en-US"/>
        </w:rPr>
        <w:t>.</w:t>
      </w:r>
      <w:r w:rsidR="00BF5C20" w:rsidRPr="00BF5C20">
        <w:rPr>
          <w:b/>
          <w:sz w:val="20"/>
          <w:lang w:val="en-US"/>
        </w:rPr>
        <w:t xml:space="preserve"> See CID 120.</w:t>
      </w:r>
    </w:p>
    <w:p w14:paraId="02372388" w14:textId="77777777" w:rsidR="00E23C51" w:rsidRDefault="00E23C51" w:rsidP="00E23C51">
      <w:pPr>
        <w:rPr>
          <w:sz w:val="20"/>
          <w:lang w:val="en-US"/>
        </w:rPr>
      </w:pPr>
    </w:p>
    <w:p w14:paraId="383E29AA" w14:textId="43D1262A" w:rsidR="00E23C51" w:rsidRDefault="00E23C51" w:rsidP="00E23C51">
      <w:pPr>
        <w:ind w:left="720" w:hanging="720"/>
        <w:rPr>
          <w:rFonts w:ascii="MS Sans Serif" w:hAnsi="MS Sans Serif"/>
          <w:sz w:val="20"/>
          <w:lang w:val="en-US"/>
        </w:rPr>
      </w:pPr>
      <w:r>
        <w:rPr>
          <w:sz w:val="20"/>
          <w:lang w:val="en-US"/>
        </w:rPr>
        <w:t>196</w:t>
      </w:r>
      <w:r>
        <w:rPr>
          <w:sz w:val="20"/>
          <w:lang w:val="en-US"/>
        </w:rPr>
        <w:tab/>
      </w:r>
      <w:r w:rsidRPr="00E23C51">
        <w:rPr>
          <w:rFonts w:ascii="MS Sans Serif" w:hAnsi="MS Sans Serif"/>
          <w:sz w:val="20"/>
          <w:lang w:val="en-US"/>
        </w:rPr>
        <w:t xml:space="preserve">The 802.11ak is providing an important architectural extension to 802.11 that " ...extends the 802.11 standard so that communication links can be established between General Link (GLK) STAs that are usable as a transit links inside a network conformant to IEEE </w:t>
      </w:r>
      <w:proofErr w:type="spellStart"/>
      <w:r w:rsidRPr="00E23C51">
        <w:rPr>
          <w:rFonts w:ascii="MS Sans Serif" w:hAnsi="MS Sans Serif"/>
          <w:sz w:val="20"/>
          <w:lang w:val="en-US"/>
        </w:rPr>
        <w:t>Std</w:t>
      </w:r>
      <w:proofErr w:type="spellEnd"/>
      <w:r w:rsidRPr="00E23C51">
        <w:rPr>
          <w:rFonts w:ascii="MS Sans Serif" w:hAnsi="MS Sans Serif"/>
          <w:sz w:val="20"/>
          <w:lang w:val="en-US"/>
        </w:rPr>
        <w:t xml:space="preserve"> 802.1Q." IEEE 802.11 currently defines non-AP non-mesh STAs as leaf nodes of a network. The associated security model for such STAs is based on this assumption and is based on </w:t>
      </w:r>
      <w:proofErr w:type="gramStart"/>
      <w:r w:rsidRPr="00E23C51">
        <w:rPr>
          <w:rFonts w:ascii="MS Sans Serif" w:hAnsi="MS Sans Serif"/>
          <w:sz w:val="20"/>
          <w:lang w:val="en-US"/>
        </w:rPr>
        <w:t>a</w:t>
      </w:r>
      <w:proofErr w:type="gramEnd"/>
      <w:r w:rsidRPr="00E23C51">
        <w:rPr>
          <w:rFonts w:ascii="MS Sans Serif" w:hAnsi="MS Sans Serif"/>
          <w:sz w:val="20"/>
          <w:lang w:val="en-US"/>
        </w:rPr>
        <w:t xml:space="preserve"> asymmetric model (802.1x) that is not appropriate for GLK STAs.  The considerations for key establishment and connectivity for a GLK TA are not the same as a leaf node.  The proposed specification has no text describing the required changes for key establishment, authentication, authorization and access control for the proposed changes.  </w:t>
      </w:r>
      <w:proofErr w:type="spellStart"/>
      <w:r w:rsidRPr="00E23C51">
        <w:rPr>
          <w:rFonts w:ascii="MS Sans Serif" w:hAnsi="MS Sans Serif"/>
          <w:sz w:val="20"/>
          <w:lang w:val="en-US"/>
        </w:rPr>
        <w:t>THe</w:t>
      </w:r>
      <w:proofErr w:type="spellEnd"/>
      <w:r w:rsidRPr="00E23C51">
        <w:rPr>
          <w:rFonts w:ascii="MS Sans Serif" w:hAnsi="MS Sans Serif"/>
          <w:sz w:val="20"/>
          <w:lang w:val="en-US"/>
        </w:rPr>
        <w:t xml:space="preserve"> security section is completely empty and no text anywhere mentions the implications on the security architecture of these fundamental architectural changes.</w:t>
      </w:r>
    </w:p>
    <w:p w14:paraId="49B1F711" w14:textId="50AE9CDB" w:rsidR="00E23C51" w:rsidRPr="00E23C51" w:rsidRDefault="00E23C51" w:rsidP="00E23C51">
      <w:pPr>
        <w:ind w:left="1440"/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>[</w:t>
      </w:r>
      <w:r w:rsidRPr="00E23C51">
        <w:rPr>
          <w:rFonts w:ascii="MS Sans Serif" w:hAnsi="MS Sans Serif"/>
          <w:sz w:val="20"/>
          <w:lang w:val="en-US"/>
        </w:rPr>
        <w:t xml:space="preserve">The specification must address the changes in the security architecture associated with the changes in the topology model. A couple different options would be possible by the working group that might include: referencing the appropriate new mechanisms that might be used </w:t>
      </w:r>
      <w:proofErr w:type="gramStart"/>
      <w:r w:rsidRPr="00E23C51">
        <w:rPr>
          <w:rFonts w:ascii="MS Sans Serif" w:hAnsi="MS Sans Serif"/>
          <w:sz w:val="20"/>
          <w:lang w:val="en-US"/>
        </w:rPr>
        <w:t>from  802.1</w:t>
      </w:r>
      <w:proofErr w:type="gramEnd"/>
      <w:r w:rsidRPr="00E23C51">
        <w:rPr>
          <w:rFonts w:ascii="MS Sans Serif" w:hAnsi="MS Sans Serif"/>
          <w:sz w:val="20"/>
          <w:lang w:val="en-US"/>
        </w:rPr>
        <w:t xml:space="preserve"> specifications, describing possible modifications to current .11 security (802.1 based) for a more symmetric GLK application or describe the requirements of link establishment requirements in context of GLK usage.</w:t>
      </w:r>
      <w:r>
        <w:rPr>
          <w:rFonts w:ascii="MS Sans Serif" w:hAnsi="MS Sans Serif"/>
          <w:sz w:val="20"/>
          <w:lang w:val="en-US"/>
        </w:rPr>
        <w:t>]</w:t>
      </w:r>
    </w:p>
    <w:p w14:paraId="185AC331" w14:textId="23D3053B" w:rsidR="00E23C51" w:rsidRPr="00F53DA4" w:rsidRDefault="00E23C51" w:rsidP="00F53DA4">
      <w:pPr>
        <w:ind w:left="720"/>
        <w:rPr>
          <w:b/>
          <w:sz w:val="20"/>
          <w:lang w:val="en-US"/>
        </w:rPr>
      </w:pPr>
      <w:r w:rsidRPr="00F53DA4">
        <w:rPr>
          <w:b/>
          <w:sz w:val="20"/>
          <w:lang w:val="en-US"/>
        </w:rPr>
        <w:t xml:space="preserve">Reject. The 802.11ak extension merely makes 802.11 links as </w:t>
      </w:r>
      <w:r w:rsidR="00BF5C20">
        <w:rPr>
          <w:b/>
          <w:sz w:val="20"/>
          <w:lang w:val="en-US"/>
        </w:rPr>
        <w:t>usable</w:t>
      </w:r>
      <w:r w:rsidRPr="00F53DA4">
        <w:rPr>
          <w:b/>
          <w:sz w:val="20"/>
          <w:lang w:val="en-US"/>
        </w:rPr>
        <w:t xml:space="preserve"> </w:t>
      </w:r>
      <w:r w:rsidR="00BF5C20">
        <w:rPr>
          <w:b/>
          <w:sz w:val="20"/>
          <w:lang w:val="en-US"/>
        </w:rPr>
        <w:t xml:space="preserve">for transit </w:t>
      </w:r>
      <w:r w:rsidRPr="00F53DA4">
        <w:rPr>
          <w:b/>
          <w:sz w:val="20"/>
          <w:lang w:val="en-US"/>
        </w:rPr>
        <w:t>as, for example, 802.3 links</w:t>
      </w:r>
      <w:r w:rsidR="00BF5C20">
        <w:rPr>
          <w:b/>
          <w:sz w:val="20"/>
          <w:lang w:val="en-US"/>
        </w:rPr>
        <w:t xml:space="preserve"> are</w:t>
      </w:r>
      <w:r w:rsidRPr="00F53DA4">
        <w:rPr>
          <w:b/>
          <w:sz w:val="20"/>
          <w:lang w:val="en-US"/>
        </w:rPr>
        <w:t xml:space="preserve">. </w:t>
      </w:r>
      <w:r w:rsidR="00F53DA4" w:rsidRPr="00F53DA4">
        <w:rPr>
          <w:b/>
          <w:sz w:val="20"/>
          <w:lang w:val="en-US"/>
        </w:rPr>
        <w:t xml:space="preserve">That you can make an extensive network from 802.11ak links using </w:t>
      </w:r>
      <w:r w:rsidR="00BF5C20">
        <w:rPr>
          <w:b/>
          <w:sz w:val="20"/>
          <w:lang w:val="en-US"/>
        </w:rPr>
        <w:t xml:space="preserve">the </w:t>
      </w:r>
      <w:r w:rsidR="00F53DA4" w:rsidRPr="00F53DA4">
        <w:rPr>
          <w:b/>
          <w:sz w:val="20"/>
          <w:lang w:val="en-US"/>
        </w:rPr>
        <w:t xml:space="preserve">802.1Q bridges or equivalent devices that are connected to 802.11ak APs/STAs is no different from the ability to make such a network using 802.1Q bridges or the like connected to 802.3 links. Security of such networks as a whole is </w:t>
      </w:r>
      <w:r w:rsidR="00BF5C20">
        <w:rPr>
          <w:b/>
          <w:sz w:val="20"/>
          <w:lang w:val="en-US"/>
        </w:rPr>
        <w:t>the business of</w:t>
      </w:r>
      <w:r w:rsidR="00F53DA4" w:rsidRPr="00F53DA4">
        <w:rPr>
          <w:b/>
          <w:sz w:val="20"/>
          <w:lang w:val="en-US"/>
        </w:rPr>
        <w:t xml:space="preserve"> the bridges or similar devices and is out of scope for 802.11. T</w:t>
      </w:r>
      <w:r w:rsidR="00BF5C20">
        <w:rPr>
          <w:b/>
          <w:sz w:val="20"/>
          <w:lang w:val="en-US"/>
        </w:rPr>
        <w:t>hus, t</w:t>
      </w:r>
      <w:r w:rsidR="00F53DA4" w:rsidRPr="00F53DA4">
        <w:rPr>
          <w:b/>
          <w:sz w:val="20"/>
          <w:lang w:val="en-US"/>
        </w:rPr>
        <w:t xml:space="preserve">here is no </w:t>
      </w:r>
      <w:r w:rsidR="00BF5C20">
        <w:rPr>
          <w:b/>
          <w:sz w:val="20"/>
          <w:lang w:val="en-US"/>
        </w:rPr>
        <w:t xml:space="preserve">particular need </w:t>
      </w:r>
      <w:r w:rsidR="00F53DA4" w:rsidRPr="00F53DA4">
        <w:rPr>
          <w:b/>
          <w:sz w:val="20"/>
          <w:lang w:val="en-US"/>
        </w:rPr>
        <w:t>to extend the security of 802.11 for 802.11ak.</w:t>
      </w:r>
      <w:r w:rsidR="00BF5C20">
        <w:rPr>
          <w:b/>
          <w:sz w:val="20"/>
          <w:lang w:val="en-US"/>
        </w:rPr>
        <w:t xml:space="preserve"> </w:t>
      </w:r>
    </w:p>
    <w:p w14:paraId="3474970D" w14:textId="77777777" w:rsidR="00EC5196" w:rsidRDefault="00EC5196"/>
    <w:p w14:paraId="5A2AA41F" w14:textId="30E722B0" w:rsidR="00EC5196" w:rsidRDefault="00EC5196" w:rsidP="00EC5196">
      <w:pPr>
        <w:ind w:left="720" w:hanging="720"/>
        <w:rPr>
          <w:rFonts w:ascii="MS Sans Serif" w:hAnsi="MS Sans Serif"/>
          <w:sz w:val="20"/>
          <w:lang w:val="en-US"/>
        </w:rPr>
      </w:pPr>
      <w:r>
        <w:lastRenderedPageBreak/>
        <w:t>214</w:t>
      </w:r>
      <w:r>
        <w:tab/>
      </w:r>
      <w:r w:rsidRPr="00EC5196">
        <w:rPr>
          <w:rFonts w:ascii="MS Sans Serif" w:hAnsi="MS Sans Serif"/>
          <w:sz w:val="20"/>
          <w:lang w:val="en-US"/>
        </w:rPr>
        <w:t>Should 11ak provide mechanisms for fast convergence after roaming w/o floods of source learning?</w:t>
      </w:r>
    </w:p>
    <w:p w14:paraId="2E2A8338" w14:textId="1C133EC6" w:rsidR="00EC5196" w:rsidRDefault="00EC5196" w:rsidP="00EC5196">
      <w:pPr>
        <w:ind w:left="1440"/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>[</w:t>
      </w:r>
      <w:r w:rsidRPr="00EC5196">
        <w:rPr>
          <w:rFonts w:ascii="MS Sans Serif" w:hAnsi="MS Sans Serif"/>
          <w:sz w:val="20"/>
          <w:lang w:val="en-US"/>
        </w:rPr>
        <w:t>802.11r supports fast roaming, but not sure what 802.1Q has, and wireless devices are by their very nature more mobile. Should we have a mechanism to migrate the ISS SAP vs removal/disablement? If 802.1Q has such mechanisms, it would be good to call out explicitly and require their usage.</w:t>
      </w:r>
      <w:r>
        <w:rPr>
          <w:rFonts w:ascii="MS Sans Serif" w:hAnsi="MS Sans Serif"/>
          <w:sz w:val="20"/>
          <w:lang w:val="en-US"/>
        </w:rPr>
        <w:t>]</w:t>
      </w:r>
    </w:p>
    <w:p w14:paraId="069AAA2F" w14:textId="67EFF2A4" w:rsidR="00EC5196" w:rsidRDefault="00EC5196" w:rsidP="00EC5196">
      <w:pPr>
        <w:rPr>
          <w:b/>
          <w:sz w:val="20"/>
          <w:lang w:val="en-US"/>
        </w:rPr>
      </w:pPr>
      <w:r w:rsidRPr="00EC5196">
        <w:rPr>
          <w:b/>
          <w:sz w:val="20"/>
          <w:lang w:val="en-US"/>
        </w:rPr>
        <w:tab/>
        <w:t>Reject. This is a problem for 802.1Q.</w:t>
      </w:r>
    </w:p>
    <w:p w14:paraId="13977F6B" w14:textId="77777777" w:rsidR="00F53DA4" w:rsidRPr="00EC5196" w:rsidRDefault="00F53DA4" w:rsidP="00EC5196">
      <w:pPr>
        <w:rPr>
          <w:b/>
          <w:sz w:val="20"/>
          <w:lang w:val="en-US"/>
        </w:rPr>
      </w:pPr>
    </w:p>
    <w:p w14:paraId="29768223" w14:textId="426B436B" w:rsidR="00F53DA4" w:rsidRDefault="00F53DA4" w:rsidP="00F53DA4">
      <w:pPr>
        <w:ind w:left="720" w:hanging="720"/>
        <w:rPr>
          <w:rFonts w:ascii="MS Sans Serif" w:hAnsi="MS Sans Serif"/>
          <w:sz w:val="20"/>
          <w:lang w:val="en-US"/>
        </w:rPr>
      </w:pPr>
      <w:r w:rsidRPr="00F53DA4">
        <w:t>412</w:t>
      </w:r>
      <w:r w:rsidRPr="00F53DA4">
        <w:tab/>
      </w:r>
      <w:r w:rsidRPr="00F53DA4">
        <w:rPr>
          <w:rFonts w:ascii="MS Sans Serif" w:hAnsi="MS Sans Serif"/>
          <w:sz w:val="20"/>
          <w:lang w:val="en-US"/>
        </w:rPr>
        <w:t xml:space="preserve">"A GLK mesh STA coordinates with the 802.1AC IEEE 802.11 General Link Convergence function":  the text in this paragraph looks more like it belongs in cause 4 than in a normative clause.  Either specify what frames the mesh STA uses or reference the </w:t>
      </w:r>
      <w:proofErr w:type="spellStart"/>
      <w:r w:rsidRPr="00F53DA4">
        <w:rPr>
          <w:rFonts w:ascii="MS Sans Serif" w:hAnsi="MS Sans Serif"/>
          <w:sz w:val="20"/>
          <w:lang w:val="en-US"/>
        </w:rPr>
        <w:t>subclause</w:t>
      </w:r>
      <w:proofErr w:type="spellEnd"/>
      <w:r w:rsidRPr="00F53DA4">
        <w:rPr>
          <w:rFonts w:ascii="MS Sans Serif" w:hAnsi="MS Sans Serif"/>
          <w:sz w:val="20"/>
          <w:lang w:val="en-US"/>
        </w:rPr>
        <w:t xml:space="preserve"> that specifies those communications.</w:t>
      </w:r>
    </w:p>
    <w:p w14:paraId="35FFE617" w14:textId="74ACCEF7" w:rsidR="00F53DA4" w:rsidRDefault="00F53DA4" w:rsidP="006A7F14">
      <w:pPr>
        <w:ind w:left="1440"/>
        <w:rPr>
          <w:rFonts w:ascii="MS Sans Serif" w:hAnsi="MS Sans Serif"/>
          <w:sz w:val="20"/>
          <w:lang w:val="en-US"/>
        </w:rPr>
      </w:pPr>
      <w:r>
        <w:rPr>
          <w:rFonts w:ascii="MS Sans Serif" w:hAnsi="MS Sans Serif"/>
          <w:sz w:val="20"/>
          <w:lang w:val="en-US"/>
        </w:rPr>
        <w:t>[</w:t>
      </w:r>
      <w:r w:rsidRPr="00F53DA4">
        <w:rPr>
          <w:rFonts w:ascii="MS Sans Serif" w:hAnsi="MS Sans Serif"/>
          <w:sz w:val="20"/>
          <w:lang w:val="en-US"/>
        </w:rPr>
        <w:t>Reference the clause(s) that specify the frames, elements, etc. used in the coordination with the convergence function.</w:t>
      </w:r>
      <w:r>
        <w:rPr>
          <w:rFonts w:ascii="MS Sans Serif" w:hAnsi="MS Sans Serif"/>
          <w:sz w:val="20"/>
          <w:lang w:val="en-US"/>
        </w:rPr>
        <w:t>]</w:t>
      </w:r>
    </w:p>
    <w:p w14:paraId="1D14B790" w14:textId="2CAC3A29" w:rsidR="00F53DA4" w:rsidRPr="00BF5C20" w:rsidRDefault="00F53DA4" w:rsidP="00F53DA4">
      <w:pPr>
        <w:rPr>
          <w:b/>
          <w:sz w:val="20"/>
          <w:lang w:val="en-US"/>
        </w:rPr>
      </w:pPr>
      <w:r w:rsidRPr="00BF5C20">
        <w:rPr>
          <w:b/>
          <w:sz w:val="20"/>
          <w:lang w:val="en-US"/>
        </w:rPr>
        <w:tab/>
        <w:t xml:space="preserve">Revise. </w:t>
      </w:r>
      <w:proofErr w:type="spellStart"/>
      <w:r w:rsidRPr="00BF5C20">
        <w:rPr>
          <w:b/>
          <w:sz w:val="20"/>
          <w:lang w:val="en-US"/>
        </w:rPr>
        <w:t>Tbd</w:t>
      </w:r>
      <w:proofErr w:type="spellEnd"/>
    </w:p>
    <w:p w14:paraId="3A280748" w14:textId="77777777" w:rsidR="00F53DA4" w:rsidRDefault="00F53DA4" w:rsidP="00F53DA4">
      <w:pPr>
        <w:rPr>
          <w:sz w:val="20"/>
          <w:lang w:val="en-US"/>
        </w:rPr>
      </w:pPr>
    </w:p>
    <w:p w14:paraId="4368495B" w14:textId="12D2F7B6" w:rsidR="00F53DA4" w:rsidRPr="00F53DA4" w:rsidRDefault="00F53DA4" w:rsidP="00F53DA4">
      <w:pPr>
        <w:ind w:left="720" w:hanging="720"/>
        <w:rPr>
          <w:rFonts w:ascii="MS Sans Serif" w:hAnsi="MS Sans Serif"/>
          <w:sz w:val="20"/>
          <w:lang w:val="en-US"/>
        </w:rPr>
      </w:pPr>
      <w:r>
        <w:rPr>
          <w:sz w:val="20"/>
          <w:lang w:val="en-US"/>
        </w:rPr>
        <w:t>437</w:t>
      </w:r>
      <w:r>
        <w:rPr>
          <w:sz w:val="20"/>
          <w:lang w:val="en-US"/>
        </w:rPr>
        <w:tab/>
      </w:r>
      <w:r w:rsidRPr="00F53DA4">
        <w:rPr>
          <w:rFonts w:ascii="MS Sans Serif" w:hAnsi="MS Sans Serif"/>
          <w:sz w:val="20"/>
          <w:lang w:val="en-US"/>
        </w:rPr>
        <w:t>It is not clear GLK mesh STAs need not have access to a DS.  Only Non-GLK mesh STAs must have access to a DS to be called a mesh gate.</w:t>
      </w:r>
    </w:p>
    <w:p w14:paraId="4893FF81" w14:textId="4CF85A59" w:rsidR="00F53DA4" w:rsidRPr="00F53DA4" w:rsidRDefault="00F53DA4" w:rsidP="00F53DA4">
      <w:pPr>
        <w:ind w:left="1440"/>
        <w:rPr>
          <w:rFonts w:ascii="MS Sans Serif" w:hAnsi="MS Sans Serif"/>
          <w:sz w:val="20"/>
          <w:lang w:val="en-US"/>
        </w:rPr>
      </w:pPr>
      <w:r>
        <w:rPr>
          <w:sz w:val="20"/>
          <w:lang w:val="en-US"/>
        </w:rPr>
        <w:t>[</w:t>
      </w:r>
      <w:r w:rsidRPr="00F53DA4">
        <w:rPr>
          <w:rFonts w:ascii="MS Sans Serif" w:hAnsi="MS Sans Serif"/>
          <w:sz w:val="20"/>
          <w:lang w:val="en-US"/>
        </w:rPr>
        <w:t>Replace: "Non-GLK mesh STAs that have access to a DS and GLK mesh STAs are called mesh gates."</w:t>
      </w:r>
      <w:r w:rsidRPr="00F53DA4">
        <w:rPr>
          <w:rFonts w:ascii="MS Sans Serif" w:hAnsi="MS Sans Serif"/>
          <w:sz w:val="20"/>
          <w:lang w:val="en-US"/>
        </w:rPr>
        <w:br/>
      </w:r>
      <w:r w:rsidRPr="00F53DA4">
        <w:rPr>
          <w:rFonts w:ascii="MS Sans Serif" w:hAnsi="MS Sans Serif"/>
          <w:sz w:val="20"/>
          <w:lang w:val="en-US"/>
        </w:rPr>
        <w:br/>
        <w:t>With: "A mesh gate is either a GLK mesh STA attached to a bridge or a Non-GLK mesh STA that has access to a DS."</w:t>
      </w:r>
      <w:r>
        <w:rPr>
          <w:rFonts w:ascii="MS Sans Serif" w:hAnsi="MS Sans Serif"/>
          <w:sz w:val="20"/>
          <w:lang w:val="en-US"/>
        </w:rPr>
        <w:t>]</w:t>
      </w:r>
    </w:p>
    <w:p w14:paraId="66400B09" w14:textId="61EC126E" w:rsidR="00F53DA4" w:rsidRPr="00BF5C20" w:rsidRDefault="00F53DA4" w:rsidP="00F53DA4">
      <w:pPr>
        <w:rPr>
          <w:b/>
          <w:sz w:val="20"/>
          <w:lang w:val="en-US"/>
        </w:rPr>
      </w:pPr>
      <w:r w:rsidRPr="00BF5C20">
        <w:rPr>
          <w:b/>
          <w:sz w:val="20"/>
          <w:lang w:val="en-US"/>
        </w:rPr>
        <w:tab/>
      </w:r>
      <w:r w:rsidR="008C4732">
        <w:rPr>
          <w:b/>
          <w:sz w:val="20"/>
          <w:lang w:val="en-US"/>
        </w:rPr>
        <w:t xml:space="preserve">Revise. </w:t>
      </w:r>
      <w:r w:rsidR="0064500F">
        <w:rPr>
          <w:b/>
          <w:sz w:val="20"/>
          <w:lang w:val="en-US"/>
        </w:rPr>
        <w:t>Replace with “</w:t>
      </w:r>
      <w:r w:rsidR="0064500F" w:rsidRPr="0064500F">
        <w:rPr>
          <w:b/>
          <w:sz w:val="20"/>
          <w:lang w:val="en-US"/>
        </w:rPr>
        <w:t>A mesh gate is either a GLK mesh STA a</w:t>
      </w:r>
      <w:r w:rsidR="0064500F">
        <w:rPr>
          <w:b/>
          <w:sz w:val="20"/>
          <w:lang w:val="en-US"/>
        </w:rPr>
        <w:t>ttached to a bridge or a</w:t>
      </w:r>
      <w:r w:rsidR="0064500F" w:rsidRPr="0064500F">
        <w:rPr>
          <w:b/>
          <w:sz w:val="20"/>
          <w:lang w:val="en-US"/>
        </w:rPr>
        <w:t xml:space="preserve"> mes</w:t>
      </w:r>
      <w:r w:rsidR="0064500F">
        <w:rPr>
          <w:b/>
          <w:sz w:val="20"/>
          <w:lang w:val="en-US"/>
        </w:rPr>
        <w:t>h STA that has access to a DS.</w:t>
      </w:r>
      <w:proofErr w:type="gramStart"/>
      <w:r w:rsidR="0064500F">
        <w:rPr>
          <w:b/>
          <w:sz w:val="20"/>
          <w:lang w:val="en-US"/>
        </w:rPr>
        <w:t>”</w:t>
      </w:r>
      <w:bookmarkStart w:id="0" w:name="_GoBack"/>
      <w:bookmarkEnd w:id="0"/>
      <w:r w:rsidRPr="00BF5C20">
        <w:rPr>
          <w:b/>
          <w:sz w:val="20"/>
          <w:lang w:val="en-US"/>
        </w:rPr>
        <w:t>.</w:t>
      </w:r>
      <w:proofErr w:type="gramEnd"/>
    </w:p>
    <w:p w14:paraId="6EAEDD00" w14:textId="77777777" w:rsidR="00F53DA4" w:rsidRPr="00F53DA4" w:rsidRDefault="00F53DA4" w:rsidP="00F53DA4">
      <w:pPr>
        <w:rPr>
          <w:sz w:val="20"/>
          <w:lang w:val="en-US"/>
        </w:rPr>
      </w:pPr>
    </w:p>
    <w:p w14:paraId="342B968D" w14:textId="558BD026" w:rsidR="00CA09B2" w:rsidRPr="005C191C" w:rsidRDefault="00CA09B2" w:rsidP="001A1DA9">
      <w:pPr>
        <w:pStyle w:val="Heading1"/>
        <w:rPr>
          <w:rFonts w:ascii="MS Sans Serif" w:hAnsi="MS Sans Serif"/>
          <w:sz w:val="20"/>
          <w:lang w:val="en-US"/>
        </w:rPr>
      </w:pPr>
      <w:r w:rsidRPr="001A1DA9">
        <w:br w:type="page"/>
      </w:r>
      <w:r>
        <w:lastRenderedPageBreak/>
        <w:t>References:</w:t>
      </w:r>
    </w:p>
    <w:p w14:paraId="073B76BE" w14:textId="77777777" w:rsidR="00CA09B2" w:rsidRDefault="00CA09B2"/>
    <w:p w14:paraId="10E61579" w14:textId="77777777" w:rsidR="00EC5196" w:rsidRPr="00AC1E2B" w:rsidRDefault="00EC5196" w:rsidP="00EC5196">
      <w:pPr>
        <w:rPr>
          <w:b/>
          <w:bCs/>
          <w:szCs w:val="22"/>
          <w:lang w:val="en-US"/>
        </w:rPr>
      </w:pPr>
      <w:r w:rsidRPr="00AC1E2B">
        <w:rPr>
          <w:szCs w:val="22"/>
        </w:rPr>
        <w:t>11-15/556r13, “</w:t>
      </w:r>
      <w:r w:rsidRPr="00AC1E2B">
        <w:rPr>
          <w:b/>
          <w:bCs/>
          <w:szCs w:val="22"/>
          <w:lang w:val="en-US"/>
        </w:rPr>
        <w:t>LB212 Working Group Ballot Comments</w:t>
      </w:r>
      <w:r w:rsidRPr="00AC1E2B">
        <w:rPr>
          <w:szCs w:val="22"/>
        </w:rPr>
        <w:t>”, Donald Eastlake 3</w:t>
      </w:r>
      <w:r w:rsidRPr="00AC1E2B">
        <w:rPr>
          <w:szCs w:val="22"/>
          <w:vertAlign w:val="superscript"/>
        </w:rPr>
        <w:t>rd</w:t>
      </w:r>
      <w:r w:rsidRPr="00AC1E2B">
        <w:rPr>
          <w:szCs w:val="22"/>
        </w:rPr>
        <w:t xml:space="preserve"> (Huawei Technologies)</w:t>
      </w:r>
    </w:p>
    <w:p w14:paraId="2ACCE125" w14:textId="77777777" w:rsidR="00EC5196" w:rsidRDefault="00EC5196"/>
    <w:sectPr w:rsidR="00EC519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71B1A" w14:textId="77777777" w:rsidR="008C4732" w:rsidRDefault="008C4732">
      <w:r>
        <w:separator/>
      </w:r>
    </w:p>
  </w:endnote>
  <w:endnote w:type="continuationSeparator" w:id="0">
    <w:p w14:paraId="3E1F0E9F" w14:textId="77777777" w:rsidR="008C4732" w:rsidRDefault="008C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A1AB" w14:textId="77777777" w:rsidR="008C4732" w:rsidRDefault="008C473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4500F">
      <w:rPr>
        <w:noProof/>
      </w:rPr>
      <w:t>2</w:t>
    </w:r>
    <w:r>
      <w:fldChar w:fldCharType="end"/>
    </w:r>
    <w:r>
      <w:tab/>
    </w:r>
    <w:fldSimple w:instr=" COMMENTS  \* MERGEFORMAT ">
      <w:r>
        <w:t>Donald Eastlake, Huawei Technologies</w:t>
      </w:r>
    </w:fldSimple>
  </w:p>
  <w:p w14:paraId="54F7C8CE" w14:textId="77777777" w:rsidR="008C4732" w:rsidRDefault="008C47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D62A1" w14:textId="77777777" w:rsidR="008C4732" w:rsidRDefault="008C4732">
      <w:r>
        <w:separator/>
      </w:r>
    </w:p>
  </w:footnote>
  <w:footnote w:type="continuationSeparator" w:id="0">
    <w:p w14:paraId="50D0AEB7" w14:textId="77777777" w:rsidR="008C4732" w:rsidRDefault="008C47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63A09" w14:textId="77777777" w:rsidR="008C4732" w:rsidRDefault="008C473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2015</w:t>
      </w:r>
    </w:fldSimple>
    <w:r>
      <w:tab/>
    </w:r>
    <w:r>
      <w:tab/>
    </w:r>
    <w:fldSimple w:instr=" TITLE  \* MERGEFORMAT ">
      <w:r>
        <w:t>doc.: IEEE 802.11-15/1426r0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245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F2"/>
    <w:rsid w:val="001257BC"/>
    <w:rsid w:val="001A1DA9"/>
    <w:rsid w:val="001D723B"/>
    <w:rsid w:val="00256E18"/>
    <w:rsid w:val="0029020B"/>
    <w:rsid w:val="002D44BE"/>
    <w:rsid w:val="002D4605"/>
    <w:rsid w:val="002F0513"/>
    <w:rsid w:val="0031761C"/>
    <w:rsid w:val="00362FA2"/>
    <w:rsid w:val="00442037"/>
    <w:rsid w:val="004B064B"/>
    <w:rsid w:val="005C191C"/>
    <w:rsid w:val="00605815"/>
    <w:rsid w:val="00622EB8"/>
    <w:rsid w:val="0062440B"/>
    <w:rsid w:val="0064500F"/>
    <w:rsid w:val="006A7F14"/>
    <w:rsid w:val="006C0727"/>
    <w:rsid w:val="006E145F"/>
    <w:rsid w:val="00736353"/>
    <w:rsid w:val="0075252F"/>
    <w:rsid w:val="00770572"/>
    <w:rsid w:val="00792FA9"/>
    <w:rsid w:val="00864F63"/>
    <w:rsid w:val="008C4732"/>
    <w:rsid w:val="008D3A2B"/>
    <w:rsid w:val="00937E0B"/>
    <w:rsid w:val="009844F8"/>
    <w:rsid w:val="009F2FBC"/>
    <w:rsid w:val="00A728FF"/>
    <w:rsid w:val="00AA427C"/>
    <w:rsid w:val="00B02E6E"/>
    <w:rsid w:val="00B47E90"/>
    <w:rsid w:val="00BE68C2"/>
    <w:rsid w:val="00BF5C20"/>
    <w:rsid w:val="00C963F2"/>
    <w:rsid w:val="00CA09B2"/>
    <w:rsid w:val="00DC5A7B"/>
    <w:rsid w:val="00E23C51"/>
    <w:rsid w:val="00EC5196"/>
    <w:rsid w:val="00EE5662"/>
    <w:rsid w:val="00EF1854"/>
    <w:rsid w:val="00F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59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A2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A2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Downloads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4</Pages>
  <Words>816</Words>
  <Characters>4152</Characters>
  <Application>Microsoft Macintosh Word</Application>
  <DocSecurity>0</DocSecurity>
  <Lines>110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802.11-15/1426r0</vt:lpstr>
    </vt:vector>
  </TitlesOfParts>
  <Manager/>
  <Company>Huawei Technologies</Company>
  <LinksUpToDate>false</LinksUpToDate>
  <CharactersWithSpaces>4951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802.11-15/1426r1</dc:title>
  <dc:subject>Submission</dc:subject>
  <dc:creator>Donald Eastlake</dc:creator>
  <cp:keywords>November 2015</cp:keywords>
  <dc:description>Donald Eastlake, Huawei Technologies</dc:description>
  <cp:lastModifiedBy>Donald Eastlake</cp:lastModifiedBy>
  <cp:revision>2</cp:revision>
  <cp:lastPrinted>1901-01-01T05:00:00Z</cp:lastPrinted>
  <dcterms:created xsi:type="dcterms:W3CDTF">2015-11-11T03:10:00Z</dcterms:created>
  <dcterms:modified xsi:type="dcterms:W3CDTF">2015-11-11T03:10:00Z</dcterms:modified>
  <cp:category/>
</cp:coreProperties>
</file>