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rsidTr="00F65E52">
        <w:trPr>
          <w:trHeight w:val="485"/>
          <w:jc w:val="center"/>
        </w:trPr>
        <w:tc>
          <w:tcPr>
            <w:tcW w:w="10368" w:type="dxa"/>
            <w:gridSpan w:val="6"/>
            <w:vAlign w:val="center"/>
          </w:tcPr>
          <w:p w:rsidR="00CA09B2" w:rsidRDefault="00C70BB3" w:rsidP="00BB0933">
            <w:pPr>
              <w:pStyle w:val="T2"/>
            </w:pPr>
            <w:r>
              <w:t>Clarification to IPI densities text</w:t>
            </w:r>
          </w:p>
        </w:tc>
      </w:tr>
      <w:tr w:rsidR="00CA09B2" w:rsidTr="00F65E52">
        <w:trPr>
          <w:trHeight w:val="359"/>
          <w:jc w:val="center"/>
        </w:trPr>
        <w:tc>
          <w:tcPr>
            <w:tcW w:w="10368" w:type="dxa"/>
            <w:gridSpan w:val="6"/>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C70BB3">
              <w:rPr>
                <w:b w:val="0"/>
                <w:sz w:val="20"/>
              </w:rPr>
              <w:t>-11-10</w:t>
            </w:r>
          </w:p>
        </w:tc>
      </w:tr>
      <w:tr w:rsidR="00CA09B2" w:rsidTr="00F65E52">
        <w:trPr>
          <w:cantSplit/>
          <w:trHeight w:val="287"/>
          <w:jc w:val="center"/>
        </w:trPr>
        <w:tc>
          <w:tcPr>
            <w:tcW w:w="10368" w:type="dxa"/>
            <w:gridSpan w:val="6"/>
            <w:vAlign w:val="center"/>
          </w:tcPr>
          <w:p w:rsidR="00CA09B2" w:rsidRDefault="00CA09B2">
            <w:pPr>
              <w:pStyle w:val="T2"/>
              <w:spacing w:after="0"/>
              <w:ind w:left="0" w:right="0"/>
              <w:jc w:val="left"/>
              <w:rPr>
                <w:sz w:val="20"/>
              </w:rPr>
            </w:pPr>
            <w:r>
              <w:rPr>
                <w:sz w:val="20"/>
              </w:rPr>
              <w:t>Author(s):</w:t>
            </w:r>
          </w:p>
        </w:tc>
      </w:tr>
      <w:tr w:rsidR="00CA09B2" w:rsidTr="00F65E52">
        <w:trPr>
          <w:gridAfter w:val="1"/>
          <w:wAfter w:w="54"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1829" w:type="dxa"/>
            <w:vAlign w:val="center"/>
          </w:tcPr>
          <w:p w:rsidR="00CA09B2" w:rsidRDefault="00CA09B2">
            <w:pPr>
              <w:pStyle w:val="T2"/>
              <w:spacing w:after="0"/>
              <w:ind w:left="0" w:right="0"/>
              <w:jc w:val="left"/>
              <w:rPr>
                <w:sz w:val="20"/>
              </w:rPr>
            </w:pPr>
            <w:r>
              <w:rPr>
                <w:sz w:val="20"/>
              </w:rPr>
              <w:t>Address</w:t>
            </w:r>
          </w:p>
        </w:tc>
        <w:tc>
          <w:tcPr>
            <w:tcW w:w="1665" w:type="dxa"/>
            <w:vAlign w:val="center"/>
          </w:tcPr>
          <w:p w:rsidR="00CA09B2" w:rsidRDefault="00CA09B2">
            <w:pPr>
              <w:pStyle w:val="T2"/>
              <w:spacing w:after="0"/>
              <w:ind w:left="0" w:right="0"/>
              <w:jc w:val="left"/>
              <w:rPr>
                <w:sz w:val="20"/>
              </w:rPr>
            </w:pPr>
            <w:r>
              <w:rPr>
                <w:sz w:val="20"/>
              </w:rPr>
              <w:t>Phone</w:t>
            </w:r>
          </w:p>
        </w:tc>
        <w:tc>
          <w:tcPr>
            <w:tcW w:w="3420" w:type="dxa"/>
            <w:vAlign w:val="center"/>
          </w:tcPr>
          <w:p w:rsidR="00CA09B2" w:rsidRDefault="00CA09B2">
            <w:pPr>
              <w:pStyle w:val="T2"/>
              <w:spacing w:after="0"/>
              <w:ind w:left="0" w:right="0"/>
              <w:jc w:val="left"/>
              <w:rPr>
                <w:sz w:val="20"/>
              </w:rPr>
            </w:pPr>
            <w:r>
              <w:rPr>
                <w:sz w:val="20"/>
              </w:rPr>
              <w:t>email</w:t>
            </w:r>
          </w:p>
        </w:tc>
      </w:tr>
      <w:tr w:rsidR="00CA09B2" w:rsidTr="00F65E52">
        <w:trPr>
          <w:gridAfter w:val="1"/>
          <w:wAfter w:w="54" w:type="dxa"/>
          <w:jc w:val="center"/>
        </w:trPr>
        <w:tc>
          <w:tcPr>
            <w:tcW w:w="1336" w:type="dxa"/>
            <w:vAlign w:val="center"/>
          </w:tcPr>
          <w:p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rsidR="00FB3F58" w:rsidRPr="00F65E52" w:rsidRDefault="00C70BB3">
            <w:pPr>
              <w:pStyle w:val="T2"/>
              <w:spacing w:after="0"/>
              <w:ind w:left="0" w:right="0"/>
              <w:rPr>
                <w:b w:val="0"/>
                <w:sz w:val="20"/>
              </w:rPr>
            </w:pPr>
            <w:r w:rsidRPr="00F65E52">
              <w:rPr>
                <w:b w:val="0"/>
                <w:sz w:val="20"/>
              </w:rPr>
              <w:t>350 W. Java Dr</w:t>
            </w:r>
          </w:p>
          <w:p w:rsidR="00C70BB3" w:rsidRPr="00F65E52" w:rsidRDefault="00C70BB3">
            <w:pPr>
              <w:pStyle w:val="T2"/>
              <w:spacing w:after="0"/>
              <w:ind w:left="0" w:right="0"/>
              <w:rPr>
                <w:b w:val="0"/>
                <w:sz w:val="20"/>
              </w:rPr>
            </w:pPr>
            <w:bookmarkStart w:id="0" w:name="_GoBack"/>
            <w:bookmarkEnd w:id="0"/>
            <w:r w:rsidRPr="00F65E52">
              <w:rPr>
                <w:b w:val="0"/>
                <w:sz w:val="20"/>
              </w:rPr>
              <w:t>Sunnyvale, CA</w:t>
            </w:r>
          </w:p>
        </w:tc>
        <w:tc>
          <w:tcPr>
            <w:tcW w:w="1665" w:type="dxa"/>
            <w:vAlign w:val="center"/>
          </w:tcPr>
          <w:p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rsidR="00CA09B2" w:rsidRPr="00F65E52" w:rsidRDefault="00C70BB3" w:rsidP="00C70BB3">
            <w:pPr>
              <w:pStyle w:val="T2"/>
              <w:spacing w:after="0"/>
              <w:ind w:left="0" w:right="0"/>
              <w:rPr>
                <w:b w:val="0"/>
                <w:sz w:val="20"/>
              </w:rPr>
            </w:pPr>
            <w:hyperlink r:id="rId8" w:history="1">
              <w:r w:rsidRPr="00F65E52">
                <w:rPr>
                  <w:rStyle w:val="Hyperlink"/>
                  <w:sz w:val="20"/>
                </w:rPr>
                <w:t>mark.hamilton@ruckuswireless.com</w:t>
              </w:r>
            </w:hyperlink>
          </w:p>
        </w:tc>
      </w:tr>
      <w:tr w:rsidR="009C34C8" w:rsidTr="00F65E52">
        <w:trPr>
          <w:gridAfter w:val="1"/>
          <w:wAfter w:w="54" w:type="dxa"/>
          <w:jc w:val="center"/>
        </w:trPr>
        <w:tc>
          <w:tcPr>
            <w:tcW w:w="1336" w:type="dxa"/>
            <w:vAlign w:val="center"/>
          </w:tcPr>
          <w:p w:rsidR="009C34C8" w:rsidRPr="00F65E52" w:rsidRDefault="00D500F8" w:rsidP="00537C16">
            <w:pPr>
              <w:pStyle w:val="T2"/>
              <w:spacing w:after="0"/>
              <w:ind w:left="0" w:right="0"/>
              <w:rPr>
                <w:b w:val="0"/>
                <w:sz w:val="20"/>
              </w:rPr>
            </w:pPr>
            <w:r w:rsidRPr="00F65E52">
              <w:rPr>
                <w:b w:val="0"/>
                <w:sz w:val="20"/>
              </w:rPr>
              <w:t>Dick Roy</w:t>
            </w:r>
          </w:p>
        </w:tc>
        <w:tc>
          <w:tcPr>
            <w:tcW w:w="2064" w:type="dxa"/>
            <w:vAlign w:val="center"/>
          </w:tcPr>
          <w:p w:rsidR="009C34C8" w:rsidRPr="00F65E52" w:rsidRDefault="00F65E52" w:rsidP="00537C16">
            <w:pPr>
              <w:pStyle w:val="T2"/>
              <w:spacing w:after="0"/>
              <w:ind w:left="0" w:right="0"/>
              <w:rPr>
                <w:b w:val="0"/>
                <w:sz w:val="20"/>
              </w:rPr>
            </w:pPr>
            <w:r w:rsidRPr="00F65E52">
              <w:rPr>
                <w:b w:val="0"/>
                <w:sz w:val="20"/>
              </w:rPr>
              <w:t>SRA</w:t>
            </w:r>
          </w:p>
        </w:tc>
        <w:tc>
          <w:tcPr>
            <w:tcW w:w="1829" w:type="dxa"/>
            <w:vAlign w:val="center"/>
          </w:tcPr>
          <w:p w:rsidR="009C34C8" w:rsidRPr="00F65E52" w:rsidRDefault="009C34C8" w:rsidP="00537C16">
            <w:pPr>
              <w:pStyle w:val="T2"/>
              <w:spacing w:after="0"/>
              <w:ind w:left="0" w:right="0"/>
              <w:rPr>
                <w:b w:val="0"/>
                <w:bCs/>
                <w:sz w:val="20"/>
                <w:lang w:val="it-IT"/>
              </w:rPr>
            </w:pPr>
          </w:p>
        </w:tc>
        <w:tc>
          <w:tcPr>
            <w:tcW w:w="1665" w:type="dxa"/>
            <w:vAlign w:val="center"/>
          </w:tcPr>
          <w:p w:rsidR="009C34C8" w:rsidRPr="00F65E52" w:rsidRDefault="00F65E52" w:rsidP="00537C16">
            <w:pPr>
              <w:pStyle w:val="T2"/>
              <w:spacing w:after="0"/>
              <w:ind w:left="0" w:right="0"/>
              <w:rPr>
                <w:b w:val="0"/>
                <w:sz w:val="20"/>
              </w:rPr>
            </w:pPr>
            <w:r w:rsidRPr="00F65E52">
              <w:rPr>
                <w:b w:val="0"/>
                <w:sz w:val="20"/>
              </w:rPr>
              <w:t>+1.650.861.3351</w:t>
            </w:r>
          </w:p>
        </w:tc>
        <w:tc>
          <w:tcPr>
            <w:tcW w:w="3420" w:type="dxa"/>
            <w:vAlign w:val="center"/>
          </w:tcPr>
          <w:p w:rsidR="009C34C8" w:rsidRPr="00F65E52" w:rsidRDefault="00F65E52" w:rsidP="00537C16">
            <w:pPr>
              <w:pStyle w:val="T2"/>
              <w:spacing w:after="0"/>
              <w:ind w:left="0" w:right="0"/>
              <w:rPr>
                <w:b w:val="0"/>
                <w:sz w:val="20"/>
                <w:lang w:val="en-US"/>
              </w:rPr>
            </w:pPr>
            <w:hyperlink r:id="rId9" w:history="1">
              <w:r w:rsidRPr="00F65E52">
                <w:rPr>
                  <w:rStyle w:val="Hyperlink"/>
                  <w:b w:val="0"/>
                  <w:sz w:val="20"/>
                  <w:lang w:val="en-US"/>
                </w:rPr>
                <w:t>dickroy@alum.mit.edu</w:t>
              </w:r>
            </w:hyperlink>
            <w:r w:rsidRPr="00F65E52">
              <w:rPr>
                <w:b w:val="0"/>
                <w:sz w:val="20"/>
                <w:lang w:val="en-US"/>
              </w:rPr>
              <w:t xml:space="preserve"> </w:t>
            </w: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submission contains proposed </w:t>
                            </w:r>
                            <w:r w:rsidR="00C70BB3">
                              <w:t>changes to clarify text on how IPI densities are measured and computed.</w:t>
                            </w:r>
                          </w:p>
                          <w:p w:rsidR="00D52FEA" w:rsidRDefault="00D52FEA" w:rsidP="005A65B0"/>
                          <w:p w:rsidR="00D52FEA" w:rsidRDefault="00D52FEA" w:rsidP="005A65B0">
                            <w:r>
                              <w:t>References herein are to REVmc Draft 4.3.</w:t>
                            </w:r>
                          </w:p>
                          <w:p w:rsidR="00D52FEA" w:rsidRDefault="00D52FEA" w:rsidP="005A65B0"/>
                          <w:p w:rsidR="00C21571" w:rsidRDefault="00C21571" w:rsidP="00C70BB3">
                            <w:r>
                              <w:t>R0</w:t>
                            </w:r>
                            <w:r w:rsidRPr="000C3329">
                              <w:t xml:space="preserve"> –</w:t>
                            </w:r>
                            <w:r>
                              <w:t xml:space="preserve"> </w:t>
                            </w:r>
                            <w:r w:rsidR="00C70BB3">
                              <w:t>initial version</w:t>
                            </w:r>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submission contains proposed </w:t>
                      </w:r>
                      <w:r w:rsidR="00C70BB3">
                        <w:t>changes to clarify text on how IPI densities are measured and computed.</w:t>
                      </w:r>
                    </w:p>
                    <w:p w:rsidR="00D52FEA" w:rsidRDefault="00D52FEA" w:rsidP="005A65B0"/>
                    <w:p w:rsidR="00D52FEA" w:rsidRDefault="00D52FEA" w:rsidP="005A65B0">
                      <w:r>
                        <w:t>References herein are to REVmc Draft 4.3.</w:t>
                      </w:r>
                    </w:p>
                    <w:p w:rsidR="00D52FEA" w:rsidRDefault="00D52FEA" w:rsidP="005A65B0"/>
                    <w:p w:rsidR="00C21571" w:rsidRDefault="00C21571" w:rsidP="00C70BB3">
                      <w:r>
                        <w:t>R0</w:t>
                      </w:r>
                      <w:r w:rsidRPr="000C3329">
                        <w:t xml:space="preserve"> –</w:t>
                      </w:r>
                      <w:r>
                        <w:t xml:space="preserve"> </w:t>
                      </w:r>
                      <w:r w:rsidR="00C70BB3">
                        <w:t>initial version</w:t>
                      </w:r>
                    </w:p>
                    <w:p w:rsidR="00C21571" w:rsidRDefault="00C21571" w:rsidP="00544790"/>
                    <w:p w:rsidR="00C21571" w:rsidRDefault="00C21571" w:rsidP="005A65B0"/>
                  </w:txbxContent>
                </v:textbox>
              </v:shape>
            </w:pict>
          </mc:Fallback>
        </mc:AlternateContent>
      </w:r>
    </w:p>
    <w:p w:rsidR="00FB3F58" w:rsidRPr="00FB3F58" w:rsidRDefault="00CA09B2" w:rsidP="00C70BB3">
      <w:pPr>
        <w:pStyle w:val="Heading1"/>
        <w:numPr>
          <w:ilvl w:val="0"/>
          <w:numId w:val="0"/>
        </w:numPr>
        <w:ind w:left="432" w:hanging="432"/>
        <w:rPr>
          <w:lang w:val="en-US"/>
        </w:rPr>
      </w:pPr>
      <w:r>
        <w:br w:type="page"/>
      </w:r>
      <w:r w:rsidR="00C70BB3" w:rsidRPr="00FB3F58">
        <w:rPr>
          <w:lang w:val="en-US"/>
        </w:rPr>
        <w:lastRenderedPageBreak/>
        <w:t xml:space="preserve"> </w:t>
      </w:r>
    </w:p>
    <w:p w:rsidR="00D6371D" w:rsidRDefault="00D6371D" w:rsidP="00D6371D">
      <w:pPr>
        <w:rPr>
          <w:lang w:val="en-US"/>
        </w:rPr>
      </w:pPr>
    </w:p>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E44493" w:rsidRDefault="00E44493" w:rsidP="00D6371D">
      <w:pPr>
        <w:rPr>
          <w:lang w:val="en-US"/>
        </w:rPr>
      </w:pPr>
      <w:r>
        <w:rPr>
          <w:lang w:val="en-US"/>
        </w:rPr>
        <w:t xml:space="preserve">The context </w:t>
      </w:r>
      <w:r w:rsidR="00C70BB3">
        <w:rPr>
          <w:lang w:val="en-US"/>
        </w:rPr>
        <w:t xml:space="preserve">of this proposed change </w:t>
      </w:r>
      <w:r>
        <w:rPr>
          <w:lang w:val="en-US"/>
        </w:rPr>
        <w:t>is</w:t>
      </w:r>
      <w:r w:rsidR="006E197B">
        <w:rPr>
          <w:lang w:val="en-US"/>
        </w:rPr>
        <w:t xml:space="preserve">, from </w:t>
      </w:r>
      <w:r w:rsidR="006E197B" w:rsidRPr="006E197B">
        <w:rPr>
          <w:lang w:val="en-US"/>
        </w:rPr>
        <w:t>1</w:t>
      </w:r>
      <w:r w:rsidR="006E197B">
        <w:rPr>
          <w:lang w:val="en-US"/>
        </w:rPr>
        <w:t xml:space="preserve">0.11.9.4 Noise Histogram </w:t>
      </w:r>
      <w:r w:rsidR="006E197B" w:rsidRPr="006E197B">
        <w:rPr>
          <w:lang w:val="en-US"/>
        </w:rPr>
        <w:t>report</w:t>
      </w:r>
      <w:r>
        <w:rPr>
          <w:lang w:val="en-US"/>
        </w:rPr>
        <w:t>:</w:t>
      </w:r>
    </w:p>
    <w:p w:rsidR="00E44493" w:rsidRDefault="006E197B" w:rsidP="00D6371D">
      <w:pPr>
        <w:rPr>
          <w:lang w:val="en-US"/>
        </w:rPr>
      </w:pPr>
      <w:r>
        <w:rPr>
          <w:noProof/>
          <w:lang w:val="en-US"/>
        </w:rPr>
        <w:drawing>
          <wp:inline distT="0" distB="0" distL="0" distR="0">
            <wp:extent cx="5937250" cy="908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908050"/>
                    </a:xfrm>
                    <a:prstGeom prst="rect">
                      <a:avLst/>
                    </a:prstGeom>
                    <a:noFill/>
                    <a:ln>
                      <a:noFill/>
                    </a:ln>
                  </pic:spPr>
                </pic:pic>
              </a:graphicData>
            </a:graphic>
          </wp:inline>
        </w:drawing>
      </w:r>
    </w:p>
    <w:p w:rsidR="00E44493" w:rsidRDefault="00E44493" w:rsidP="00D6371D">
      <w:pPr>
        <w:rPr>
          <w:lang w:val="en-US"/>
        </w:rPr>
      </w:pPr>
    </w:p>
    <w:p w:rsidR="00BB2E22" w:rsidRDefault="006E197B" w:rsidP="00D6371D">
      <w:pPr>
        <w:rPr>
          <w:lang w:val="en-US"/>
        </w:rPr>
      </w:pPr>
      <w:r>
        <w:rPr>
          <w:lang w:val="en-US"/>
        </w:rPr>
        <w:t>This text is confusing due to:</w:t>
      </w:r>
    </w:p>
    <w:p w:rsidR="006E197B" w:rsidRDefault="006E197B" w:rsidP="006E197B">
      <w:pPr>
        <w:pStyle w:val="ListParagraph"/>
        <w:numPr>
          <w:ilvl w:val="0"/>
          <w:numId w:val="20"/>
        </w:numPr>
      </w:pPr>
      <w:r>
        <w:t>Use of the structure “</w:t>
      </w:r>
      <w:r w:rsidRPr="006E197B">
        <w:t>"... measure ... over ... when ... except"</w:t>
      </w:r>
      <w:r>
        <w:t xml:space="preserve"> has too many dependent clauses to be clearly understood.</w:t>
      </w:r>
    </w:p>
    <w:p w:rsidR="006E197B" w:rsidRDefault="006E197B" w:rsidP="006E197B">
      <w:pPr>
        <w:pStyle w:val="ListParagraph"/>
        <w:numPr>
          <w:ilvl w:val="0"/>
          <w:numId w:val="20"/>
        </w:numPr>
      </w:pPr>
      <w:r>
        <w:t>M</w:t>
      </w:r>
      <w:r w:rsidRPr="006E197B">
        <w:t>easurements are made "over" channel bandwidths, not "at" channel bandwidths</w:t>
      </w:r>
    </w:p>
    <w:p w:rsidR="006E197B" w:rsidRDefault="006E197B" w:rsidP="006E197B">
      <w:pPr>
        <w:pStyle w:val="ListParagraph"/>
        <w:numPr>
          <w:ilvl w:val="0"/>
          <w:numId w:val="20"/>
        </w:numPr>
      </w:pPr>
      <w:r w:rsidRPr="006E197B">
        <w:t>"resolution" is not the same as "unit of measure", and what is meant is the lat</w:t>
      </w:r>
      <w:r>
        <w:t>t</w:t>
      </w:r>
      <w:r w:rsidRPr="006E197B">
        <w:t>er</w:t>
      </w:r>
    </w:p>
    <w:p w:rsidR="006E197B" w:rsidRDefault="006E197B" w:rsidP="006E197B">
      <w:pPr>
        <w:pStyle w:val="ListParagraph"/>
        <w:numPr>
          <w:ilvl w:val="0"/>
          <w:numId w:val="20"/>
        </w:numPr>
      </w:pPr>
      <w:r>
        <w:t>The current text could be interpreted as a prescription to make a measurement yielding some</w:t>
      </w:r>
      <w:r w:rsidRPr="006E197B">
        <w:t xml:space="preserve"> value, then do some </w:t>
      </w:r>
      <w:r>
        <w:t>computation</w:t>
      </w:r>
      <w:r w:rsidRPr="006E197B">
        <w:t xml:space="preserve">.  A simple bank of power comparators and counters could be used to implement an IPI density measurement without having to actually "measure IPI".   </w:t>
      </w:r>
    </w:p>
    <w:p w:rsidR="00D52FEA" w:rsidRDefault="00D52FEA" w:rsidP="006E197B">
      <w:pPr>
        <w:pStyle w:val="ListParagraph"/>
        <w:numPr>
          <w:ilvl w:val="0"/>
          <w:numId w:val="20"/>
        </w:numPr>
      </w:pPr>
      <w:r>
        <w:t>Lack of any reference back to Table 8-108 means this text is too far from that Table, which is critical to understanding the density ‘buckets’ concept intended.</w:t>
      </w:r>
    </w:p>
    <w:p w:rsidR="006E197B" w:rsidRDefault="006E197B" w:rsidP="006E197B"/>
    <w:p w:rsidR="006E197B" w:rsidRPr="006E197B" w:rsidRDefault="006E197B" w:rsidP="006E197B">
      <w:pPr>
        <w:rPr>
          <w:b/>
        </w:rPr>
      </w:pPr>
      <w:r w:rsidRPr="006E197B">
        <w:rPr>
          <w:b/>
        </w:rPr>
        <w:t>Proposed change:</w:t>
      </w:r>
    </w:p>
    <w:p w:rsidR="006E197B" w:rsidRDefault="006E197B" w:rsidP="006E197B"/>
    <w:p w:rsidR="006E197B" w:rsidRDefault="006E197B" w:rsidP="006E197B">
      <w:r>
        <w:t>Replace the two sentences:</w:t>
      </w:r>
    </w:p>
    <w:p w:rsidR="006E197B" w:rsidRDefault="006E197B" w:rsidP="006E197B"/>
    <w:p w:rsidR="006E197B" w:rsidRDefault="006E197B" w:rsidP="006E197B">
      <w:r>
        <w:t>“</w:t>
      </w:r>
      <w:r>
        <w:t>To compute the IPI densities, the STA shall measure the IPI in the specified channel at the specified channel</w:t>
      </w:r>
      <w:r>
        <w:t xml:space="preserve"> </w:t>
      </w:r>
      <w:r>
        <w:t>width(11ac) as a function of time over the measurement duration when NAV is equal to 0 (when virtual CS</w:t>
      </w:r>
      <w:r>
        <w:t xml:space="preserve"> </w:t>
      </w:r>
      <w:r>
        <w:t>mechanism indicates idle channel) except during frame transmission or reception. The time resolution of the</w:t>
      </w:r>
      <w:r>
        <w:t xml:space="preserve"> </w:t>
      </w:r>
      <w:r>
        <w:t>IPI measurements shall be in microseconds.</w:t>
      </w:r>
      <w:r>
        <w:t>”</w:t>
      </w:r>
    </w:p>
    <w:p w:rsidR="006E197B" w:rsidRDefault="006E197B" w:rsidP="006E197B"/>
    <w:p w:rsidR="006E197B" w:rsidRDefault="006E197B" w:rsidP="006E197B">
      <w:proofErr w:type="gramStart"/>
      <w:r>
        <w:t>with</w:t>
      </w:r>
      <w:proofErr w:type="gramEnd"/>
    </w:p>
    <w:p w:rsidR="006E197B" w:rsidRDefault="006E197B" w:rsidP="006E197B"/>
    <w:p w:rsidR="006E197B" w:rsidRPr="006E197B" w:rsidRDefault="006E197B" w:rsidP="006E197B">
      <w:r>
        <w:t>“</w:t>
      </w:r>
      <w:r w:rsidRPr="006E197B">
        <w:t xml:space="preserve">To compute </w:t>
      </w:r>
      <w:r w:rsidR="00D52FEA">
        <w:t xml:space="preserve">the </w:t>
      </w:r>
      <w:r w:rsidRPr="006E197B">
        <w:t xml:space="preserve">IPI densities, a STA shall measure the amount of time, in microseconds, during which the IPI is in each IPI </w:t>
      </w:r>
      <w:r w:rsidR="00D52FEA">
        <w:t>range specified in Table 8-108</w:t>
      </w:r>
      <w:r w:rsidRPr="006E197B">
        <w:t>.  These IPI measurements shall be taken over the entire associated channel bandwidth, and during the entire measurement duration except for those time intervals during which the NAV is not equal to 0 (when virtual CS mechanism indicates channel busy), or during which frame transmission or reception is occurring</w:t>
      </w:r>
      <w:r>
        <w:t>.”</w:t>
      </w:r>
    </w:p>
    <w:p w:rsidR="00BB2E22" w:rsidRDefault="00BB2E22" w:rsidP="00D6371D">
      <w:pPr>
        <w:rPr>
          <w:lang w:val="en-US"/>
        </w:rPr>
      </w:pPr>
    </w:p>
    <w:sectPr w:rsidR="00BB2E22" w:rsidSect="00BB2E22">
      <w:headerReference w:type="default" r:id="rId11"/>
      <w:footerReference w:type="default" r:id="rId12"/>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66" w:rsidRDefault="000A6D66">
      <w:r>
        <w:separator/>
      </w:r>
    </w:p>
  </w:endnote>
  <w:endnote w:type="continuationSeparator" w:id="0">
    <w:p w:rsidR="000A6D66" w:rsidRDefault="000A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0A6D66">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F65E52">
      <w:rPr>
        <w:noProof/>
      </w:rPr>
      <w:t>2</w:t>
    </w:r>
    <w:r w:rsidR="00C21571">
      <w:fldChar w:fldCharType="end"/>
    </w:r>
    <w:r w:rsidR="00C21571">
      <w:tab/>
      <w:t xml:space="preserve">Mark Hamilton, </w:t>
    </w:r>
    <w:r w:rsidR="00C70BB3">
      <w:t>Ruckus Wireless</w:t>
    </w:r>
    <w:r w:rsidR="00C21571">
      <w:t xml:space="preserve"> </w:t>
    </w:r>
  </w:p>
  <w:p w:rsidR="00C21571" w:rsidRDefault="00C21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66" w:rsidRDefault="000A6D66">
      <w:r>
        <w:separator/>
      </w:r>
    </w:p>
  </w:footnote>
  <w:footnote w:type="continuationSeparator" w:id="0">
    <w:p w:rsidR="000A6D66" w:rsidRDefault="000A6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C70BB3">
    <w:pPr>
      <w:pStyle w:val="Header"/>
      <w:tabs>
        <w:tab w:val="clear" w:pos="6480"/>
        <w:tab w:val="center" w:pos="4680"/>
        <w:tab w:val="right" w:pos="9360"/>
      </w:tabs>
    </w:pPr>
    <w:r>
      <w:t>November</w:t>
    </w:r>
    <w:r w:rsidR="00C21571">
      <w:t xml:space="preserve"> 2015</w:t>
    </w:r>
    <w:r w:rsidR="00C21571">
      <w:tab/>
    </w:r>
    <w:r w:rsidR="00C21571">
      <w:tab/>
    </w:r>
    <w:r w:rsidR="000A6D66">
      <w:fldChar w:fldCharType="begin"/>
    </w:r>
    <w:r w:rsidR="000A6D66">
      <w:instrText xml:space="preserve"> TITLE  \* MERGEFORMAT </w:instrText>
    </w:r>
    <w:r w:rsidR="000A6D66">
      <w:fldChar w:fldCharType="separate"/>
    </w:r>
    <w:r w:rsidR="00C21571">
      <w:t xml:space="preserve">doc.: </w:t>
    </w:r>
    <w:r>
      <w:t>IEEE 802.11-15</w:t>
    </w:r>
    <w:r w:rsidR="00C21571">
      <w:t>/</w:t>
    </w:r>
    <w:r>
      <w:t>1422</w:t>
    </w:r>
    <w:r w:rsidR="00C21571">
      <w:t>r</w:t>
    </w:r>
    <w:r w:rsidR="000A6D6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7"/>
  </w:num>
  <w:num w:numId="4">
    <w:abstractNumId w:val="5"/>
  </w:num>
  <w:num w:numId="5">
    <w:abstractNumId w:val="7"/>
  </w:num>
  <w:num w:numId="6">
    <w:abstractNumId w:val="16"/>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ABF"/>
    <w:rsid w:val="00040157"/>
    <w:rsid w:val="0005109A"/>
    <w:rsid w:val="00055A5B"/>
    <w:rsid w:val="00072783"/>
    <w:rsid w:val="00072AEB"/>
    <w:rsid w:val="00075140"/>
    <w:rsid w:val="00076DC6"/>
    <w:rsid w:val="000817C1"/>
    <w:rsid w:val="0009537C"/>
    <w:rsid w:val="000A2050"/>
    <w:rsid w:val="000A30E4"/>
    <w:rsid w:val="000A31AD"/>
    <w:rsid w:val="000A6D66"/>
    <w:rsid w:val="000C0FD2"/>
    <w:rsid w:val="000C3329"/>
    <w:rsid w:val="000D1A14"/>
    <w:rsid w:val="000F3DCA"/>
    <w:rsid w:val="00100EB6"/>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21CD"/>
    <w:rsid w:val="002627EC"/>
    <w:rsid w:val="0026508F"/>
    <w:rsid w:val="0027369E"/>
    <w:rsid w:val="002743A1"/>
    <w:rsid w:val="0027450E"/>
    <w:rsid w:val="00276C43"/>
    <w:rsid w:val="00281905"/>
    <w:rsid w:val="00287A1A"/>
    <w:rsid w:val="00292356"/>
    <w:rsid w:val="00292F18"/>
    <w:rsid w:val="00294A13"/>
    <w:rsid w:val="00296D0A"/>
    <w:rsid w:val="002A117B"/>
    <w:rsid w:val="002A5517"/>
    <w:rsid w:val="002D5D1C"/>
    <w:rsid w:val="002D66FD"/>
    <w:rsid w:val="002E1EB3"/>
    <w:rsid w:val="002E43C6"/>
    <w:rsid w:val="002E7516"/>
    <w:rsid w:val="002F27A9"/>
    <w:rsid w:val="002F284C"/>
    <w:rsid w:val="002F5F7E"/>
    <w:rsid w:val="003003ED"/>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61508"/>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5F14"/>
    <w:rsid w:val="00442037"/>
    <w:rsid w:val="00447984"/>
    <w:rsid w:val="0046215F"/>
    <w:rsid w:val="00482EC1"/>
    <w:rsid w:val="004911C8"/>
    <w:rsid w:val="004A7EA4"/>
    <w:rsid w:val="004C2581"/>
    <w:rsid w:val="004C4236"/>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723D3"/>
    <w:rsid w:val="00576F6E"/>
    <w:rsid w:val="005865FF"/>
    <w:rsid w:val="005A02A1"/>
    <w:rsid w:val="005A5C9B"/>
    <w:rsid w:val="005A65B0"/>
    <w:rsid w:val="005B14C9"/>
    <w:rsid w:val="005C112D"/>
    <w:rsid w:val="005D2129"/>
    <w:rsid w:val="005D3CD9"/>
    <w:rsid w:val="005D742B"/>
    <w:rsid w:val="00607006"/>
    <w:rsid w:val="0060739E"/>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E197B"/>
    <w:rsid w:val="006F2EDB"/>
    <w:rsid w:val="006F4C25"/>
    <w:rsid w:val="006F564E"/>
    <w:rsid w:val="006F5E04"/>
    <w:rsid w:val="00702D53"/>
    <w:rsid w:val="0070615C"/>
    <w:rsid w:val="0071256E"/>
    <w:rsid w:val="00715E92"/>
    <w:rsid w:val="0071694E"/>
    <w:rsid w:val="00727834"/>
    <w:rsid w:val="00733AA1"/>
    <w:rsid w:val="00744503"/>
    <w:rsid w:val="00745743"/>
    <w:rsid w:val="00751EED"/>
    <w:rsid w:val="00757910"/>
    <w:rsid w:val="00762827"/>
    <w:rsid w:val="00770572"/>
    <w:rsid w:val="007720FF"/>
    <w:rsid w:val="00772DD4"/>
    <w:rsid w:val="00776627"/>
    <w:rsid w:val="007774C4"/>
    <w:rsid w:val="00780B63"/>
    <w:rsid w:val="00783441"/>
    <w:rsid w:val="0078736F"/>
    <w:rsid w:val="00792251"/>
    <w:rsid w:val="00793D0A"/>
    <w:rsid w:val="007A3F03"/>
    <w:rsid w:val="007B02B8"/>
    <w:rsid w:val="007B1E85"/>
    <w:rsid w:val="007B49E5"/>
    <w:rsid w:val="007C0F19"/>
    <w:rsid w:val="007C727B"/>
    <w:rsid w:val="007D408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D4D"/>
    <w:rsid w:val="00842853"/>
    <w:rsid w:val="0084420C"/>
    <w:rsid w:val="008454F7"/>
    <w:rsid w:val="00880EB5"/>
    <w:rsid w:val="00883C57"/>
    <w:rsid w:val="008924C2"/>
    <w:rsid w:val="008968BF"/>
    <w:rsid w:val="008B5C81"/>
    <w:rsid w:val="008C2017"/>
    <w:rsid w:val="008C25F2"/>
    <w:rsid w:val="008C333B"/>
    <w:rsid w:val="008D2797"/>
    <w:rsid w:val="008D6A17"/>
    <w:rsid w:val="008E11CE"/>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26FA"/>
    <w:rsid w:val="009A1D26"/>
    <w:rsid w:val="009A6AF8"/>
    <w:rsid w:val="009B1D7A"/>
    <w:rsid w:val="009B5E1A"/>
    <w:rsid w:val="009B5E25"/>
    <w:rsid w:val="009C34C8"/>
    <w:rsid w:val="009C3F40"/>
    <w:rsid w:val="009C7903"/>
    <w:rsid w:val="009D280E"/>
    <w:rsid w:val="009D41CB"/>
    <w:rsid w:val="009D45BF"/>
    <w:rsid w:val="009D52A1"/>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D04DD"/>
    <w:rsid w:val="00AE0EBF"/>
    <w:rsid w:val="00AE5179"/>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DED"/>
    <w:rsid w:val="00C0350D"/>
    <w:rsid w:val="00C05063"/>
    <w:rsid w:val="00C21571"/>
    <w:rsid w:val="00C220DE"/>
    <w:rsid w:val="00C26520"/>
    <w:rsid w:val="00C3389F"/>
    <w:rsid w:val="00C4035F"/>
    <w:rsid w:val="00C4125D"/>
    <w:rsid w:val="00C5001E"/>
    <w:rsid w:val="00C5146B"/>
    <w:rsid w:val="00C52F95"/>
    <w:rsid w:val="00C56F2C"/>
    <w:rsid w:val="00C60868"/>
    <w:rsid w:val="00C609E0"/>
    <w:rsid w:val="00C609E7"/>
    <w:rsid w:val="00C70BB3"/>
    <w:rsid w:val="00C71DD0"/>
    <w:rsid w:val="00C740ED"/>
    <w:rsid w:val="00C7456B"/>
    <w:rsid w:val="00C74DC6"/>
    <w:rsid w:val="00C94B20"/>
    <w:rsid w:val="00C9628B"/>
    <w:rsid w:val="00C971AA"/>
    <w:rsid w:val="00C97272"/>
    <w:rsid w:val="00C973B5"/>
    <w:rsid w:val="00CA09B2"/>
    <w:rsid w:val="00CA7D0D"/>
    <w:rsid w:val="00CB11D8"/>
    <w:rsid w:val="00CB54CA"/>
    <w:rsid w:val="00CC0821"/>
    <w:rsid w:val="00CC2106"/>
    <w:rsid w:val="00CD1379"/>
    <w:rsid w:val="00CD3221"/>
    <w:rsid w:val="00CE4626"/>
    <w:rsid w:val="00CF3E60"/>
    <w:rsid w:val="00D1152F"/>
    <w:rsid w:val="00D14510"/>
    <w:rsid w:val="00D17B8A"/>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359EA"/>
    <w:rsid w:val="00E44493"/>
    <w:rsid w:val="00E47E34"/>
    <w:rsid w:val="00E5182D"/>
    <w:rsid w:val="00E641CE"/>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AA"/>
    <w:rsid w:val="00F42150"/>
    <w:rsid w:val="00F44A4C"/>
    <w:rsid w:val="00F52A08"/>
    <w:rsid w:val="00F55859"/>
    <w:rsid w:val="00F620F2"/>
    <w:rsid w:val="00F6345E"/>
    <w:rsid w:val="00F6408D"/>
    <w:rsid w:val="00F65E52"/>
    <w:rsid w:val="00F74321"/>
    <w:rsid w:val="00F8258F"/>
    <w:rsid w:val="00F92A91"/>
    <w:rsid w:val="00F95737"/>
    <w:rsid w:val="00F97A21"/>
    <w:rsid w:val="00FA29C5"/>
    <w:rsid w:val="00FB3F5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100D9-D7CE-4211-B0DD-B5A19035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ruckuswirel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ckroy@alum.mit.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A874-E19F-45D0-BB50-C45E2311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6</cp:revision>
  <cp:lastPrinted>2014-05-15T08:40:00Z</cp:lastPrinted>
  <dcterms:created xsi:type="dcterms:W3CDTF">2015-11-10T20:17:00Z</dcterms:created>
  <dcterms:modified xsi:type="dcterms:W3CDTF">2015-11-10T20:45:00Z</dcterms:modified>
</cp:coreProperties>
</file>