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4521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35B9841" w14:textId="77777777">
        <w:trPr>
          <w:trHeight w:val="485"/>
          <w:jc w:val="center"/>
        </w:trPr>
        <w:tc>
          <w:tcPr>
            <w:tcW w:w="9576" w:type="dxa"/>
            <w:gridSpan w:val="5"/>
            <w:vAlign w:val="center"/>
          </w:tcPr>
          <w:p w14:paraId="2DAF2643" w14:textId="13A91AB8" w:rsidR="00CA09B2" w:rsidRDefault="008D3A2B">
            <w:pPr>
              <w:pStyle w:val="T2"/>
            </w:pPr>
            <w:r>
              <w:t>Generals and other Editorials</w:t>
            </w:r>
          </w:p>
        </w:tc>
      </w:tr>
      <w:tr w:rsidR="00CA09B2" w14:paraId="26864AD3" w14:textId="77777777">
        <w:trPr>
          <w:trHeight w:val="359"/>
          <w:jc w:val="center"/>
        </w:trPr>
        <w:tc>
          <w:tcPr>
            <w:tcW w:w="9576" w:type="dxa"/>
            <w:gridSpan w:val="5"/>
            <w:vAlign w:val="center"/>
          </w:tcPr>
          <w:p w14:paraId="5BECCD21" w14:textId="34AC6A67" w:rsidR="00CA09B2" w:rsidRDefault="00CA09B2" w:rsidP="008D3A2B">
            <w:pPr>
              <w:pStyle w:val="T2"/>
              <w:ind w:left="0"/>
              <w:rPr>
                <w:sz w:val="20"/>
              </w:rPr>
            </w:pPr>
            <w:r>
              <w:rPr>
                <w:sz w:val="20"/>
              </w:rPr>
              <w:t>Date:</w:t>
            </w:r>
            <w:r>
              <w:rPr>
                <w:b w:val="0"/>
                <w:sz w:val="20"/>
              </w:rPr>
              <w:t xml:space="preserve">  </w:t>
            </w:r>
            <w:r w:rsidR="00E15844">
              <w:rPr>
                <w:b w:val="0"/>
                <w:sz w:val="20"/>
              </w:rPr>
              <w:t>2015-11-1</w:t>
            </w:r>
            <w:r w:rsidR="005B5ED9">
              <w:rPr>
                <w:b w:val="0"/>
                <w:sz w:val="20"/>
              </w:rPr>
              <w:t>2</w:t>
            </w:r>
            <w:bookmarkStart w:id="0" w:name="_GoBack"/>
            <w:bookmarkEnd w:id="0"/>
          </w:p>
        </w:tc>
      </w:tr>
      <w:tr w:rsidR="00CA09B2" w14:paraId="2A3E3295" w14:textId="77777777">
        <w:trPr>
          <w:cantSplit/>
          <w:jc w:val="center"/>
        </w:trPr>
        <w:tc>
          <w:tcPr>
            <w:tcW w:w="9576" w:type="dxa"/>
            <w:gridSpan w:val="5"/>
            <w:vAlign w:val="center"/>
          </w:tcPr>
          <w:p w14:paraId="08F14058" w14:textId="77777777" w:rsidR="00CA09B2" w:rsidRDefault="00CA09B2">
            <w:pPr>
              <w:pStyle w:val="T2"/>
              <w:spacing w:after="0"/>
              <w:ind w:left="0" w:right="0"/>
              <w:jc w:val="left"/>
              <w:rPr>
                <w:sz w:val="20"/>
              </w:rPr>
            </w:pPr>
            <w:r>
              <w:rPr>
                <w:sz w:val="20"/>
              </w:rPr>
              <w:t>Author(s):</w:t>
            </w:r>
          </w:p>
        </w:tc>
      </w:tr>
      <w:tr w:rsidR="00CA09B2" w14:paraId="294ABD95" w14:textId="77777777">
        <w:trPr>
          <w:jc w:val="center"/>
        </w:trPr>
        <w:tc>
          <w:tcPr>
            <w:tcW w:w="1336" w:type="dxa"/>
            <w:vAlign w:val="center"/>
          </w:tcPr>
          <w:p w14:paraId="2F2743F7" w14:textId="77777777" w:rsidR="00CA09B2" w:rsidRDefault="00CA09B2">
            <w:pPr>
              <w:pStyle w:val="T2"/>
              <w:spacing w:after="0"/>
              <w:ind w:left="0" w:right="0"/>
              <w:jc w:val="left"/>
              <w:rPr>
                <w:sz w:val="20"/>
              </w:rPr>
            </w:pPr>
            <w:r>
              <w:rPr>
                <w:sz w:val="20"/>
              </w:rPr>
              <w:t>Name</w:t>
            </w:r>
          </w:p>
        </w:tc>
        <w:tc>
          <w:tcPr>
            <w:tcW w:w="2064" w:type="dxa"/>
            <w:vAlign w:val="center"/>
          </w:tcPr>
          <w:p w14:paraId="1067194C" w14:textId="77777777" w:rsidR="00CA09B2" w:rsidRDefault="0062440B">
            <w:pPr>
              <w:pStyle w:val="T2"/>
              <w:spacing w:after="0"/>
              <w:ind w:left="0" w:right="0"/>
              <w:jc w:val="left"/>
              <w:rPr>
                <w:sz w:val="20"/>
              </w:rPr>
            </w:pPr>
            <w:r>
              <w:rPr>
                <w:sz w:val="20"/>
              </w:rPr>
              <w:t>Affiliation</w:t>
            </w:r>
          </w:p>
        </w:tc>
        <w:tc>
          <w:tcPr>
            <w:tcW w:w="2814" w:type="dxa"/>
            <w:vAlign w:val="center"/>
          </w:tcPr>
          <w:p w14:paraId="5E4245C9" w14:textId="77777777" w:rsidR="00CA09B2" w:rsidRDefault="00CA09B2">
            <w:pPr>
              <w:pStyle w:val="T2"/>
              <w:spacing w:after="0"/>
              <w:ind w:left="0" w:right="0"/>
              <w:jc w:val="left"/>
              <w:rPr>
                <w:sz w:val="20"/>
              </w:rPr>
            </w:pPr>
            <w:r>
              <w:rPr>
                <w:sz w:val="20"/>
              </w:rPr>
              <w:t>Address</w:t>
            </w:r>
          </w:p>
        </w:tc>
        <w:tc>
          <w:tcPr>
            <w:tcW w:w="1715" w:type="dxa"/>
            <w:vAlign w:val="center"/>
          </w:tcPr>
          <w:p w14:paraId="2F7C0D4E" w14:textId="77777777" w:rsidR="00CA09B2" w:rsidRDefault="00CA09B2">
            <w:pPr>
              <w:pStyle w:val="T2"/>
              <w:spacing w:after="0"/>
              <w:ind w:left="0" w:right="0"/>
              <w:jc w:val="left"/>
              <w:rPr>
                <w:sz w:val="20"/>
              </w:rPr>
            </w:pPr>
            <w:r>
              <w:rPr>
                <w:sz w:val="20"/>
              </w:rPr>
              <w:t>Phone</w:t>
            </w:r>
          </w:p>
        </w:tc>
        <w:tc>
          <w:tcPr>
            <w:tcW w:w="1647" w:type="dxa"/>
            <w:vAlign w:val="center"/>
          </w:tcPr>
          <w:p w14:paraId="451748A5" w14:textId="77777777" w:rsidR="00CA09B2" w:rsidRDefault="00CA09B2">
            <w:pPr>
              <w:pStyle w:val="T2"/>
              <w:spacing w:after="0"/>
              <w:ind w:left="0" w:right="0"/>
              <w:jc w:val="left"/>
              <w:rPr>
                <w:sz w:val="20"/>
              </w:rPr>
            </w:pPr>
            <w:r>
              <w:rPr>
                <w:sz w:val="20"/>
              </w:rPr>
              <w:t>email</w:t>
            </w:r>
          </w:p>
        </w:tc>
      </w:tr>
      <w:tr w:rsidR="008D3A2B" w14:paraId="658EC25A" w14:textId="77777777">
        <w:trPr>
          <w:jc w:val="center"/>
        </w:trPr>
        <w:tc>
          <w:tcPr>
            <w:tcW w:w="1336" w:type="dxa"/>
            <w:vAlign w:val="center"/>
          </w:tcPr>
          <w:p w14:paraId="3357B63A" w14:textId="78EEE1F0" w:rsidR="008D3A2B" w:rsidRDefault="008D3A2B">
            <w:pPr>
              <w:pStyle w:val="T2"/>
              <w:spacing w:after="0"/>
              <w:ind w:left="0" w:right="0"/>
              <w:rPr>
                <w:b w:val="0"/>
                <w:sz w:val="20"/>
              </w:rPr>
            </w:pPr>
            <w:r>
              <w:rPr>
                <w:b w:val="0"/>
                <w:sz w:val="20"/>
              </w:rPr>
              <w:t>Donald E. Eastlake, III</w:t>
            </w:r>
          </w:p>
        </w:tc>
        <w:tc>
          <w:tcPr>
            <w:tcW w:w="2064" w:type="dxa"/>
            <w:vAlign w:val="center"/>
          </w:tcPr>
          <w:p w14:paraId="46F69248" w14:textId="7F5EAEB1" w:rsidR="008D3A2B" w:rsidRDefault="008D3A2B">
            <w:pPr>
              <w:pStyle w:val="T2"/>
              <w:spacing w:after="0"/>
              <w:ind w:left="0" w:right="0"/>
              <w:rPr>
                <w:b w:val="0"/>
                <w:sz w:val="20"/>
              </w:rPr>
            </w:pPr>
            <w:r>
              <w:rPr>
                <w:b w:val="0"/>
                <w:sz w:val="20"/>
              </w:rPr>
              <w:t>Huawei Technologies</w:t>
            </w:r>
          </w:p>
        </w:tc>
        <w:tc>
          <w:tcPr>
            <w:tcW w:w="2814" w:type="dxa"/>
            <w:vAlign w:val="center"/>
          </w:tcPr>
          <w:p w14:paraId="7C56AB5F" w14:textId="6E60BBE7" w:rsidR="008D3A2B" w:rsidRDefault="008D3A2B">
            <w:pPr>
              <w:pStyle w:val="T2"/>
              <w:spacing w:after="0"/>
              <w:ind w:left="0" w:right="0"/>
              <w:rPr>
                <w:b w:val="0"/>
                <w:sz w:val="20"/>
              </w:rPr>
            </w:pPr>
            <w:r>
              <w:rPr>
                <w:b w:val="0"/>
                <w:sz w:val="20"/>
              </w:rPr>
              <w:t>155 Beaver Street, Milford, MA 01757</w:t>
            </w:r>
          </w:p>
        </w:tc>
        <w:tc>
          <w:tcPr>
            <w:tcW w:w="1715" w:type="dxa"/>
            <w:vAlign w:val="center"/>
          </w:tcPr>
          <w:p w14:paraId="23F945D6" w14:textId="101573A6" w:rsidR="008D3A2B" w:rsidRDefault="008D3A2B">
            <w:pPr>
              <w:pStyle w:val="T2"/>
              <w:spacing w:after="0"/>
              <w:ind w:left="0" w:right="0"/>
              <w:rPr>
                <w:b w:val="0"/>
                <w:sz w:val="20"/>
              </w:rPr>
            </w:pPr>
            <w:r>
              <w:rPr>
                <w:b w:val="0"/>
                <w:sz w:val="20"/>
              </w:rPr>
              <w:t>+1-508-333-2270</w:t>
            </w:r>
          </w:p>
        </w:tc>
        <w:tc>
          <w:tcPr>
            <w:tcW w:w="1647" w:type="dxa"/>
            <w:vAlign w:val="center"/>
          </w:tcPr>
          <w:p w14:paraId="2CF8F2FE" w14:textId="22025BFB" w:rsidR="008D3A2B" w:rsidRDefault="008D3A2B">
            <w:pPr>
              <w:pStyle w:val="T2"/>
              <w:spacing w:after="0"/>
              <w:ind w:left="0" w:right="0"/>
              <w:rPr>
                <w:b w:val="0"/>
                <w:sz w:val="16"/>
              </w:rPr>
            </w:pPr>
            <w:r>
              <w:rPr>
                <w:b w:val="0"/>
                <w:sz w:val="16"/>
              </w:rPr>
              <w:t>d3e3e3@gmail.com</w:t>
            </w:r>
          </w:p>
        </w:tc>
      </w:tr>
      <w:tr w:rsidR="00CA09B2" w14:paraId="7FF86A78" w14:textId="77777777">
        <w:trPr>
          <w:jc w:val="center"/>
        </w:trPr>
        <w:tc>
          <w:tcPr>
            <w:tcW w:w="1336" w:type="dxa"/>
            <w:vAlign w:val="center"/>
          </w:tcPr>
          <w:p w14:paraId="30C2ECDC" w14:textId="77777777" w:rsidR="00CA09B2" w:rsidRDefault="00CA09B2">
            <w:pPr>
              <w:pStyle w:val="T2"/>
              <w:spacing w:after="0"/>
              <w:ind w:left="0" w:right="0"/>
              <w:rPr>
                <w:b w:val="0"/>
                <w:sz w:val="20"/>
              </w:rPr>
            </w:pPr>
          </w:p>
        </w:tc>
        <w:tc>
          <w:tcPr>
            <w:tcW w:w="2064" w:type="dxa"/>
            <w:vAlign w:val="center"/>
          </w:tcPr>
          <w:p w14:paraId="4105788E" w14:textId="77777777" w:rsidR="00CA09B2" w:rsidRDefault="00CA09B2">
            <w:pPr>
              <w:pStyle w:val="T2"/>
              <w:spacing w:after="0"/>
              <w:ind w:left="0" w:right="0"/>
              <w:rPr>
                <w:b w:val="0"/>
                <w:sz w:val="20"/>
              </w:rPr>
            </w:pPr>
          </w:p>
        </w:tc>
        <w:tc>
          <w:tcPr>
            <w:tcW w:w="2814" w:type="dxa"/>
            <w:vAlign w:val="center"/>
          </w:tcPr>
          <w:p w14:paraId="09EEC81D" w14:textId="77777777" w:rsidR="00CA09B2" w:rsidRDefault="00CA09B2">
            <w:pPr>
              <w:pStyle w:val="T2"/>
              <w:spacing w:after="0"/>
              <w:ind w:left="0" w:right="0"/>
              <w:rPr>
                <w:b w:val="0"/>
                <w:sz w:val="20"/>
              </w:rPr>
            </w:pPr>
          </w:p>
        </w:tc>
        <w:tc>
          <w:tcPr>
            <w:tcW w:w="1715" w:type="dxa"/>
            <w:vAlign w:val="center"/>
          </w:tcPr>
          <w:p w14:paraId="287FC2EC" w14:textId="77777777" w:rsidR="00CA09B2" w:rsidRDefault="00CA09B2">
            <w:pPr>
              <w:pStyle w:val="T2"/>
              <w:spacing w:after="0"/>
              <w:ind w:left="0" w:right="0"/>
              <w:rPr>
                <w:b w:val="0"/>
                <w:sz w:val="20"/>
              </w:rPr>
            </w:pPr>
          </w:p>
        </w:tc>
        <w:tc>
          <w:tcPr>
            <w:tcW w:w="1647" w:type="dxa"/>
            <w:vAlign w:val="center"/>
          </w:tcPr>
          <w:p w14:paraId="4865AF07" w14:textId="77777777" w:rsidR="00CA09B2" w:rsidRDefault="00CA09B2">
            <w:pPr>
              <w:pStyle w:val="T2"/>
              <w:spacing w:after="0"/>
              <w:ind w:left="0" w:right="0"/>
              <w:rPr>
                <w:b w:val="0"/>
                <w:sz w:val="16"/>
              </w:rPr>
            </w:pPr>
          </w:p>
        </w:tc>
      </w:tr>
    </w:tbl>
    <w:p w14:paraId="78197002" w14:textId="77777777" w:rsidR="00CA09B2" w:rsidRDefault="00EE566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F47107F" wp14:editId="345097D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98A57" w14:textId="0DF5F47B" w:rsidR="00FA08A5" w:rsidRDefault="00FA08A5" w:rsidP="008D3A2B">
                            <w:pPr>
                              <w:jc w:val="both"/>
                            </w:pPr>
                            <w:r>
                              <w:t>Resolutions of general comments and remaining editorial comments in 11-15/556r13 assigned to Donald Eastlake.</w:t>
                            </w:r>
                          </w:p>
                          <w:p w14:paraId="39DBAC3C" w14:textId="16890EAB" w:rsidR="00FA08A5" w:rsidRDefault="00FA08A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76698A57" w14:textId="0DF5F47B" w:rsidR="00605815" w:rsidRDefault="00605815" w:rsidP="008D3A2B">
                      <w:pPr>
                        <w:jc w:val="both"/>
                      </w:pPr>
                      <w:r>
                        <w:t>Resolutions of general comments and remaining editorial comments in 11-15/556r13 assigned to Donald Eastlake.</w:t>
                      </w:r>
                    </w:p>
                    <w:p w14:paraId="39DBAC3C" w14:textId="16890EAB" w:rsidR="00605815" w:rsidRDefault="00605815">
                      <w:pPr>
                        <w:jc w:val="both"/>
                      </w:pPr>
                    </w:p>
                  </w:txbxContent>
                </v:textbox>
              </v:shape>
            </w:pict>
          </mc:Fallback>
        </mc:AlternateContent>
      </w:r>
    </w:p>
    <w:p w14:paraId="36EDC84C" w14:textId="2ECE6B50" w:rsidR="00CA09B2" w:rsidRDefault="00CA09B2" w:rsidP="00864F63">
      <w:pPr>
        <w:pStyle w:val="Heading1"/>
      </w:pPr>
      <w:r>
        <w:br w:type="page"/>
      </w:r>
      <w:r w:rsidR="00864F63">
        <w:lastRenderedPageBreak/>
        <w:t>Resolutions</w:t>
      </w:r>
    </w:p>
    <w:p w14:paraId="5B29DFFA" w14:textId="77777777" w:rsidR="00CA09B2" w:rsidRDefault="00CA09B2"/>
    <w:p w14:paraId="708267E3" w14:textId="77777777" w:rsidR="00C963F2" w:rsidRDefault="00C963F2" w:rsidP="00C963F2">
      <w:r w:rsidRPr="00184519">
        <w:rPr>
          <w:u w:val="single"/>
        </w:rPr>
        <w:t>CID</w:t>
      </w:r>
      <w:r>
        <w:tab/>
      </w:r>
      <w:r w:rsidRPr="00184519">
        <w:rPr>
          <w:u w:val="single"/>
        </w:rPr>
        <w:t>Comment</w:t>
      </w:r>
    </w:p>
    <w:p w14:paraId="55D86926" w14:textId="77777777" w:rsidR="00C963F2" w:rsidRPr="00184519" w:rsidRDefault="00C963F2" w:rsidP="00C963F2">
      <w:pPr>
        <w:rPr>
          <w:u w:val="single"/>
        </w:rPr>
      </w:pPr>
      <w:r>
        <w:tab/>
      </w:r>
      <w:r>
        <w:tab/>
      </w:r>
      <w:r w:rsidRPr="00BB35CF">
        <w:rPr>
          <w:u w:val="single"/>
        </w:rPr>
        <w:t>[</w:t>
      </w:r>
      <w:r w:rsidRPr="00184519">
        <w:rPr>
          <w:u w:val="single"/>
        </w:rPr>
        <w:t>Proposed Change</w:t>
      </w:r>
      <w:r>
        <w:rPr>
          <w:u w:val="single"/>
        </w:rPr>
        <w:t>]</w:t>
      </w:r>
    </w:p>
    <w:p w14:paraId="6A46B00B" w14:textId="77777777" w:rsidR="00C963F2" w:rsidRPr="001257BC" w:rsidRDefault="00C963F2" w:rsidP="00C963F2">
      <w:pPr>
        <w:rPr>
          <w:b/>
          <w:u w:val="single"/>
        </w:rPr>
      </w:pPr>
      <w:r w:rsidRPr="001257BC">
        <w:rPr>
          <w:b/>
        </w:rPr>
        <w:tab/>
      </w:r>
      <w:r w:rsidRPr="001257BC">
        <w:rPr>
          <w:b/>
          <w:u w:val="single"/>
        </w:rPr>
        <w:t>Resolution</w:t>
      </w:r>
    </w:p>
    <w:p w14:paraId="34DC7CA6" w14:textId="77777777" w:rsidR="00C963F2" w:rsidRDefault="00C963F2" w:rsidP="00C963F2">
      <w:pPr>
        <w:rPr>
          <w:u w:val="single"/>
        </w:rPr>
      </w:pPr>
    </w:p>
    <w:p w14:paraId="09A6C04E" w14:textId="77777777" w:rsidR="00CA09B2" w:rsidRDefault="001257BC" w:rsidP="001257BC">
      <w:pPr>
        <w:pStyle w:val="Heading2"/>
      </w:pPr>
      <w:r>
        <w:t>Editorials</w:t>
      </w:r>
    </w:p>
    <w:p w14:paraId="5D2C1533" w14:textId="77777777" w:rsidR="001257BC" w:rsidRDefault="001257BC"/>
    <w:p w14:paraId="7F362D73" w14:textId="77777777" w:rsidR="00C963F2" w:rsidRPr="006D248C" w:rsidRDefault="00C963F2" w:rsidP="00256E18">
      <w:pPr>
        <w:ind w:left="720" w:hanging="720"/>
        <w:rPr>
          <w:rFonts w:ascii="MS Sans Serif" w:hAnsi="MS Sans Serif"/>
          <w:sz w:val="20"/>
          <w:lang w:val="en-US"/>
        </w:rPr>
      </w:pPr>
      <w:r>
        <w:t>134</w:t>
      </w:r>
      <w:r>
        <w:tab/>
      </w:r>
      <w:r w:rsidRPr="006D248C">
        <w:rPr>
          <w:rFonts w:ascii="MS Sans Serif" w:hAnsi="MS Sans Serif"/>
          <w:sz w:val="20"/>
          <w:lang w:val="en-US"/>
        </w:rPr>
        <w:t>Figure 4-14c is a useful general overview of the GLK architecture and I think it would be more useful to appear earlier in the text.</w:t>
      </w:r>
    </w:p>
    <w:p w14:paraId="5C7A9281" w14:textId="77777777" w:rsidR="00C963F2" w:rsidRDefault="00C963F2" w:rsidP="00256E18">
      <w:pPr>
        <w:ind w:left="1440"/>
      </w:pPr>
      <w:r>
        <w:t>[</w:t>
      </w:r>
      <w:r w:rsidRPr="00CF4A02">
        <w:rPr>
          <w:rFonts w:ascii="MS Sans Serif" w:hAnsi="MS Sans Serif"/>
          <w:sz w:val="20"/>
          <w:lang w:val="en-US"/>
        </w:rPr>
        <w:t>Move Figure 4-14c to clause 4.3.23.1 and re-number as required. Some of the text associated with the Figure may need to be moved and re-written.</w:t>
      </w:r>
      <w:r>
        <w:t>]</w:t>
      </w:r>
    </w:p>
    <w:p w14:paraId="65535745" w14:textId="19B25AD6" w:rsidR="00C963F2" w:rsidRPr="001257BC" w:rsidRDefault="00C963F2" w:rsidP="00C963F2">
      <w:pPr>
        <w:rPr>
          <w:b/>
        </w:rPr>
      </w:pPr>
      <w:r w:rsidRPr="001257BC">
        <w:rPr>
          <w:b/>
        </w:rPr>
        <w:tab/>
        <w:t xml:space="preserve">Revise. </w:t>
      </w:r>
      <w:r w:rsidR="00937E0B">
        <w:rPr>
          <w:b/>
        </w:rPr>
        <w:t>Tbd</w:t>
      </w:r>
      <w:r w:rsidR="00461BBB">
        <w:rPr>
          <w:b/>
        </w:rPr>
        <w:t>. Needs submission.</w:t>
      </w:r>
    </w:p>
    <w:p w14:paraId="4947EE4C" w14:textId="77777777" w:rsidR="00C963F2" w:rsidRDefault="00C963F2"/>
    <w:p w14:paraId="678DB997" w14:textId="77777777" w:rsidR="00C963F2" w:rsidRPr="00C963F2" w:rsidRDefault="00C963F2" w:rsidP="00C963F2">
      <w:pPr>
        <w:rPr>
          <w:rFonts w:ascii="MS Sans Serif" w:hAnsi="MS Sans Serif"/>
          <w:sz w:val="20"/>
          <w:lang w:val="en-US"/>
        </w:rPr>
      </w:pPr>
      <w:r w:rsidRPr="00B47E90">
        <w:rPr>
          <w:highlight w:val="green"/>
        </w:rPr>
        <w:t>190</w:t>
      </w:r>
      <w:r>
        <w:tab/>
      </w:r>
      <w:r w:rsidRPr="00C963F2">
        <w:rPr>
          <w:rFonts w:ascii="MS Sans Serif" w:hAnsi="MS Sans Serif"/>
          <w:sz w:val="20"/>
          <w:lang w:val="en-US"/>
        </w:rPr>
        <w:t>Why does MAC_SAP have an underscore and ISS SAP have a space?</w:t>
      </w:r>
    </w:p>
    <w:p w14:paraId="4315C9D8" w14:textId="77777777" w:rsidR="00C963F2" w:rsidRPr="00C963F2" w:rsidRDefault="00C963F2" w:rsidP="00C963F2">
      <w:pPr>
        <w:ind w:left="720" w:firstLine="720"/>
        <w:rPr>
          <w:rFonts w:ascii="MS Sans Serif" w:hAnsi="MS Sans Serif"/>
          <w:sz w:val="20"/>
          <w:lang w:val="en-US"/>
        </w:rPr>
      </w:pPr>
      <w:r>
        <w:t>[</w:t>
      </w:r>
      <w:r w:rsidRPr="00C963F2">
        <w:rPr>
          <w:rFonts w:ascii="MS Sans Serif" w:hAnsi="MS Sans Serif"/>
          <w:sz w:val="20"/>
          <w:lang w:val="en-US"/>
        </w:rPr>
        <w:t>Use consistent style</w:t>
      </w:r>
      <w:r>
        <w:rPr>
          <w:rFonts w:ascii="MS Sans Serif" w:hAnsi="MS Sans Serif"/>
          <w:sz w:val="20"/>
          <w:lang w:val="en-US"/>
        </w:rPr>
        <w:t>]</w:t>
      </w:r>
    </w:p>
    <w:p w14:paraId="35ED4434" w14:textId="77777777" w:rsidR="005C191C" w:rsidRPr="001257BC" w:rsidRDefault="00C963F2" w:rsidP="00C963F2">
      <w:pPr>
        <w:ind w:left="720"/>
        <w:rPr>
          <w:b/>
        </w:rPr>
      </w:pPr>
      <w:r w:rsidRPr="001257BC">
        <w:rPr>
          <w:b/>
        </w:rPr>
        <w:t xml:space="preserve">Revise. </w:t>
      </w:r>
      <w:r w:rsidR="00256E18">
        <w:rPr>
          <w:b/>
        </w:rPr>
        <w:t xml:space="preserve">“ISS SAP” no longer occurs in the draft as of D1.3. </w:t>
      </w:r>
    </w:p>
    <w:p w14:paraId="6A5E4579" w14:textId="77777777" w:rsidR="005C191C" w:rsidRDefault="005C191C" w:rsidP="005C191C"/>
    <w:p w14:paraId="3D9C10D8" w14:textId="77777777" w:rsidR="005C191C" w:rsidRPr="005C191C" w:rsidRDefault="005C191C" w:rsidP="005C191C">
      <w:pPr>
        <w:rPr>
          <w:rFonts w:ascii="MS Sans Serif" w:hAnsi="MS Sans Serif"/>
          <w:sz w:val="20"/>
          <w:lang w:val="en-US"/>
        </w:rPr>
      </w:pPr>
      <w:r w:rsidRPr="002F2A4D">
        <w:rPr>
          <w:highlight w:val="yellow"/>
        </w:rPr>
        <w:t>225</w:t>
      </w:r>
      <w:r>
        <w:tab/>
      </w:r>
      <w:r w:rsidRPr="005C191C">
        <w:rPr>
          <w:rFonts w:ascii="MS Sans Serif" w:hAnsi="MS Sans Serif"/>
          <w:sz w:val="20"/>
          <w:lang w:val="en-US"/>
        </w:rPr>
        <w:t>How is wildcard BSS used, especially since ToDS must be 1.</w:t>
      </w:r>
    </w:p>
    <w:p w14:paraId="273EF8CD" w14:textId="77777777" w:rsidR="005C191C" w:rsidRDefault="005C191C" w:rsidP="005C191C">
      <w:pPr>
        <w:ind w:left="720" w:firstLine="720"/>
        <w:rPr>
          <w:rFonts w:ascii="MS Sans Serif" w:hAnsi="MS Sans Serif"/>
          <w:sz w:val="20"/>
          <w:lang w:val="en-US"/>
        </w:rPr>
      </w:pPr>
      <w:r>
        <w:t>[</w:t>
      </w:r>
      <w:r w:rsidRPr="005C191C">
        <w:rPr>
          <w:rFonts w:ascii="MS Sans Serif" w:hAnsi="MS Sans Serif"/>
          <w:sz w:val="20"/>
          <w:lang w:val="en-US"/>
        </w:rPr>
        <w:t>This needs clarification, or removal.</w:t>
      </w:r>
      <w:r>
        <w:rPr>
          <w:rFonts w:ascii="MS Sans Serif" w:hAnsi="MS Sans Serif"/>
          <w:sz w:val="20"/>
          <w:lang w:val="en-US"/>
        </w:rPr>
        <w:t>]</w:t>
      </w:r>
    </w:p>
    <w:p w14:paraId="35DB8B24" w14:textId="44A0A7F3" w:rsidR="005C191C" w:rsidRPr="001257BC" w:rsidRDefault="005C191C" w:rsidP="005C191C">
      <w:pPr>
        <w:ind w:firstLine="720"/>
        <w:rPr>
          <w:rFonts w:ascii="MS Sans Serif" w:hAnsi="MS Sans Serif"/>
          <w:b/>
          <w:sz w:val="20"/>
          <w:lang w:val="en-US"/>
        </w:rPr>
      </w:pPr>
      <w:r w:rsidRPr="001257BC">
        <w:rPr>
          <w:b/>
          <w:sz w:val="20"/>
          <w:lang w:val="en-US"/>
        </w:rPr>
        <w:t xml:space="preserve">Revise. </w:t>
      </w:r>
      <w:r w:rsidR="002F2A4D">
        <w:rPr>
          <w:b/>
          <w:sz w:val="20"/>
          <w:lang w:val="en-US"/>
        </w:rPr>
        <w:t>Fixed in D1.3. SYNRA is not allowed with OCB. See CID 98.</w:t>
      </w:r>
    </w:p>
    <w:p w14:paraId="4275C689" w14:textId="77777777" w:rsidR="00A728FF" w:rsidRDefault="00A728FF" w:rsidP="005C191C"/>
    <w:p w14:paraId="3B4E432C" w14:textId="77777777" w:rsidR="00A728FF" w:rsidRPr="00A728FF" w:rsidRDefault="00A728FF" w:rsidP="00A728FF">
      <w:pPr>
        <w:rPr>
          <w:rFonts w:ascii="MS Sans Serif" w:hAnsi="MS Sans Serif"/>
          <w:sz w:val="20"/>
          <w:lang w:val="en-US"/>
        </w:rPr>
      </w:pPr>
      <w:r w:rsidRPr="00B47E90">
        <w:rPr>
          <w:highlight w:val="green"/>
        </w:rPr>
        <w:t>302</w:t>
      </w:r>
      <w:r>
        <w:tab/>
      </w:r>
      <w:r w:rsidRPr="00A728FF">
        <w:rPr>
          <w:rFonts w:ascii="MS Sans Serif" w:hAnsi="MS Sans Serif"/>
          <w:sz w:val="20"/>
          <w:lang w:val="en-US"/>
        </w:rPr>
        <w:t>Consistency is a good idea.</w:t>
      </w:r>
    </w:p>
    <w:p w14:paraId="4473BAD0" w14:textId="77777777" w:rsidR="00A728FF" w:rsidRDefault="00A728FF" w:rsidP="00A728FF">
      <w:pPr>
        <w:ind w:left="720" w:firstLine="720"/>
      </w:pPr>
      <w:r>
        <w:t>[</w:t>
      </w:r>
      <w:r w:rsidRPr="00A728FF">
        <w:rPr>
          <w:rFonts w:ascii="MS Sans Serif" w:hAnsi="MS Sans Serif"/>
          <w:sz w:val="20"/>
          <w:lang w:val="en-US"/>
        </w:rPr>
        <w:t>Decide on either "non-AP non-GLK STA" or "non-GLK non-AP STA" and stick with it!</w:t>
      </w:r>
      <w:r>
        <w:t>]</w:t>
      </w:r>
    </w:p>
    <w:p w14:paraId="26D29083" w14:textId="7C2ECC4D" w:rsidR="00A728FF" w:rsidRPr="001257BC" w:rsidRDefault="00A728FF" w:rsidP="00A728FF">
      <w:pPr>
        <w:ind w:left="720"/>
        <w:rPr>
          <w:b/>
        </w:rPr>
      </w:pPr>
      <w:r w:rsidRPr="001257BC">
        <w:rPr>
          <w:b/>
        </w:rPr>
        <w:t xml:space="preserve">Revise. </w:t>
      </w:r>
      <w:r w:rsidR="0075252F">
        <w:rPr>
          <w:b/>
        </w:rPr>
        <w:t>Use “non-GLK non-AP STA”</w:t>
      </w:r>
      <w:r w:rsidR="00622EB8">
        <w:rPr>
          <w:b/>
        </w:rPr>
        <w:t xml:space="preserve"> and also replace “non-AP GLK STA” with “GLK non-AP STA”</w:t>
      </w:r>
      <w:r w:rsidR="0075252F">
        <w:rPr>
          <w:b/>
        </w:rPr>
        <w:t>.</w:t>
      </w:r>
    </w:p>
    <w:p w14:paraId="76FEA7FC" w14:textId="77777777" w:rsidR="00A728FF" w:rsidRDefault="00A728FF" w:rsidP="00A728FF"/>
    <w:p w14:paraId="227F69CE" w14:textId="77777777" w:rsidR="001257BC" w:rsidRPr="001257BC" w:rsidRDefault="001257BC" w:rsidP="001257BC">
      <w:pPr>
        <w:rPr>
          <w:rFonts w:ascii="MS Sans Serif" w:hAnsi="MS Sans Serif"/>
          <w:sz w:val="20"/>
          <w:lang w:val="en-US"/>
        </w:rPr>
      </w:pPr>
      <w:r w:rsidRPr="005441FD">
        <w:rPr>
          <w:highlight w:val="yellow"/>
        </w:rPr>
        <w:t>402</w:t>
      </w:r>
      <w:r>
        <w:tab/>
      </w:r>
      <w:r w:rsidRPr="001257BC">
        <w:rPr>
          <w:rFonts w:ascii="MS Sans Serif" w:hAnsi="MS Sans Serif"/>
          <w:sz w:val="20"/>
          <w:lang w:val="en-US"/>
        </w:rPr>
        <w:t>"A GLK STA receiving" begins an overly complex statement that is confusing.</w:t>
      </w:r>
    </w:p>
    <w:p w14:paraId="0D0AD609" w14:textId="77777777" w:rsidR="001257BC" w:rsidRPr="001257BC" w:rsidRDefault="001257BC" w:rsidP="001257BC">
      <w:pPr>
        <w:ind w:left="1440"/>
        <w:rPr>
          <w:rFonts w:ascii="MS Sans Serif" w:hAnsi="MS Sans Serif"/>
          <w:sz w:val="20"/>
          <w:lang w:val="en-US"/>
        </w:rPr>
      </w:pPr>
      <w:r>
        <w:t>[</w:t>
      </w:r>
      <w:r w:rsidRPr="001257BC">
        <w:rPr>
          <w:rFonts w:ascii="MS Sans Serif" w:hAnsi="MS Sans Serif"/>
          <w:sz w:val="20"/>
          <w:lang w:val="en-US"/>
        </w:rPr>
        <w:t>On line 25 replace "clause and the STA also" with "clause.  The STA also".</w:t>
      </w:r>
      <w:r w:rsidRPr="001257BC">
        <w:rPr>
          <w:rFonts w:ascii="MS Sans Serif" w:hAnsi="MS Sans Serif"/>
          <w:sz w:val="20"/>
          <w:lang w:val="en-US"/>
        </w:rPr>
        <w:br/>
      </w:r>
      <w:r w:rsidRPr="001257BC">
        <w:rPr>
          <w:rFonts w:ascii="MS Sans Serif" w:hAnsi="MS Sans Serif"/>
          <w:sz w:val="20"/>
          <w:lang w:val="en-US"/>
        </w:rPr>
        <w:br/>
        <w:t>On line 26 replace "from a STA in the BSS of which the receiving STA is a member," with "from a STA that is in the same BSS as the receiving STA,".</w:t>
      </w:r>
      <w:r w:rsidRPr="001257BC">
        <w:rPr>
          <w:rFonts w:ascii="MS Sans Serif" w:hAnsi="MS Sans Serif"/>
          <w:sz w:val="20"/>
          <w:lang w:val="en-US"/>
        </w:rPr>
        <w:br/>
      </w:r>
      <w:r w:rsidRPr="001257BC">
        <w:rPr>
          <w:rFonts w:ascii="MS Sans Serif" w:hAnsi="MS Sans Serif"/>
          <w:sz w:val="20"/>
          <w:lang w:val="en-US"/>
        </w:rPr>
        <w:br/>
        <w:t>On line 27 replace "wildcard BSSID value, indicating a Data frame sent outside the context of a BSS (dot11OCBActtivated is true" with "wildcard BSSID value (indicating that the Data frame was sent outside the contenxt of a BSS and dot11OCBActivated is true".</w:t>
      </w:r>
      <w:r>
        <w:rPr>
          <w:rFonts w:ascii="MS Sans Serif" w:hAnsi="MS Sans Serif"/>
          <w:sz w:val="20"/>
          <w:lang w:val="en-US"/>
        </w:rPr>
        <w:t>]</w:t>
      </w:r>
    </w:p>
    <w:p w14:paraId="73C1D4B5" w14:textId="5D0480DF" w:rsidR="001257BC" w:rsidRPr="00FA08A5" w:rsidRDefault="001257BC" w:rsidP="005B5ED9">
      <w:pPr>
        <w:ind w:left="720"/>
        <w:rPr>
          <w:b/>
          <w:szCs w:val="22"/>
        </w:rPr>
      </w:pPr>
      <w:r w:rsidRPr="001257BC">
        <w:rPr>
          <w:b/>
        </w:rPr>
        <w:t>Revise</w:t>
      </w:r>
      <w:r w:rsidR="00937E0B">
        <w:rPr>
          <w:b/>
        </w:rPr>
        <w:t xml:space="preserve">. </w:t>
      </w:r>
      <w:r w:rsidR="005B5ED9">
        <w:rPr>
          <w:b/>
        </w:rPr>
        <w:t xml:space="preserve">Text is being re-written as per 11-15/0796r8/r4. </w:t>
      </w:r>
    </w:p>
    <w:p w14:paraId="6E0A21DB" w14:textId="77777777" w:rsidR="001257BC" w:rsidRDefault="001257BC" w:rsidP="001257BC">
      <w:pPr>
        <w:pStyle w:val="Heading2"/>
      </w:pPr>
      <w:r>
        <w:t>Generals</w:t>
      </w:r>
    </w:p>
    <w:p w14:paraId="15C1C360" w14:textId="77777777" w:rsidR="002F0513" w:rsidRDefault="002F0513" w:rsidP="002F0513"/>
    <w:p w14:paraId="4570F43E" w14:textId="77777777" w:rsidR="002F0513" w:rsidRPr="002F0513" w:rsidRDefault="002F0513" w:rsidP="002F0513">
      <w:pPr>
        <w:rPr>
          <w:rFonts w:ascii="MS Sans Serif" w:hAnsi="MS Sans Serif"/>
          <w:sz w:val="20"/>
          <w:lang w:val="en-US"/>
        </w:rPr>
      </w:pPr>
      <w:r w:rsidRPr="00B47E90">
        <w:rPr>
          <w:highlight w:val="green"/>
        </w:rPr>
        <w:t>026</w:t>
      </w:r>
      <w:r>
        <w:tab/>
      </w:r>
      <w:r w:rsidRPr="002F0513">
        <w:rPr>
          <w:rFonts w:ascii="MS Sans Serif" w:hAnsi="MS Sans Serif"/>
          <w:sz w:val="20"/>
          <w:lang w:val="en-US"/>
        </w:rPr>
        <w:t>Please provide an abstract</w:t>
      </w:r>
    </w:p>
    <w:p w14:paraId="1956DB79" w14:textId="77777777" w:rsidR="002F0513" w:rsidRDefault="002F0513" w:rsidP="002F0513">
      <w:pPr>
        <w:rPr>
          <w:rFonts w:ascii="MS Sans Serif" w:hAnsi="MS Sans Serif"/>
          <w:sz w:val="20"/>
          <w:lang w:val="en-US"/>
        </w:rPr>
      </w:pPr>
      <w:r>
        <w:tab/>
      </w:r>
      <w:r>
        <w:tab/>
        <w:t>[</w:t>
      </w:r>
      <w:r w:rsidRPr="002F0513">
        <w:rPr>
          <w:rFonts w:ascii="MS Sans Serif" w:hAnsi="MS Sans Serif"/>
          <w:sz w:val="20"/>
          <w:lang w:val="en-US"/>
        </w:rPr>
        <w:t>Add an abstract,  for example copy the statement of scope.</w:t>
      </w:r>
      <w:r>
        <w:rPr>
          <w:rFonts w:ascii="MS Sans Serif" w:hAnsi="MS Sans Serif"/>
          <w:sz w:val="20"/>
          <w:lang w:val="en-US"/>
        </w:rPr>
        <w:t>]</w:t>
      </w:r>
    </w:p>
    <w:p w14:paraId="342E687B" w14:textId="77777777" w:rsidR="002F0513" w:rsidRPr="0075252F" w:rsidRDefault="002F0513" w:rsidP="002F0513">
      <w:pPr>
        <w:rPr>
          <w:b/>
          <w:lang w:val="en-US"/>
        </w:rPr>
      </w:pPr>
      <w:r w:rsidRPr="0075252F">
        <w:rPr>
          <w:b/>
          <w:lang w:val="en-US"/>
        </w:rPr>
        <w:tab/>
        <w:t>Revise. Replace abstract dummy text with PAR scope: “</w:t>
      </w:r>
      <w:r w:rsidR="0075252F" w:rsidRPr="0075252F">
        <w:rPr>
          <w:b/>
          <w:lang w:val="en-US"/>
        </w:rPr>
        <w:t>This amendment specifies protocols, procedures, and managed objects to enhance the ability of IEEE P802.11 media to provide internal connections as transit links within IEEE Std 802.1Q bridged networks.</w:t>
      </w:r>
      <w:r w:rsidRPr="0075252F">
        <w:rPr>
          <w:b/>
          <w:lang w:val="en-US"/>
        </w:rPr>
        <w:t>”</w:t>
      </w:r>
    </w:p>
    <w:p w14:paraId="736B0102" w14:textId="77777777" w:rsidR="002F0513" w:rsidRPr="0075252F" w:rsidRDefault="002F0513" w:rsidP="002F0513"/>
    <w:p w14:paraId="6B12B11F" w14:textId="77777777" w:rsidR="0075252F" w:rsidRPr="0075252F" w:rsidRDefault="0075252F" w:rsidP="0075252F">
      <w:pPr>
        <w:rPr>
          <w:rFonts w:ascii="MS Sans Serif" w:hAnsi="MS Sans Serif"/>
          <w:sz w:val="20"/>
          <w:lang w:val="en-US"/>
        </w:rPr>
      </w:pPr>
      <w:r w:rsidRPr="00B47E90">
        <w:rPr>
          <w:highlight w:val="green"/>
        </w:rPr>
        <w:t>027</w:t>
      </w:r>
      <w:r>
        <w:tab/>
      </w:r>
      <w:r w:rsidRPr="0075252F">
        <w:rPr>
          <w:rFonts w:ascii="MS Sans Serif" w:hAnsi="MS Sans Serif"/>
          <w:sz w:val="20"/>
          <w:lang w:val="en-US"/>
        </w:rPr>
        <w:t>Provide some keywords</w:t>
      </w:r>
    </w:p>
    <w:p w14:paraId="4721D4CB" w14:textId="77777777" w:rsidR="0075252F" w:rsidRPr="0075252F" w:rsidRDefault="0075252F" w:rsidP="00256E18">
      <w:pPr>
        <w:ind w:left="1440"/>
        <w:rPr>
          <w:rFonts w:ascii="MS Sans Serif" w:hAnsi="MS Sans Serif"/>
          <w:sz w:val="20"/>
          <w:lang w:val="en-US"/>
        </w:rPr>
      </w:pPr>
      <w:r>
        <w:t>[</w:t>
      </w:r>
      <w:r w:rsidRPr="0075252F">
        <w:rPr>
          <w:rFonts w:ascii="MS Sans Serif" w:hAnsi="MS Sans Serif"/>
          <w:sz w:val="20"/>
          <w:lang w:val="en-US"/>
        </w:rPr>
        <w:t>Please provide some (say 10) keywords that will allow this work to be discovered by search.</w:t>
      </w:r>
      <w:r>
        <w:rPr>
          <w:rFonts w:ascii="MS Sans Serif" w:hAnsi="MS Sans Serif"/>
          <w:sz w:val="20"/>
          <w:lang w:val="en-US"/>
        </w:rPr>
        <w:t>]</w:t>
      </w:r>
    </w:p>
    <w:p w14:paraId="77ED4430" w14:textId="64D4D24A" w:rsidR="001A1DA9" w:rsidRDefault="0075252F" w:rsidP="0075252F">
      <w:pPr>
        <w:ind w:left="720"/>
      </w:pPr>
      <w:r w:rsidRPr="001A1DA9">
        <w:rPr>
          <w:b/>
        </w:rPr>
        <w:t>Revise. Replace keywords dummy text with: “</w:t>
      </w:r>
      <w:r w:rsidR="001A1DA9" w:rsidRPr="001A1DA9">
        <w:rPr>
          <w:b/>
        </w:rPr>
        <w:t>transit link, 802.1Q, EPD, SYNRA</w:t>
      </w:r>
      <w:r w:rsidR="00605815">
        <w:rPr>
          <w:b/>
        </w:rPr>
        <w:t>, bridged</w:t>
      </w:r>
      <w:r w:rsidRPr="001A1DA9">
        <w:rPr>
          <w:b/>
        </w:rPr>
        <w:t>”.</w:t>
      </w:r>
    </w:p>
    <w:p w14:paraId="6F260F5A" w14:textId="77777777" w:rsidR="00B47E90" w:rsidRDefault="00B47E90" w:rsidP="0075252F">
      <w:pPr>
        <w:ind w:left="720"/>
      </w:pPr>
    </w:p>
    <w:p w14:paraId="77958A6C" w14:textId="3EEC4586" w:rsidR="00B47E90" w:rsidRDefault="00B47E90" w:rsidP="00B47E90">
      <w:pPr>
        <w:ind w:left="720" w:hanging="720"/>
        <w:rPr>
          <w:rFonts w:ascii="MS Sans Serif" w:hAnsi="MS Sans Serif"/>
          <w:sz w:val="20"/>
          <w:lang w:val="en-US"/>
        </w:rPr>
      </w:pPr>
      <w:r w:rsidRPr="00E15844">
        <w:rPr>
          <w:highlight w:val="yellow"/>
        </w:rPr>
        <w:lastRenderedPageBreak/>
        <w:t>049</w:t>
      </w:r>
      <w:r>
        <w:tab/>
      </w:r>
      <w:r w:rsidRPr="00B47E90">
        <w:rPr>
          <w:rFonts w:ascii="MS Sans Serif" w:hAnsi="MS Sans Serif"/>
          <w:sz w:val="20"/>
          <w:lang w:val="en-US"/>
        </w:rPr>
        <w:t>I'm not convinced about the example shown.   I don't see laptops as generally having a part in a bridged network, except in the case that the bridged network interface is providing access to virtual machine instances on the same physical machine.  Perhaps a more believable example might be the use of a wireless link using 802.11ad "top of rack" technology in a data center to augment wired capacity.</w:t>
      </w:r>
    </w:p>
    <w:p w14:paraId="0933FBED" w14:textId="3EDE5A1C" w:rsidR="00B47E90" w:rsidRPr="00B47E90" w:rsidRDefault="00B47E90" w:rsidP="00B47E90">
      <w:pPr>
        <w:rPr>
          <w:rFonts w:ascii="MS Sans Serif" w:hAnsi="MS Sans Serif"/>
          <w:sz w:val="20"/>
          <w:lang w:val="en-US"/>
        </w:rPr>
      </w:pPr>
      <w:r>
        <w:tab/>
      </w:r>
      <w:r>
        <w:tab/>
        <w:t>[</w:t>
      </w:r>
      <w:r w:rsidRPr="00B47E90">
        <w:rPr>
          <w:rFonts w:ascii="MS Sans Serif" w:hAnsi="MS Sans Serif"/>
          <w:sz w:val="20"/>
          <w:lang w:val="en-US"/>
        </w:rPr>
        <w:t>Replace the example with something more believable.</w:t>
      </w:r>
      <w:r>
        <w:rPr>
          <w:rFonts w:ascii="MS Sans Serif" w:hAnsi="MS Sans Serif"/>
          <w:sz w:val="20"/>
          <w:lang w:val="en-US"/>
        </w:rPr>
        <w:t>]</w:t>
      </w:r>
    </w:p>
    <w:p w14:paraId="2227ED34" w14:textId="27D2D32E" w:rsidR="00B47E90" w:rsidRPr="00B47E90" w:rsidRDefault="00B47E90" w:rsidP="00B47E90">
      <w:pPr>
        <w:rPr>
          <w:b/>
        </w:rPr>
      </w:pPr>
      <w:r w:rsidRPr="00B47E90">
        <w:rPr>
          <w:b/>
        </w:rPr>
        <w:tab/>
        <w:t>Revise. Replace “laptop computer” and “laptop” with “top of rack switch”.</w:t>
      </w:r>
    </w:p>
    <w:p w14:paraId="645DDA79" w14:textId="77777777" w:rsidR="001A1DA9" w:rsidRDefault="001A1DA9" w:rsidP="001A1DA9"/>
    <w:p w14:paraId="7F9349AA" w14:textId="77777777" w:rsidR="001A1DA9" w:rsidRPr="001A1DA9" w:rsidRDefault="001A1DA9" w:rsidP="001A1DA9">
      <w:pPr>
        <w:ind w:left="720" w:hanging="720"/>
        <w:rPr>
          <w:rFonts w:ascii="MS Sans Serif" w:hAnsi="MS Sans Serif"/>
          <w:sz w:val="20"/>
          <w:lang w:val="en-US"/>
        </w:rPr>
      </w:pPr>
      <w:r w:rsidRPr="001A1DA9">
        <w:t>050</w:t>
      </w:r>
      <w:r w:rsidRPr="001A1DA9">
        <w:tab/>
      </w:r>
      <w:r w:rsidRPr="001A1DA9">
        <w:rPr>
          <w:rFonts w:ascii="MS Sans Serif" w:hAnsi="MS Sans Serif"/>
          <w:sz w:val="20"/>
          <w:lang w:val="en-US"/>
        </w:rPr>
        <w:t xml:space="preserve">I think that including "DLS/TDLS" in this picture raises some very </w:t>
      </w:r>
      <w:r>
        <w:rPr>
          <w:rFonts w:ascii="MS Sans Serif" w:hAnsi="MS Sans Serif"/>
          <w:sz w:val="20"/>
          <w:lang w:val="en-US"/>
        </w:rPr>
        <w:t xml:space="preserve">interesting questions.   In the </w:t>
      </w:r>
      <w:r w:rsidRPr="001A1DA9">
        <w:rPr>
          <w:rFonts w:ascii="MS Sans Serif" w:hAnsi="MS Sans Serif"/>
          <w:sz w:val="20"/>
          <w:lang w:val="en-US"/>
        </w:rPr>
        <w:t>case of non-GLK, the MAC can simply determine whether any particular MSDU can use a direct link based on the RA.   In the case of GLK,  the MAC cannot determine this.  So it falls to the job of the bridge to select DLS as an apparent port (or set of ports).   This is far from obvious.</w:t>
      </w:r>
    </w:p>
    <w:p w14:paraId="507E0CAC" w14:textId="77777777" w:rsidR="001A1DA9" w:rsidRDefault="001A1DA9" w:rsidP="001A1DA9">
      <w:pPr>
        <w:ind w:left="1440"/>
        <w:rPr>
          <w:rFonts w:ascii="MS Sans Serif" w:hAnsi="MS Sans Serif"/>
          <w:sz w:val="20"/>
          <w:lang w:val="en-US"/>
        </w:rPr>
      </w:pPr>
      <w:r>
        <w:t>[</w:t>
      </w:r>
      <w:r w:rsidRPr="001A1DA9">
        <w:rPr>
          <w:rFonts w:ascii="MS Sans Serif" w:hAnsi="MS Sans Serif"/>
          <w:sz w:val="20"/>
          <w:lang w:val="en-US"/>
        </w:rPr>
        <w:t>Add in clause 4 a description of how DLS/TDLS interacts with bridging.  This might include one or more ports that identify DLS peers.   Confirm that the MAC unitdata SAP supports this functionality - i.e. allows the bridge to select a DLS peer as the immediate re</w:t>
      </w:r>
      <w:r>
        <w:rPr>
          <w:rFonts w:ascii="MS Sans Serif" w:hAnsi="MS Sans Serif"/>
          <w:sz w:val="20"/>
          <w:lang w:val="en-US"/>
        </w:rPr>
        <w:t>cipient for a bridged MSDU.</w:t>
      </w:r>
      <w:r w:rsidRPr="001A1DA9">
        <w:rPr>
          <w:rFonts w:ascii="MS Sans Serif" w:hAnsi="MS Sans Serif"/>
          <w:sz w:val="20"/>
          <w:lang w:val="en-US"/>
        </w:rPr>
        <w:br/>
      </w:r>
      <w:r w:rsidRPr="001A1DA9">
        <w:rPr>
          <w:rFonts w:ascii="MS Sans Serif" w:hAnsi="MS Sans Serif"/>
          <w:sz w:val="20"/>
          <w:lang w:val="en-US"/>
        </w:rPr>
        <w:br/>
        <w:t>Alternatively determine that DLS and TDLS is not commercially relevant,  and avoid the complexity of supporting it.</w:t>
      </w:r>
      <w:r>
        <w:rPr>
          <w:rFonts w:ascii="MS Sans Serif" w:hAnsi="MS Sans Serif"/>
          <w:sz w:val="20"/>
          <w:lang w:val="en-US"/>
        </w:rPr>
        <w:t>]</w:t>
      </w:r>
    </w:p>
    <w:p w14:paraId="0EB8FD87" w14:textId="56E5C518" w:rsidR="001A1DA9" w:rsidRPr="001A1DA9" w:rsidRDefault="001A1DA9" w:rsidP="001A1DA9">
      <w:pPr>
        <w:ind w:firstLine="720"/>
        <w:rPr>
          <w:b/>
          <w:lang w:val="en-US"/>
        </w:rPr>
      </w:pPr>
      <w:r w:rsidRPr="001A1DA9">
        <w:rPr>
          <w:b/>
          <w:lang w:val="en-US"/>
        </w:rPr>
        <w:t xml:space="preserve">Revise. </w:t>
      </w:r>
      <w:r w:rsidR="00937E0B">
        <w:rPr>
          <w:b/>
          <w:lang w:val="en-US"/>
        </w:rPr>
        <w:t>Tbd</w:t>
      </w:r>
    </w:p>
    <w:p w14:paraId="69E2CBC1" w14:textId="77777777" w:rsidR="001A1DA9" w:rsidRDefault="001A1DA9" w:rsidP="001A1DA9">
      <w:pPr>
        <w:rPr>
          <w:lang w:val="en-US"/>
        </w:rPr>
      </w:pPr>
    </w:p>
    <w:p w14:paraId="3CAF8F4B" w14:textId="77777777" w:rsidR="00256E18" w:rsidRPr="00256E18" w:rsidRDefault="00256E18" w:rsidP="00256E18">
      <w:pPr>
        <w:ind w:left="720" w:hanging="720"/>
        <w:rPr>
          <w:rFonts w:ascii="MS Sans Serif" w:hAnsi="MS Sans Serif"/>
          <w:sz w:val="20"/>
          <w:lang w:val="en-US"/>
        </w:rPr>
      </w:pPr>
      <w:r w:rsidRPr="00081E8C">
        <w:rPr>
          <w:highlight w:val="yellow"/>
          <w:lang w:val="en-US"/>
        </w:rPr>
        <w:t>070</w:t>
      </w:r>
      <w:r>
        <w:rPr>
          <w:lang w:val="en-US"/>
        </w:rPr>
        <w:tab/>
      </w:r>
      <w:r w:rsidRPr="00256E18">
        <w:rPr>
          <w:rFonts w:ascii="MS Sans Serif" w:hAnsi="MS Sans Serif"/>
          <w:sz w:val="20"/>
          <w:lang w:val="en-US"/>
        </w:rPr>
        <w:t>I don't understand why a DMG STA needs to signal EPD twice - once in the Capability Information field and once in the DMG STA Capability Information field.</w:t>
      </w:r>
    </w:p>
    <w:p w14:paraId="36190477" w14:textId="77777777" w:rsidR="00256E18" w:rsidRDefault="00256E18" w:rsidP="00256E18">
      <w:pPr>
        <w:rPr>
          <w:rFonts w:ascii="MS Sans Serif" w:hAnsi="MS Sans Serif"/>
          <w:sz w:val="20"/>
          <w:lang w:val="en-US"/>
        </w:rPr>
      </w:pPr>
      <w:r>
        <w:rPr>
          <w:rFonts w:ascii="MS Sans Serif" w:hAnsi="MS Sans Serif"/>
          <w:sz w:val="20"/>
          <w:lang w:val="en-US"/>
        </w:rPr>
        <w:tab/>
      </w:r>
      <w:r>
        <w:rPr>
          <w:rFonts w:ascii="MS Sans Serif" w:hAnsi="MS Sans Serif"/>
          <w:sz w:val="20"/>
          <w:lang w:val="en-US"/>
        </w:rPr>
        <w:tab/>
        <w:t>[</w:t>
      </w:r>
      <w:r w:rsidRPr="00256E18">
        <w:rPr>
          <w:rFonts w:ascii="MS Sans Serif" w:hAnsi="MS Sans Serif"/>
          <w:sz w:val="20"/>
          <w:lang w:val="en-US"/>
        </w:rPr>
        <w:t>Remove one of them.</w:t>
      </w:r>
      <w:r>
        <w:rPr>
          <w:rFonts w:ascii="MS Sans Serif" w:hAnsi="MS Sans Serif"/>
          <w:sz w:val="20"/>
          <w:lang w:val="en-US"/>
        </w:rPr>
        <w:t>]</w:t>
      </w:r>
    </w:p>
    <w:p w14:paraId="78CD295C" w14:textId="1D0D035F" w:rsidR="00256E18" w:rsidRPr="00256E18" w:rsidRDefault="00256E18" w:rsidP="00256E18">
      <w:pPr>
        <w:rPr>
          <w:b/>
          <w:lang w:val="en-US"/>
        </w:rPr>
      </w:pPr>
      <w:r w:rsidRPr="00256E18">
        <w:rPr>
          <w:b/>
          <w:lang w:val="en-US"/>
        </w:rPr>
        <w:tab/>
      </w:r>
      <w:r w:rsidR="00081E8C">
        <w:rPr>
          <w:b/>
          <w:lang w:val="en-US"/>
        </w:rPr>
        <w:t>Reject. See CID 120.</w:t>
      </w:r>
    </w:p>
    <w:p w14:paraId="71B8B058" w14:textId="77777777" w:rsidR="001A1DA9" w:rsidRDefault="001A1DA9" w:rsidP="00362FA2">
      <w:pPr>
        <w:rPr>
          <w:lang w:val="en-US"/>
        </w:rPr>
      </w:pPr>
    </w:p>
    <w:p w14:paraId="55521EF9" w14:textId="77777777" w:rsidR="00362FA2" w:rsidRDefault="00362FA2" w:rsidP="00362FA2">
      <w:pPr>
        <w:ind w:left="720" w:hanging="720"/>
        <w:rPr>
          <w:rFonts w:ascii="MS Sans Serif" w:hAnsi="MS Sans Serif"/>
          <w:sz w:val="20"/>
          <w:lang w:val="en-US"/>
        </w:rPr>
      </w:pPr>
      <w:r w:rsidRPr="00B47E90">
        <w:rPr>
          <w:highlight w:val="green"/>
          <w:lang w:val="en-US"/>
        </w:rPr>
        <w:t>414</w:t>
      </w:r>
      <w:r>
        <w:rPr>
          <w:lang w:val="en-US"/>
        </w:rPr>
        <w:tab/>
      </w:r>
      <w:r w:rsidRPr="00362FA2">
        <w:rPr>
          <w:rFonts w:ascii="MS Sans Serif" w:hAnsi="MS Sans Serif"/>
          <w:sz w:val="20"/>
          <w:lang w:val="en-US"/>
        </w:rPr>
        <w:t>"Editorüfs Note: We plan to take four address use by 802.11ah into account at a later date because 802.11ah is not in the 802.11RE</w:t>
      </w:r>
      <w:r>
        <w:rPr>
          <w:rFonts w:ascii="MS Sans Serif" w:hAnsi="MS Sans Serif"/>
          <w:sz w:val="20"/>
          <w:lang w:val="en-US"/>
        </w:rPr>
        <w:t>Vmc D4.0 base for this draft."</w:t>
      </w:r>
      <w:r w:rsidRPr="00362FA2">
        <w:rPr>
          <w:rFonts w:ascii="MS Sans Serif" w:hAnsi="MS Sans Serif"/>
          <w:sz w:val="20"/>
          <w:lang w:val="en-US"/>
        </w:rPr>
        <w:br/>
      </w:r>
      <w:r w:rsidRPr="00362FA2">
        <w:rPr>
          <w:rFonts w:ascii="MS Sans Serif" w:hAnsi="MS Sans Serif"/>
          <w:sz w:val="20"/>
          <w:lang w:val="en-US"/>
        </w:rPr>
        <w:br/>
        <w:t>The latest P802.11ah draft should also be baseline text.</w:t>
      </w:r>
    </w:p>
    <w:p w14:paraId="4A7B0BCD" w14:textId="77777777" w:rsidR="00362FA2" w:rsidRPr="00362FA2" w:rsidRDefault="00362FA2" w:rsidP="0031761C">
      <w:pPr>
        <w:rPr>
          <w:rFonts w:ascii="MS Sans Serif" w:hAnsi="MS Sans Serif"/>
          <w:sz w:val="20"/>
          <w:lang w:val="en-US"/>
        </w:rPr>
      </w:pPr>
      <w:r>
        <w:rPr>
          <w:rFonts w:ascii="MS Sans Serif" w:hAnsi="MS Sans Serif"/>
          <w:sz w:val="20"/>
          <w:lang w:val="en-US"/>
        </w:rPr>
        <w:tab/>
      </w:r>
      <w:r>
        <w:rPr>
          <w:rFonts w:ascii="MS Sans Serif" w:hAnsi="MS Sans Serif"/>
          <w:sz w:val="20"/>
          <w:lang w:val="en-US"/>
        </w:rPr>
        <w:tab/>
        <w:t>[</w:t>
      </w:r>
      <w:r w:rsidR="0031761C" w:rsidRPr="0031761C">
        <w:rPr>
          <w:rFonts w:ascii="MS Sans Serif" w:hAnsi="MS Sans Serif"/>
          <w:sz w:val="20"/>
          <w:lang w:val="en-US"/>
        </w:rPr>
        <w:t>As in comment.</w:t>
      </w:r>
      <w:r w:rsidR="0031761C">
        <w:rPr>
          <w:rFonts w:ascii="MS Sans Serif" w:hAnsi="MS Sans Serif"/>
          <w:sz w:val="20"/>
          <w:lang w:val="en-US"/>
        </w:rPr>
        <w:t>]</w:t>
      </w:r>
    </w:p>
    <w:p w14:paraId="6D808D0A" w14:textId="77777777" w:rsidR="00362FA2" w:rsidRPr="0031761C" w:rsidRDefault="0031761C" w:rsidP="00362FA2">
      <w:pPr>
        <w:rPr>
          <w:b/>
          <w:lang w:val="en-US"/>
        </w:rPr>
      </w:pPr>
      <w:r w:rsidRPr="0031761C">
        <w:rPr>
          <w:b/>
          <w:lang w:val="en-US"/>
        </w:rPr>
        <w:tab/>
        <w:t>Accept.</w:t>
      </w:r>
    </w:p>
    <w:p w14:paraId="77AFA31A" w14:textId="77777777" w:rsidR="0031761C" w:rsidRPr="001A1DA9" w:rsidRDefault="0031761C" w:rsidP="00362FA2">
      <w:pPr>
        <w:rPr>
          <w:lang w:val="en-US"/>
        </w:rPr>
      </w:pPr>
    </w:p>
    <w:p w14:paraId="281120FF" w14:textId="77777777" w:rsidR="001A1DA9" w:rsidRDefault="001A1DA9" w:rsidP="001A1DA9"/>
    <w:p w14:paraId="342B968D" w14:textId="77777777" w:rsidR="00CA09B2" w:rsidRPr="005C191C" w:rsidRDefault="00CA09B2" w:rsidP="001A1DA9">
      <w:pPr>
        <w:pStyle w:val="Heading1"/>
        <w:rPr>
          <w:rFonts w:ascii="MS Sans Serif" w:hAnsi="MS Sans Serif"/>
          <w:sz w:val="20"/>
          <w:lang w:val="en-US"/>
        </w:rPr>
      </w:pPr>
      <w:r w:rsidRPr="001A1DA9">
        <w:br w:type="page"/>
      </w:r>
      <w:r>
        <w:lastRenderedPageBreak/>
        <w:t>References:</w:t>
      </w:r>
    </w:p>
    <w:p w14:paraId="073B76BE" w14:textId="77777777" w:rsidR="00CA09B2" w:rsidRDefault="00CA09B2"/>
    <w:p w14:paraId="09D7051E" w14:textId="77777777" w:rsidR="00214002" w:rsidRDefault="00214002" w:rsidP="00214002">
      <w:pPr>
        <w:rPr>
          <w:sz w:val="28"/>
          <w:szCs w:val="22"/>
        </w:rPr>
      </w:pPr>
      <w:r w:rsidRPr="00214002">
        <w:rPr>
          <w:sz w:val="28"/>
          <w:szCs w:val="22"/>
        </w:rPr>
        <w:t>11-15/556r13, “</w:t>
      </w:r>
      <w:r w:rsidRPr="00214002">
        <w:rPr>
          <w:b/>
          <w:bCs/>
          <w:sz w:val="28"/>
          <w:szCs w:val="22"/>
          <w:lang w:val="en-US"/>
        </w:rPr>
        <w:t>LB212 Working Group Ballot Comments</w:t>
      </w:r>
      <w:r>
        <w:rPr>
          <w:sz w:val="28"/>
          <w:szCs w:val="22"/>
        </w:rPr>
        <w:t>,</w:t>
      </w:r>
    </w:p>
    <w:p w14:paraId="18888F39" w14:textId="18EC1369" w:rsidR="00214002" w:rsidRPr="00214002" w:rsidRDefault="00214002" w:rsidP="00214002">
      <w:pPr>
        <w:ind w:left="1440" w:firstLine="720"/>
        <w:rPr>
          <w:b/>
          <w:bCs/>
          <w:sz w:val="28"/>
          <w:szCs w:val="22"/>
          <w:lang w:val="en-US"/>
        </w:rPr>
      </w:pPr>
      <w:r w:rsidRPr="00214002">
        <w:rPr>
          <w:sz w:val="28"/>
          <w:szCs w:val="22"/>
        </w:rPr>
        <w:t>Donald Eastlake 3</w:t>
      </w:r>
      <w:r w:rsidRPr="00214002">
        <w:rPr>
          <w:sz w:val="28"/>
          <w:szCs w:val="22"/>
          <w:vertAlign w:val="superscript"/>
        </w:rPr>
        <w:t>rd</w:t>
      </w:r>
      <w:r w:rsidRPr="00214002">
        <w:rPr>
          <w:sz w:val="28"/>
          <w:szCs w:val="22"/>
        </w:rPr>
        <w:t xml:space="preserve"> (Huawei Technologies)</w:t>
      </w:r>
    </w:p>
    <w:p w14:paraId="7F23B94C" w14:textId="77777777" w:rsidR="00214002" w:rsidRDefault="00214002"/>
    <w:sectPr w:rsidR="0021400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71B1A" w14:textId="77777777" w:rsidR="00FA08A5" w:rsidRDefault="00FA08A5">
      <w:r>
        <w:separator/>
      </w:r>
    </w:p>
  </w:endnote>
  <w:endnote w:type="continuationSeparator" w:id="0">
    <w:p w14:paraId="3E1F0E9F" w14:textId="77777777" w:rsidR="00FA08A5" w:rsidRDefault="00FA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5A1AB" w14:textId="77777777" w:rsidR="00FA08A5" w:rsidRDefault="00FA08A5">
    <w:pPr>
      <w:pStyle w:val="Footer"/>
      <w:tabs>
        <w:tab w:val="clear" w:pos="6480"/>
        <w:tab w:val="center" w:pos="4680"/>
        <w:tab w:val="right" w:pos="9360"/>
      </w:tabs>
    </w:pPr>
    <w:fldSimple w:instr=" SUBJECT  \* MERGEFORMAT ">
      <w:r w:rsidR="001533EC">
        <w:t>Submission</w:t>
      </w:r>
    </w:fldSimple>
    <w:r>
      <w:tab/>
      <w:t xml:space="preserve">page </w:t>
    </w:r>
    <w:r>
      <w:fldChar w:fldCharType="begin"/>
    </w:r>
    <w:r>
      <w:instrText xml:space="preserve">page </w:instrText>
    </w:r>
    <w:r>
      <w:fldChar w:fldCharType="separate"/>
    </w:r>
    <w:r w:rsidR="001533EC">
      <w:rPr>
        <w:noProof/>
      </w:rPr>
      <w:t>1</w:t>
    </w:r>
    <w:r>
      <w:fldChar w:fldCharType="end"/>
    </w:r>
    <w:r>
      <w:tab/>
    </w:r>
    <w:fldSimple w:instr=" COMMENTS  \* MERGEFORMAT ">
      <w:r w:rsidR="001533EC">
        <w:t>Donald Eastlake, Huawei Technologies</w:t>
      </w:r>
    </w:fldSimple>
  </w:p>
  <w:p w14:paraId="54F7C8CE" w14:textId="77777777" w:rsidR="00FA08A5" w:rsidRDefault="00FA08A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D62A1" w14:textId="77777777" w:rsidR="00FA08A5" w:rsidRDefault="00FA08A5">
      <w:r>
        <w:separator/>
      </w:r>
    </w:p>
  </w:footnote>
  <w:footnote w:type="continuationSeparator" w:id="0">
    <w:p w14:paraId="50D0AEB7" w14:textId="77777777" w:rsidR="00FA08A5" w:rsidRDefault="00FA08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63A09" w14:textId="77777777" w:rsidR="00FA08A5" w:rsidRDefault="00FA08A5">
    <w:pPr>
      <w:pStyle w:val="Header"/>
      <w:tabs>
        <w:tab w:val="clear" w:pos="6480"/>
        <w:tab w:val="center" w:pos="4680"/>
        <w:tab w:val="right" w:pos="9360"/>
      </w:tabs>
    </w:pPr>
    <w:fldSimple w:instr=" KEYWORDS  \* MERGEFORMAT ">
      <w:r w:rsidR="001533EC">
        <w:t>November 2015</w:t>
      </w:r>
    </w:fldSimple>
    <w:r>
      <w:tab/>
    </w:r>
    <w:r>
      <w:tab/>
    </w:r>
    <w:fldSimple w:instr=" TITLE  \* MERGEFORMAT ">
      <w:r w:rsidR="001533EC">
        <w:t>doc.: IEEE 802.11-15/1405r2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4A1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F2"/>
    <w:rsid w:val="00081E8C"/>
    <w:rsid w:val="001257BC"/>
    <w:rsid w:val="001533EC"/>
    <w:rsid w:val="001A1DA9"/>
    <w:rsid w:val="001D723B"/>
    <w:rsid w:val="00214002"/>
    <w:rsid w:val="00256E18"/>
    <w:rsid w:val="0029020B"/>
    <w:rsid w:val="002D44BE"/>
    <w:rsid w:val="002F0513"/>
    <w:rsid w:val="002F2A4D"/>
    <w:rsid w:val="0031761C"/>
    <w:rsid w:val="00362FA2"/>
    <w:rsid w:val="00442037"/>
    <w:rsid w:val="00461BBB"/>
    <w:rsid w:val="004B064B"/>
    <w:rsid w:val="005441FD"/>
    <w:rsid w:val="00575FFE"/>
    <w:rsid w:val="005B5ED9"/>
    <w:rsid w:val="005C191C"/>
    <w:rsid w:val="005C7CC0"/>
    <w:rsid w:val="00605815"/>
    <w:rsid w:val="00622EB8"/>
    <w:rsid w:val="0062440B"/>
    <w:rsid w:val="006C0727"/>
    <w:rsid w:val="006E145F"/>
    <w:rsid w:val="0075252F"/>
    <w:rsid w:val="00770572"/>
    <w:rsid w:val="00864F63"/>
    <w:rsid w:val="008D3A2B"/>
    <w:rsid w:val="00937E0B"/>
    <w:rsid w:val="009F2FBC"/>
    <w:rsid w:val="00A728FF"/>
    <w:rsid w:val="00AA427C"/>
    <w:rsid w:val="00B02E6E"/>
    <w:rsid w:val="00B47E90"/>
    <w:rsid w:val="00BE68C2"/>
    <w:rsid w:val="00C963F2"/>
    <w:rsid w:val="00CA09B2"/>
    <w:rsid w:val="00DC5A7B"/>
    <w:rsid w:val="00E15844"/>
    <w:rsid w:val="00EE5662"/>
    <w:rsid w:val="00FA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59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A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A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7650">
      <w:bodyDiv w:val="1"/>
      <w:marLeft w:val="0"/>
      <w:marRight w:val="0"/>
      <w:marTop w:val="0"/>
      <w:marBottom w:val="0"/>
      <w:divBdr>
        <w:top w:val="none" w:sz="0" w:space="0" w:color="auto"/>
        <w:left w:val="none" w:sz="0" w:space="0" w:color="auto"/>
        <w:bottom w:val="none" w:sz="0" w:space="0" w:color="auto"/>
        <w:right w:val="none" w:sz="0" w:space="0" w:color="auto"/>
      </w:divBdr>
    </w:div>
    <w:div w:id="207183489">
      <w:bodyDiv w:val="1"/>
      <w:marLeft w:val="0"/>
      <w:marRight w:val="0"/>
      <w:marTop w:val="0"/>
      <w:marBottom w:val="0"/>
      <w:divBdr>
        <w:top w:val="none" w:sz="0" w:space="0" w:color="auto"/>
        <w:left w:val="none" w:sz="0" w:space="0" w:color="auto"/>
        <w:bottom w:val="none" w:sz="0" w:space="0" w:color="auto"/>
        <w:right w:val="none" w:sz="0" w:space="0" w:color="auto"/>
      </w:divBdr>
    </w:div>
    <w:div w:id="265308976">
      <w:bodyDiv w:val="1"/>
      <w:marLeft w:val="0"/>
      <w:marRight w:val="0"/>
      <w:marTop w:val="0"/>
      <w:marBottom w:val="0"/>
      <w:divBdr>
        <w:top w:val="none" w:sz="0" w:space="0" w:color="auto"/>
        <w:left w:val="none" w:sz="0" w:space="0" w:color="auto"/>
        <w:bottom w:val="none" w:sz="0" w:space="0" w:color="auto"/>
        <w:right w:val="none" w:sz="0" w:space="0" w:color="auto"/>
      </w:divBdr>
    </w:div>
    <w:div w:id="369653097">
      <w:bodyDiv w:val="1"/>
      <w:marLeft w:val="0"/>
      <w:marRight w:val="0"/>
      <w:marTop w:val="0"/>
      <w:marBottom w:val="0"/>
      <w:divBdr>
        <w:top w:val="none" w:sz="0" w:space="0" w:color="auto"/>
        <w:left w:val="none" w:sz="0" w:space="0" w:color="auto"/>
        <w:bottom w:val="none" w:sz="0" w:space="0" w:color="auto"/>
        <w:right w:val="none" w:sz="0" w:space="0" w:color="auto"/>
      </w:divBdr>
    </w:div>
    <w:div w:id="397359701">
      <w:bodyDiv w:val="1"/>
      <w:marLeft w:val="0"/>
      <w:marRight w:val="0"/>
      <w:marTop w:val="0"/>
      <w:marBottom w:val="0"/>
      <w:divBdr>
        <w:top w:val="none" w:sz="0" w:space="0" w:color="auto"/>
        <w:left w:val="none" w:sz="0" w:space="0" w:color="auto"/>
        <w:bottom w:val="none" w:sz="0" w:space="0" w:color="auto"/>
        <w:right w:val="none" w:sz="0" w:space="0" w:color="auto"/>
      </w:divBdr>
    </w:div>
    <w:div w:id="735013338">
      <w:bodyDiv w:val="1"/>
      <w:marLeft w:val="0"/>
      <w:marRight w:val="0"/>
      <w:marTop w:val="0"/>
      <w:marBottom w:val="0"/>
      <w:divBdr>
        <w:top w:val="none" w:sz="0" w:space="0" w:color="auto"/>
        <w:left w:val="none" w:sz="0" w:space="0" w:color="auto"/>
        <w:bottom w:val="none" w:sz="0" w:space="0" w:color="auto"/>
        <w:right w:val="none" w:sz="0" w:space="0" w:color="auto"/>
      </w:divBdr>
    </w:div>
    <w:div w:id="757681288">
      <w:bodyDiv w:val="1"/>
      <w:marLeft w:val="0"/>
      <w:marRight w:val="0"/>
      <w:marTop w:val="0"/>
      <w:marBottom w:val="0"/>
      <w:divBdr>
        <w:top w:val="none" w:sz="0" w:space="0" w:color="auto"/>
        <w:left w:val="none" w:sz="0" w:space="0" w:color="auto"/>
        <w:bottom w:val="none" w:sz="0" w:space="0" w:color="auto"/>
        <w:right w:val="none" w:sz="0" w:space="0" w:color="auto"/>
      </w:divBdr>
    </w:div>
    <w:div w:id="963080731">
      <w:bodyDiv w:val="1"/>
      <w:marLeft w:val="0"/>
      <w:marRight w:val="0"/>
      <w:marTop w:val="0"/>
      <w:marBottom w:val="0"/>
      <w:divBdr>
        <w:top w:val="none" w:sz="0" w:space="0" w:color="auto"/>
        <w:left w:val="none" w:sz="0" w:space="0" w:color="auto"/>
        <w:bottom w:val="none" w:sz="0" w:space="0" w:color="auto"/>
        <w:right w:val="none" w:sz="0" w:space="0" w:color="auto"/>
      </w:divBdr>
    </w:div>
    <w:div w:id="983506185">
      <w:bodyDiv w:val="1"/>
      <w:marLeft w:val="0"/>
      <w:marRight w:val="0"/>
      <w:marTop w:val="0"/>
      <w:marBottom w:val="0"/>
      <w:divBdr>
        <w:top w:val="none" w:sz="0" w:space="0" w:color="auto"/>
        <w:left w:val="none" w:sz="0" w:space="0" w:color="auto"/>
        <w:bottom w:val="none" w:sz="0" w:space="0" w:color="auto"/>
        <w:right w:val="none" w:sz="0" w:space="0" w:color="auto"/>
      </w:divBdr>
    </w:div>
    <w:div w:id="1115516983">
      <w:bodyDiv w:val="1"/>
      <w:marLeft w:val="0"/>
      <w:marRight w:val="0"/>
      <w:marTop w:val="0"/>
      <w:marBottom w:val="0"/>
      <w:divBdr>
        <w:top w:val="none" w:sz="0" w:space="0" w:color="auto"/>
        <w:left w:val="none" w:sz="0" w:space="0" w:color="auto"/>
        <w:bottom w:val="none" w:sz="0" w:space="0" w:color="auto"/>
        <w:right w:val="none" w:sz="0" w:space="0" w:color="auto"/>
      </w:divBdr>
    </w:div>
    <w:div w:id="1372069597">
      <w:bodyDiv w:val="1"/>
      <w:marLeft w:val="0"/>
      <w:marRight w:val="0"/>
      <w:marTop w:val="0"/>
      <w:marBottom w:val="0"/>
      <w:divBdr>
        <w:top w:val="none" w:sz="0" w:space="0" w:color="auto"/>
        <w:left w:val="none" w:sz="0" w:space="0" w:color="auto"/>
        <w:bottom w:val="none" w:sz="0" w:space="0" w:color="auto"/>
        <w:right w:val="none" w:sz="0" w:space="0" w:color="auto"/>
      </w:divBdr>
    </w:div>
    <w:div w:id="1513884517">
      <w:bodyDiv w:val="1"/>
      <w:marLeft w:val="0"/>
      <w:marRight w:val="0"/>
      <w:marTop w:val="0"/>
      <w:marBottom w:val="0"/>
      <w:divBdr>
        <w:top w:val="none" w:sz="0" w:space="0" w:color="auto"/>
        <w:left w:val="none" w:sz="0" w:space="0" w:color="auto"/>
        <w:bottom w:val="none" w:sz="0" w:space="0" w:color="auto"/>
        <w:right w:val="none" w:sz="0" w:space="0" w:color="auto"/>
      </w:divBdr>
    </w:div>
    <w:div w:id="1561597137">
      <w:bodyDiv w:val="1"/>
      <w:marLeft w:val="0"/>
      <w:marRight w:val="0"/>
      <w:marTop w:val="0"/>
      <w:marBottom w:val="0"/>
      <w:divBdr>
        <w:top w:val="none" w:sz="0" w:space="0" w:color="auto"/>
        <w:left w:val="none" w:sz="0" w:space="0" w:color="auto"/>
        <w:bottom w:val="none" w:sz="0" w:space="0" w:color="auto"/>
        <w:right w:val="none" w:sz="0" w:space="0" w:color="auto"/>
      </w:divBdr>
    </w:div>
    <w:div w:id="1582449593">
      <w:bodyDiv w:val="1"/>
      <w:marLeft w:val="0"/>
      <w:marRight w:val="0"/>
      <w:marTop w:val="0"/>
      <w:marBottom w:val="0"/>
      <w:divBdr>
        <w:top w:val="none" w:sz="0" w:space="0" w:color="auto"/>
        <w:left w:val="none" w:sz="0" w:space="0" w:color="auto"/>
        <w:bottom w:val="none" w:sz="0" w:space="0" w:color="auto"/>
        <w:right w:val="none" w:sz="0" w:space="0" w:color="auto"/>
      </w:divBdr>
    </w:div>
    <w:div w:id="1584071148">
      <w:bodyDiv w:val="1"/>
      <w:marLeft w:val="0"/>
      <w:marRight w:val="0"/>
      <w:marTop w:val="0"/>
      <w:marBottom w:val="0"/>
      <w:divBdr>
        <w:top w:val="none" w:sz="0" w:space="0" w:color="auto"/>
        <w:left w:val="none" w:sz="0" w:space="0" w:color="auto"/>
        <w:bottom w:val="none" w:sz="0" w:space="0" w:color="auto"/>
        <w:right w:val="none" w:sz="0" w:space="0" w:color="auto"/>
      </w:divBdr>
    </w:div>
    <w:div w:id="1773554658">
      <w:bodyDiv w:val="1"/>
      <w:marLeft w:val="0"/>
      <w:marRight w:val="0"/>
      <w:marTop w:val="0"/>
      <w:marBottom w:val="0"/>
      <w:divBdr>
        <w:top w:val="none" w:sz="0" w:space="0" w:color="auto"/>
        <w:left w:val="none" w:sz="0" w:space="0" w:color="auto"/>
        <w:bottom w:val="none" w:sz="0" w:space="0" w:color="auto"/>
        <w:right w:val="none" w:sz="0" w:space="0" w:color="auto"/>
      </w:divBdr>
    </w:div>
    <w:div w:id="1778480057">
      <w:bodyDiv w:val="1"/>
      <w:marLeft w:val="0"/>
      <w:marRight w:val="0"/>
      <w:marTop w:val="0"/>
      <w:marBottom w:val="0"/>
      <w:divBdr>
        <w:top w:val="none" w:sz="0" w:space="0" w:color="auto"/>
        <w:left w:val="none" w:sz="0" w:space="0" w:color="auto"/>
        <w:bottom w:val="none" w:sz="0" w:space="0" w:color="auto"/>
        <w:right w:val="none" w:sz="0" w:space="0" w:color="auto"/>
      </w:divBdr>
    </w:div>
    <w:div w:id="1794900307">
      <w:bodyDiv w:val="1"/>
      <w:marLeft w:val="0"/>
      <w:marRight w:val="0"/>
      <w:marTop w:val="0"/>
      <w:marBottom w:val="0"/>
      <w:divBdr>
        <w:top w:val="none" w:sz="0" w:space="0" w:color="auto"/>
        <w:left w:val="none" w:sz="0" w:space="0" w:color="auto"/>
        <w:bottom w:val="none" w:sz="0" w:space="0" w:color="auto"/>
        <w:right w:val="none" w:sz="0" w:space="0" w:color="auto"/>
      </w:divBdr>
    </w:div>
    <w:div w:id="1807578302">
      <w:bodyDiv w:val="1"/>
      <w:marLeft w:val="0"/>
      <w:marRight w:val="0"/>
      <w:marTop w:val="0"/>
      <w:marBottom w:val="0"/>
      <w:divBdr>
        <w:top w:val="none" w:sz="0" w:space="0" w:color="auto"/>
        <w:left w:val="none" w:sz="0" w:space="0" w:color="auto"/>
        <w:bottom w:val="none" w:sz="0" w:space="0" w:color="auto"/>
        <w:right w:val="none" w:sz="0" w:space="0" w:color="auto"/>
      </w:divBdr>
    </w:div>
    <w:div w:id="1885175082">
      <w:bodyDiv w:val="1"/>
      <w:marLeft w:val="0"/>
      <w:marRight w:val="0"/>
      <w:marTop w:val="0"/>
      <w:marBottom w:val="0"/>
      <w:divBdr>
        <w:top w:val="none" w:sz="0" w:space="0" w:color="auto"/>
        <w:left w:val="none" w:sz="0" w:space="0" w:color="auto"/>
        <w:bottom w:val="none" w:sz="0" w:space="0" w:color="auto"/>
        <w:right w:val="none" w:sz="0" w:space="0" w:color="auto"/>
      </w:divBdr>
    </w:div>
    <w:div w:id="2040618806">
      <w:bodyDiv w:val="1"/>
      <w:marLeft w:val="0"/>
      <w:marRight w:val="0"/>
      <w:marTop w:val="0"/>
      <w:marBottom w:val="0"/>
      <w:divBdr>
        <w:top w:val="none" w:sz="0" w:space="0" w:color="auto"/>
        <w:left w:val="none" w:sz="0" w:space="0" w:color="auto"/>
        <w:bottom w:val="none" w:sz="0" w:space="0" w:color="auto"/>
        <w:right w:val="none" w:sz="0" w:space="0" w:color="auto"/>
      </w:divBdr>
    </w:div>
    <w:div w:id="20784748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711</Words>
  <Characters>3568</Characters>
  <Application>Microsoft Macintosh Word</Application>
  <DocSecurity>0</DocSecurity>
  <Lines>115</Lines>
  <Paragraphs>67</Paragraphs>
  <ScaleCrop>false</ScaleCrop>
  <HeadingPairs>
    <vt:vector size="2" baseType="variant">
      <vt:variant>
        <vt:lpstr>Title</vt:lpstr>
      </vt:variant>
      <vt:variant>
        <vt:i4>1</vt:i4>
      </vt:variant>
    </vt:vector>
  </HeadingPairs>
  <TitlesOfParts>
    <vt:vector size="1" baseType="lpstr">
      <vt:lpstr>doc.: IEEE 802.11-15/1405r3</vt:lpstr>
    </vt:vector>
  </TitlesOfParts>
  <Manager/>
  <Company>Huawei Technologies</Company>
  <LinksUpToDate>false</LinksUpToDate>
  <CharactersWithSpaces>4212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802.11-15/1405r2</dc:title>
  <dc:subject>Submission</dc:subject>
  <dc:creator>Donald Eastlake</dc:creator>
  <cp:keywords>November 2015</cp:keywords>
  <dc:description>Donald Eastlake, Huawei Technologies</dc:description>
  <cp:lastModifiedBy>Donald Eastlake</cp:lastModifiedBy>
  <cp:revision>3</cp:revision>
  <cp:lastPrinted>1901-01-01T05:00:00Z</cp:lastPrinted>
  <dcterms:created xsi:type="dcterms:W3CDTF">2015-11-12T17:23:00Z</dcterms:created>
  <dcterms:modified xsi:type="dcterms:W3CDTF">2015-11-12T17:23:00Z</dcterms:modified>
  <cp:category/>
</cp:coreProperties>
</file>