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4"/>
        <w:gridCol w:w="18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524C" w:rsidP="004D2FFA">
            <w:pPr>
              <w:pStyle w:val="T2"/>
            </w:pPr>
            <w:r>
              <w:t>LB1000</w:t>
            </w:r>
            <w:r w:rsidR="0003359A">
              <w:t xml:space="preserve">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</w:t>
            </w:r>
            <w:r w:rsidR="00D55A81">
              <w:t xml:space="preserve">PHY </w:t>
            </w:r>
            <w:r w:rsidR="004D2FFA">
              <w:t>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A7ADC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1A7ADC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B25854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FD570A">
        <w:trPr>
          <w:jc w:val="center"/>
        </w:trPr>
        <w:tc>
          <w:tcPr>
            <w:tcW w:w="1336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8E5D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</w:t>
            </w:r>
          </w:p>
        </w:tc>
        <w:tc>
          <w:tcPr>
            <w:tcW w:w="15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3359A">
                            <w:pPr>
                              <w:jc w:val="both"/>
                            </w:pPr>
                            <w:r>
                              <w:t xml:space="preserve">This document proposes a resolution for </w:t>
                            </w:r>
                            <w:r w:rsidR="004D2FFA">
                              <w:t xml:space="preserve">the following </w:t>
                            </w:r>
                            <w:r>
                              <w:t>CID</w:t>
                            </w:r>
                            <w:r w:rsidR="004D2FFA">
                              <w:t>s:</w:t>
                            </w:r>
                            <w:r>
                              <w:t xml:space="preserve"> </w:t>
                            </w:r>
                            <w:r w:rsidR="00051C23">
                              <w:t>62</w:t>
                            </w:r>
                            <w:r w:rsidR="005F001D">
                              <w:t>25, 6241, 6281</w:t>
                            </w:r>
                            <w:r w:rsidR="00051C23">
                              <w:t xml:space="preserve">, </w:t>
                            </w:r>
                            <w:r w:rsidR="00F47E2A">
                              <w:t xml:space="preserve">6404, </w:t>
                            </w:r>
                            <w:r w:rsidR="00051C23">
                              <w:t>6409, and 6423</w:t>
                            </w:r>
                            <w:r w:rsidR="00607FF6">
                              <w:t>.</w:t>
                            </w:r>
                            <w:r w:rsidR="00262552">
                              <w:t xml:space="preserve"> The pr</w:t>
                            </w:r>
                            <w:r w:rsidR="001A7ADC">
                              <w:t>oposed resolution is based on D4</w:t>
                            </w:r>
                            <w:r w:rsidR="00262552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3359A">
                      <w:pPr>
                        <w:jc w:val="both"/>
                      </w:pPr>
                      <w:r>
                        <w:t xml:space="preserve">This document proposes a resolution for </w:t>
                      </w:r>
                      <w:r w:rsidR="004D2FFA">
                        <w:t xml:space="preserve">the following </w:t>
                      </w:r>
                      <w:r>
                        <w:t>CID</w:t>
                      </w:r>
                      <w:r w:rsidR="004D2FFA">
                        <w:t>s:</w:t>
                      </w:r>
                      <w:r>
                        <w:t xml:space="preserve"> </w:t>
                      </w:r>
                      <w:r w:rsidR="00051C23">
                        <w:t>62</w:t>
                      </w:r>
                      <w:r w:rsidR="005F001D">
                        <w:t>25, 6241, 6281</w:t>
                      </w:r>
                      <w:r w:rsidR="00051C23">
                        <w:t xml:space="preserve">, </w:t>
                      </w:r>
                      <w:r w:rsidR="00F47E2A">
                        <w:t xml:space="preserve">6404, </w:t>
                      </w:r>
                      <w:r w:rsidR="00051C23">
                        <w:t>6409, and 6423</w:t>
                      </w:r>
                      <w:r w:rsidR="00607FF6">
                        <w:t>.</w:t>
                      </w:r>
                      <w:r w:rsidR="00262552">
                        <w:t xml:space="preserve"> The pr</w:t>
                      </w:r>
                      <w:r w:rsidR="001A7ADC">
                        <w:t>oposed resolution is based on D4</w:t>
                      </w:r>
                      <w:r w:rsidR="00262552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1A7ADC" w:rsidRPr="001A7ADC" w:rsidRDefault="004D2FFA" w:rsidP="00607FF6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</w:t>
      </w:r>
      <w:r w:rsidR="003937B1">
        <w:rPr>
          <w:sz w:val="24"/>
        </w:rPr>
        <w:t xml:space="preserve">Comment                      </w:t>
      </w:r>
      <w:r>
        <w:rPr>
          <w:sz w:val="24"/>
        </w:rPr>
        <w:t>Proposed Change              Resol</w:t>
      </w:r>
      <w:r w:rsidR="0071246A">
        <w:rPr>
          <w:sz w:val="24"/>
        </w:rPr>
        <w:t>ution</w:t>
      </w:r>
    </w:p>
    <w:p w:rsidR="001A7ADC" w:rsidRDefault="001A7ADC" w:rsidP="00607FF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FF6" w:rsidRDefault="00607FF6" w:rsidP="00607FF6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06"/>
        <w:gridCol w:w="810"/>
        <w:gridCol w:w="660"/>
        <w:gridCol w:w="2049"/>
        <w:gridCol w:w="3289"/>
        <w:gridCol w:w="2081"/>
      </w:tblGrid>
      <w:tr w:rsidR="001A7ADC" w:rsidRPr="00D51277" w:rsidTr="001A7ADC">
        <w:trPr>
          <w:trHeight w:val="2805"/>
        </w:trPr>
        <w:tc>
          <w:tcPr>
            <w:tcW w:w="656" w:type="dxa"/>
            <w:hideMark/>
          </w:tcPr>
          <w:p w:rsidR="001A7ADC" w:rsidRDefault="001A7A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6225</w:t>
            </w:r>
          </w:p>
        </w:tc>
        <w:tc>
          <w:tcPr>
            <w:tcW w:w="93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21.4.3.3.3</w:t>
            </w:r>
          </w:p>
        </w:tc>
        <w:tc>
          <w:tcPr>
            <w:tcW w:w="88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2413</w:t>
            </w:r>
          </w:p>
        </w:tc>
        <w:tc>
          <w:tcPr>
            <w:tcW w:w="764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89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exposition is unclear and the example is poor (makes the middle and last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same size)</w:t>
            </w:r>
          </w:p>
        </w:tc>
        <w:tc>
          <w:tcPr>
            <w:tcW w:w="2465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exposition to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1) LCWD=128 is the maximal number of data bits in each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LHDR=5 is the length of the header (including HCS) in octets. LFDCW=6 is the length of the additional data in the first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octets.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2) The total (header and additional data) number of bits in the first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LDPFCW</w:t>
            </w:r>
            <w:proofErr w:type="gramStart"/>
            <w:r>
              <w:rPr>
                <w:rFonts w:ascii="Arial" w:hAnsi="Arial" w:cs="Arial"/>
                <w:sz w:val="20"/>
              </w:rPr>
              <w:t>=(</w:t>
            </w:r>
            <w:proofErr w:type="gramEnd"/>
            <w:r>
              <w:rPr>
                <w:rFonts w:ascii="Arial" w:hAnsi="Arial" w:cs="Arial"/>
                <w:sz w:val="20"/>
              </w:rPr>
              <w:t>LHDR+LFDCW)x8=88.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3) The number of LDPC </w:t>
            </w:r>
            <w:proofErr w:type="spellStart"/>
            <w:r>
              <w:rPr>
                <w:rFonts w:ascii="Arial" w:hAnsi="Arial" w:cs="Arial"/>
                <w:sz w:val="20"/>
              </w:rPr>
              <w:t>codewords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4) The number of bits in the second and any subsequent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(if present), except the last, is LDPCW=&lt;blah&gt;.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5) The number of bits in the last LDPC </w:t>
            </w:r>
            <w:proofErr w:type="spellStart"/>
            <w:r>
              <w:rPr>
                <w:rFonts w:ascii="Arial" w:hAnsi="Arial" w:cs="Arial"/>
                <w:sz w:val="20"/>
              </w:rPr>
              <w:t>codeword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LDPLCW=&lt;blah&gt;.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</w:rPr>
              <w:br/>
              <w:t>Change the example to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NOTE---For example, if Length = 128, then NCW=&lt;blah&gt;=7, LDPCW=163 and LDPLCW=161. In the first LDPC block the 88 bits of LDPFCW consist of 40 </w:t>
            </w:r>
            <w:proofErr w:type="spellStart"/>
            <w:r>
              <w:rPr>
                <w:rFonts w:ascii="Arial" w:hAnsi="Arial" w:cs="Arial"/>
                <w:sz w:val="20"/>
              </w:rPr>
              <w:t>header+HCS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bits along with 48 bits of data.</w:t>
            </w:r>
          </w:p>
        </w:tc>
        <w:tc>
          <w:tcPr>
            <w:tcW w:w="2470" w:type="dxa"/>
            <w:hideMark/>
          </w:tcPr>
          <w:p w:rsidR="001A7ADC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Revise. </w:t>
            </w: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the proposed resolution </w:t>
            </w:r>
            <w:proofErr w:type="spellStart"/>
            <w:r>
              <w:rPr>
                <w:rFonts w:ascii="Arial" w:hAnsi="Arial" w:cs="Arial"/>
                <w:sz w:val="20"/>
              </w:rPr>
              <w:t>wit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following change: </w:t>
            </w: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</w:p>
          <w:p w:rsidR="009358A0" w:rsidRDefault="009358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“1) LCWD=</w:t>
            </w:r>
            <w:r w:rsidRPr="009358A0">
              <w:rPr>
                <w:rFonts w:ascii="Arial" w:hAnsi="Arial" w:cs="Arial"/>
                <w:strike/>
                <w:sz w:val="20"/>
              </w:rPr>
              <w:t>128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58A0">
              <w:rPr>
                <w:rFonts w:ascii="Arial" w:hAnsi="Arial" w:cs="Arial"/>
                <w:sz w:val="20"/>
                <w:u w:val="single"/>
              </w:rPr>
              <w:t>16</w:t>
            </w:r>
            <w:r>
              <w:rPr>
                <w:rFonts w:ascii="Arial" w:hAnsi="Arial" w:cs="Arial"/>
                <w:sz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 is the maximal number of data bits in each LDPC …..</w:t>
            </w:r>
          </w:p>
          <w:p w:rsidR="00BF02C0" w:rsidRDefault="00BF02C0">
            <w:pPr>
              <w:rPr>
                <w:rFonts w:ascii="Arial" w:hAnsi="Arial" w:cs="Arial"/>
                <w:sz w:val="20"/>
              </w:rPr>
            </w:pPr>
          </w:p>
          <w:p w:rsidR="00BF02C0" w:rsidRDefault="00BF02C0">
            <w:pPr>
              <w:rPr>
                <w:rFonts w:ascii="Arial" w:hAnsi="Arial" w:cs="Arial"/>
                <w:sz w:val="20"/>
              </w:rPr>
            </w:pP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939"/>
        <w:gridCol w:w="878"/>
        <w:gridCol w:w="759"/>
        <w:gridCol w:w="2411"/>
        <w:gridCol w:w="2504"/>
        <w:gridCol w:w="2503"/>
      </w:tblGrid>
      <w:tr w:rsidR="001A7ADC" w:rsidRPr="00D51277" w:rsidTr="001A7ADC">
        <w:trPr>
          <w:trHeight w:val="1275"/>
        </w:trPr>
        <w:tc>
          <w:tcPr>
            <w:tcW w:w="656" w:type="dxa"/>
            <w:hideMark/>
          </w:tcPr>
          <w:p w:rsidR="001A7ADC" w:rsidRDefault="001A7A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6241</w:t>
            </w:r>
          </w:p>
        </w:tc>
        <w:tc>
          <w:tcPr>
            <w:tcW w:w="931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18.3.5.7</w:t>
            </w:r>
          </w:p>
        </w:tc>
        <w:tc>
          <w:tcPr>
            <w:tcW w:w="879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2247</w:t>
            </w:r>
          </w:p>
        </w:tc>
        <w:tc>
          <w:tcPr>
            <w:tcW w:w="760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414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Equation (18-16) for j in the second permutation for data interleaving, the closing parenthesis should be moved from immediately after the "mod s" to immediately before, matching Equation (22-78)</w:t>
            </w:r>
          </w:p>
        </w:tc>
        <w:tc>
          <w:tcPr>
            <w:tcW w:w="2508" w:type="dxa"/>
            <w:hideMark/>
          </w:tcPr>
          <w:p w:rsidR="001A7ADC" w:rsidRDefault="001A7A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508" w:type="dxa"/>
            <w:hideMark/>
          </w:tcPr>
          <w:p w:rsidR="001A7ADC" w:rsidRDefault="00BF0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06"/>
        <w:gridCol w:w="869"/>
        <w:gridCol w:w="726"/>
        <w:gridCol w:w="2405"/>
        <w:gridCol w:w="2366"/>
        <w:gridCol w:w="2423"/>
      </w:tblGrid>
      <w:tr w:rsidR="00051C23" w:rsidRPr="00D51277" w:rsidTr="00051C23">
        <w:trPr>
          <w:trHeight w:val="1275"/>
        </w:trPr>
        <w:tc>
          <w:tcPr>
            <w:tcW w:w="656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6281</w:t>
            </w:r>
          </w:p>
        </w:tc>
        <w:tc>
          <w:tcPr>
            <w:tcW w:w="120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18.3.12</w:t>
            </w:r>
          </w:p>
        </w:tc>
        <w:tc>
          <w:tcPr>
            <w:tcW w:w="869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2269</w:t>
            </w:r>
          </w:p>
        </w:tc>
        <w:tc>
          <w:tcPr>
            <w:tcW w:w="72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40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says "Once the SIGNAL is detected, without any errors detected by a single parity (even), FEC decode shall be initiated and the PHY SERVICE fields and data shall be received, decoded (a Viterbi decoder is recommended), and checked by ITU-T CRC-32. If the FCS by the ITU-T CRC-32 check fails, the PHY receiver shall return to the RX IDLE state, as depicted in Figure 18-19 (Receive PHY)." but ITU CRC-32 is not defined or referenced.  Is any of this blurb necessary anyway (it's not in any other PHY)?</w:t>
            </w:r>
          </w:p>
        </w:tc>
        <w:tc>
          <w:tcPr>
            <w:tcW w:w="2368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text</w:t>
            </w:r>
          </w:p>
        </w:tc>
        <w:tc>
          <w:tcPr>
            <w:tcW w:w="2425" w:type="dxa"/>
            <w:hideMark/>
          </w:tcPr>
          <w:p w:rsidR="00051C23" w:rsidRDefault="005A76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Accept. Delete the text. </w:t>
            </w:r>
          </w:p>
        </w:tc>
      </w:tr>
    </w:tbl>
    <w:p w:rsidR="00D51277" w:rsidRDefault="00D51277"/>
    <w:p w:rsidR="00F47E2A" w:rsidRDefault="00F47E2A" w:rsidP="00F47E2A"/>
    <w:p w:rsidR="00F47E2A" w:rsidRDefault="00F47E2A" w:rsidP="00F47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106"/>
        <w:gridCol w:w="859"/>
        <w:gridCol w:w="732"/>
        <w:gridCol w:w="2447"/>
        <w:gridCol w:w="2447"/>
        <w:gridCol w:w="2403"/>
      </w:tblGrid>
      <w:tr w:rsidR="00F47E2A" w:rsidRPr="00D51277" w:rsidTr="00FA011A">
        <w:trPr>
          <w:trHeight w:val="1785"/>
        </w:trPr>
        <w:tc>
          <w:tcPr>
            <w:tcW w:w="661" w:type="dxa"/>
            <w:hideMark/>
          </w:tcPr>
          <w:p w:rsidR="00F47E2A" w:rsidRDefault="00F47E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6304</w:t>
            </w:r>
          </w:p>
        </w:tc>
        <w:tc>
          <w:tcPr>
            <w:tcW w:w="1096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7.3.5.10.4</w:t>
            </w:r>
          </w:p>
        </w:tc>
        <w:tc>
          <w:tcPr>
            <w:tcW w:w="860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733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451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"reset the PHY CS/CCA timers" -- what PHY CS/CCA timers</w:t>
            </w:r>
          </w:p>
        </w:tc>
        <w:tc>
          <w:tcPr>
            <w:tcW w:w="2451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explicitly to the timers being reset</w:t>
            </w:r>
          </w:p>
        </w:tc>
        <w:tc>
          <w:tcPr>
            <w:tcW w:w="2404" w:type="dxa"/>
            <w:hideMark/>
          </w:tcPr>
          <w:p w:rsidR="00F47E2A" w:rsidRDefault="00F47E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Revise. </w:t>
            </w:r>
          </w:p>
          <w:p w:rsidR="00F47E2A" w:rsidRDefault="00F47E2A">
            <w:pPr>
              <w:rPr>
                <w:rFonts w:ascii="Arial" w:hAnsi="Arial" w:cs="Arial"/>
                <w:sz w:val="20"/>
              </w:rPr>
            </w:pP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  <w:r w:rsidRPr="00F47E2A">
              <w:rPr>
                <w:rFonts w:ascii="Arial" w:hAnsi="Arial" w:cs="Arial"/>
                <w:sz w:val="20"/>
                <w:lang w:val="en-US"/>
              </w:rPr>
              <w:t xml:space="preserve">Change: </w:t>
            </w:r>
            <w:r>
              <w:rPr>
                <w:rFonts w:ascii="Arial" w:hAnsi="Arial" w:cs="Arial"/>
                <w:sz w:val="20"/>
                <w:lang w:val="en-US"/>
              </w:rPr>
              <w:t>“</w:t>
            </w:r>
            <w:r w:rsidRPr="00F47E2A">
              <w:rPr>
                <w:rFonts w:ascii="Arial" w:hAnsi="Arial" w:cs="Arial"/>
                <w:sz w:val="20"/>
                <w:lang w:val="en-US"/>
              </w:rPr>
              <w:t>The effect of receipt of this primitive by the PHY entity is to reset the PHY CS/CCA timers to the state appropriate for the end of a received frame and to initiate a new CCA evaluation cycle.</w:t>
            </w:r>
            <w:r>
              <w:rPr>
                <w:rFonts w:ascii="Arial" w:hAnsi="Arial" w:cs="Arial"/>
                <w:sz w:val="20"/>
                <w:lang w:val="en-US"/>
              </w:rPr>
              <w:t>”</w:t>
            </w:r>
          </w:p>
          <w:p w:rsidR="00F47E2A" w:rsidRP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  <w:r w:rsidRPr="00F47E2A">
              <w:rPr>
                <w:rFonts w:ascii="Arial" w:hAnsi="Arial" w:cs="Arial"/>
                <w:sz w:val="20"/>
                <w:lang w:val="en-US"/>
              </w:rPr>
              <w:t xml:space="preserve">To: </w:t>
            </w:r>
            <w:r>
              <w:rPr>
                <w:rFonts w:ascii="Arial" w:hAnsi="Arial" w:cs="Arial"/>
                <w:sz w:val="20"/>
                <w:lang w:val="en-US"/>
              </w:rPr>
              <w:t>“</w:t>
            </w:r>
            <w:r w:rsidRPr="00F47E2A">
              <w:rPr>
                <w:rFonts w:ascii="Arial" w:hAnsi="Arial" w:cs="Arial"/>
                <w:sz w:val="20"/>
                <w:lang w:val="en-US"/>
              </w:rPr>
              <w:t>The effect of receipt of this primitive by the PHY entity is to reset the PHY CCA mechanism to IDLE, to issue PHY-</w:t>
            </w:r>
            <w:proofErr w:type="spellStart"/>
            <w:r w:rsidRPr="00F47E2A">
              <w:rPr>
                <w:rFonts w:ascii="Arial" w:hAnsi="Arial" w:cs="Arial"/>
                <w:sz w:val="20"/>
                <w:lang w:val="en-US"/>
              </w:rPr>
              <w:t>CCA.indication</w:t>
            </w:r>
            <w:proofErr w:type="spellEnd"/>
            <w:r w:rsidRPr="00F47E2A">
              <w:rPr>
                <w:rFonts w:ascii="Arial" w:hAnsi="Arial" w:cs="Arial"/>
                <w:sz w:val="20"/>
                <w:lang w:val="en-US"/>
              </w:rPr>
              <w:t>(IDLE) and to initiate a new CCA evaluation cycle.</w:t>
            </w:r>
            <w:r>
              <w:rPr>
                <w:rFonts w:ascii="Arial" w:hAnsi="Arial" w:cs="Arial"/>
                <w:sz w:val="20"/>
                <w:lang w:val="en-US"/>
              </w:rPr>
              <w:t>”</w:t>
            </w:r>
          </w:p>
          <w:p w:rsidR="00F47E2A" w:rsidRDefault="00F47E2A" w:rsidP="00F47E2A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F47E2A" w:rsidRPr="00F47E2A" w:rsidRDefault="004E14BE" w:rsidP="00F47E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11-15-1424-01</w:t>
            </w:r>
            <w:r w:rsidR="00F47E2A">
              <w:rPr>
                <w:rFonts w:ascii="Arial" w:hAnsi="Arial" w:cs="Arial"/>
                <w:sz w:val="20"/>
                <w:lang w:val="en-US"/>
              </w:rPr>
              <w:t xml:space="preserve"> for discussion.</w:t>
            </w:r>
          </w:p>
          <w:p w:rsidR="00F47E2A" w:rsidRDefault="00F47E2A">
            <w:pPr>
              <w:rPr>
                <w:rFonts w:ascii="Arial" w:hAnsi="Arial" w:cs="Arial"/>
                <w:sz w:val="20"/>
              </w:rPr>
            </w:pPr>
          </w:p>
        </w:tc>
      </w:tr>
    </w:tbl>
    <w:p w:rsidR="00F47E2A" w:rsidRDefault="00F47E2A" w:rsidP="00F47E2A"/>
    <w:p w:rsidR="00051C23" w:rsidRDefault="00051C23"/>
    <w:p w:rsidR="00051C23" w:rsidRDefault="00051C23" w:rsidP="00051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096"/>
        <w:gridCol w:w="860"/>
        <w:gridCol w:w="733"/>
        <w:gridCol w:w="2451"/>
        <w:gridCol w:w="2451"/>
        <w:gridCol w:w="2404"/>
      </w:tblGrid>
      <w:tr w:rsidR="00051C23" w:rsidRPr="00D51277" w:rsidTr="00051C23">
        <w:trPr>
          <w:trHeight w:val="1785"/>
        </w:trPr>
        <w:tc>
          <w:tcPr>
            <w:tcW w:w="661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6409</w:t>
            </w:r>
          </w:p>
        </w:tc>
        <w:tc>
          <w:tcPr>
            <w:tcW w:w="109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various PHYs have various energy detect thresholds, even for the same PPDU formats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Align the thresholds for various PHYs (or at least make it clear which threshold is to be used when a PHY includes the waveforms of an earlier PHY, at least for things like preamble detect)</w:t>
            </w:r>
          </w:p>
        </w:tc>
        <w:tc>
          <w:tcPr>
            <w:tcW w:w="2404" w:type="dxa"/>
            <w:hideMark/>
          </w:tcPr>
          <w:p w:rsidR="00051C23" w:rsidRDefault="005A76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Reject. Reason for rejection: In each PHY ED levels are clearly specified. Those ED levels should be used for corresponding PPDUs. </w:t>
            </w:r>
          </w:p>
        </w:tc>
      </w:tr>
    </w:tbl>
    <w:p w:rsidR="00051C23" w:rsidRDefault="00051C23" w:rsidP="00051C23"/>
    <w:p w:rsidR="00051C23" w:rsidRDefault="00051C23"/>
    <w:p w:rsidR="00051C23" w:rsidRDefault="00051C23" w:rsidP="00051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096"/>
        <w:gridCol w:w="860"/>
        <w:gridCol w:w="733"/>
        <w:gridCol w:w="2451"/>
        <w:gridCol w:w="2451"/>
        <w:gridCol w:w="2404"/>
      </w:tblGrid>
      <w:tr w:rsidR="00051C23" w:rsidRPr="00D51277" w:rsidTr="00051C23">
        <w:trPr>
          <w:trHeight w:val="1785"/>
        </w:trPr>
        <w:tc>
          <w:tcPr>
            <w:tcW w:w="661" w:type="dxa"/>
            <w:hideMark/>
          </w:tcPr>
          <w:p w:rsidR="00051C23" w:rsidRDefault="00051C2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6423</w:t>
            </w:r>
          </w:p>
        </w:tc>
        <w:tc>
          <w:tcPr>
            <w:tcW w:w="1096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16.4.5.5</w:t>
            </w:r>
          </w:p>
        </w:tc>
        <w:tc>
          <w:tcPr>
            <w:tcW w:w="860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2191</w:t>
            </w:r>
          </w:p>
        </w:tc>
        <w:tc>
          <w:tcPr>
            <w:tcW w:w="733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"B90/2pi"?  Any is it formatted correctly?</w:t>
            </w:r>
          </w:p>
        </w:tc>
        <w:tc>
          <w:tcPr>
            <w:tcW w:w="2451" w:type="dxa"/>
            <w:hideMark/>
          </w:tcPr>
          <w:p w:rsidR="00051C23" w:rsidRDefault="00051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Clarify, and change the pi to a symbol; should the 90 be superscript or something?</w:t>
            </w:r>
          </w:p>
        </w:tc>
        <w:tc>
          <w:tcPr>
            <w:tcW w:w="2404" w:type="dxa"/>
            <w:hideMark/>
          </w:tcPr>
          <w:p w:rsidR="00D55A81" w:rsidRPr="00D55A81" w:rsidRDefault="00D55A81" w:rsidP="00D55A81">
            <w:pPr>
              <w:rPr>
                <w:rFonts w:ascii="Helvetica" w:hAnsi="Helvetica" w:cs="Helvetica"/>
                <w:sz w:val="20"/>
              </w:rPr>
            </w:pPr>
            <w:r w:rsidRPr="00D55A81">
              <w:rPr>
                <w:rFonts w:ascii="Helvetica" w:hAnsi="Helvetica" w:cs="Helvetica"/>
                <w:sz w:val="20"/>
              </w:rPr>
              <w:t>Revise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</w:rPr>
            </w:pP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D55A81">
              <w:rPr>
                <w:rFonts w:ascii="Helvetica" w:hAnsi="Helvetica" w:cs="Helvetica"/>
                <w:sz w:val="20"/>
              </w:rPr>
              <w:t>Change: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</w:p>
          <w:p w:rsidR="00D55A81" w:rsidRPr="00D55A81" w:rsidRDefault="00D55A81" w:rsidP="00D55A8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color w:val="000000"/>
                <w:sz w:val="20"/>
              </w:rPr>
              <w:t>“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t>Channel 14 is unique. The Japanese standard ARIB RCR-STD 33 (5.0) [B7] states that B90/2pi normalized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  <w:proofErr w:type="gramStart"/>
            <w:r w:rsidRPr="00D55A81">
              <w:rPr>
                <w:rFonts w:ascii="Helvetica" w:hAnsi="Helvetica" w:cs="Helvetica"/>
                <w:sz w:val="20"/>
                <w:lang w:val="en-US"/>
              </w:rPr>
              <w:t>to</w:t>
            </w:r>
            <w:proofErr w:type="gramEnd"/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 the ‘transmission speed of modulation signal’ shall be &gt; 10.” 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To: 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sz w:val="20"/>
                <w:lang w:val="en-US"/>
              </w:rPr>
            </w:pPr>
          </w:p>
          <w:p w:rsidR="00D55A81" w:rsidRPr="00D55A81" w:rsidRDefault="00D55A81" w:rsidP="00D55A81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lang w:val="en-US"/>
              </w:rPr>
            </w:pPr>
            <w:r w:rsidRPr="00D55A81">
              <w:rPr>
                <w:rFonts w:ascii="Helvetica" w:hAnsi="Helvetica" w:cs="Helvetica"/>
                <w:sz w:val="20"/>
                <w:lang w:val="en-US"/>
              </w:rPr>
              <w:t>“Channel 14 is unique. The Japanese standard ARIB RCR-STD 33 (5.0) [B7] states that B90/2pi normalized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  <w:proofErr w:type="gramStart"/>
            <w:r w:rsidRPr="00D55A81">
              <w:rPr>
                <w:rFonts w:ascii="Helvetica" w:hAnsi="Helvetica" w:cs="Helvetica"/>
                <w:sz w:val="20"/>
                <w:lang w:val="en-US"/>
              </w:rPr>
              <w:t>to</w:t>
            </w:r>
            <w:proofErr w:type="gramEnd"/>
            <w:r w:rsidRPr="00D55A81">
              <w:rPr>
                <w:rFonts w:ascii="Helvetica" w:hAnsi="Helvetica" w:cs="Helvetica"/>
                <w:sz w:val="20"/>
                <w:lang w:val="en-US"/>
              </w:rPr>
              <w:t xml:space="preserve"> the ‘transmission 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lastRenderedPageBreak/>
              <w:t xml:space="preserve">speed of modulation signal’ shall be &gt; 10, </w:t>
            </w:r>
            <w:r w:rsidRPr="00D55A81">
              <w:rPr>
                <w:rFonts w:ascii="Helvetica" w:hAnsi="Helvetica" w:cs="Helvetica"/>
                <w:color w:val="000000"/>
                <w:sz w:val="20"/>
                <w:u w:val="single"/>
              </w:rPr>
              <w:t>where B90 is the 90% occupied</w:t>
            </w:r>
            <w:r w:rsidR="004B07AE">
              <w:rPr>
                <w:rFonts w:ascii="Helvetica" w:hAnsi="Helvetica" w:cs="Helvetica"/>
                <w:color w:val="000000"/>
                <w:sz w:val="20"/>
                <w:u w:val="single"/>
              </w:rPr>
              <w:t xml:space="preserve"> channel</w:t>
            </w:r>
            <w:r w:rsidRPr="00D55A81">
              <w:rPr>
                <w:rFonts w:ascii="Helvetica" w:hAnsi="Helvetica" w:cs="Helvetica"/>
                <w:color w:val="000000"/>
                <w:sz w:val="20"/>
                <w:u w:val="single"/>
              </w:rPr>
              <w:t xml:space="preserve"> bandwidth</w:t>
            </w:r>
            <w:r w:rsidRPr="00D55A81">
              <w:rPr>
                <w:rFonts w:ascii="Helvetica" w:hAnsi="Helvetica" w:cs="Helvetica"/>
                <w:sz w:val="20"/>
                <w:lang w:val="en-US"/>
              </w:rPr>
              <w:t>.</w:t>
            </w:r>
          </w:p>
          <w:p w:rsidR="00D55A81" w:rsidRPr="00D55A81" w:rsidRDefault="00D55A81" w:rsidP="00D55A81">
            <w:pPr>
              <w:rPr>
                <w:rFonts w:ascii="Helvetica" w:hAnsi="Helvetica" w:cs="Helvetica"/>
                <w:color w:val="000000"/>
                <w:sz w:val="20"/>
              </w:rPr>
            </w:pPr>
          </w:p>
          <w:p w:rsidR="00D55A81" w:rsidRDefault="00D55A81" w:rsidP="00D55A81">
            <w:pPr>
              <w:rPr>
                <w:rFonts w:ascii="Arial" w:hAnsi="Arial" w:cs="Arial"/>
                <w:sz w:val="20"/>
              </w:rPr>
            </w:pPr>
            <w:r w:rsidRPr="00D55A81">
              <w:rPr>
                <w:rFonts w:ascii="Helvetica" w:hAnsi="Helvetica" w:cs="Helvetica"/>
                <w:color w:val="000000"/>
                <w:sz w:val="20"/>
              </w:rPr>
              <w:t>Editor – please change “pi” to symbol</w:t>
            </w:r>
            <w:r w:rsidR="003B72CA">
              <w:rPr>
                <w:rFonts w:ascii="Helvetica" w:hAnsi="Helvetica" w:cs="Helvetica"/>
                <w:color w:val="000000"/>
                <w:sz w:val="20"/>
              </w:rPr>
              <w:t xml:space="preserve"> (2 locations in the paragraph)</w:t>
            </w:r>
          </w:p>
        </w:tc>
      </w:tr>
    </w:tbl>
    <w:p w:rsidR="00051C23" w:rsidRDefault="00051C23" w:rsidP="00051C23"/>
    <w:p w:rsidR="00051C23" w:rsidRDefault="00051C23"/>
    <w:sectPr w:rsidR="00051C23" w:rsidSect="00712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54" w:rsidRDefault="00B25854">
      <w:r>
        <w:separator/>
      </w:r>
    </w:p>
  </w:endnote>
  <w:endnote w:type="continuationSeparator" w:id="0">
    <w:p w:rsidR="00B25854" w:rsidRDefault="00B2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29" w:rsidRDefault="00FD3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B258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B21A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D3F29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D2FFA">
      <w:t>Vinko Erceg</w:t>
    </w:r>
    <w:r w:rsidR="0003359A">
      <w:t>, Broadcom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29" w:rsidRDefault="00FD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54" w:rsidRDefault="00B25854">
      <w:r>
        <w:separator/>
      </w:r>
    </w:p>
  </w:footnote>
  <w:footnote w:type="continuationSeparator" w:id="0">
    <w:p w:rsidR="00B25854" w:rsidRDefault="00B2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29" w:rsidRDefault="00FD3F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74524C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1B5E8F">
      <w:t xml:space="preserve"> 2015</w:t>
    </w:r>
    <w:r w:rsidR="0029020B">
      <w:tab/>
    </w:r>
    <w:r w:rsidR="0029020B">
      <w:tab/>
    </w:r>
    <w:r w:rsidR="00B25854">
      <w:fldChar w:fldCharType="begin"/>
    </w:r>
    <w:r w:rsidR="00B25854">
      <w:instrText xml:space="preserve"> TITLE  \* MERGEFORMAT </w:instrText>
    </w:r>
    <w:r w:rsidR="00B25854">
      <w:fldChar w:fldCharType="separate"/>
    </w:r>
    <w:r w:rsidR="00704EBE">
      <w:t>doc.</w:t>
    </w:r>
    <w:r w:rsidR="00704EBE">
      <w:t>: IEEE 802.11-15</w:t>
    </w:r>
    <w:r w:rsidR="004D2FFA">
      <w:t>/</w:t>
    </w:r>
    <w:r w:rsidR="00B25854">
      <w:fldChar w:fldCharType="end"/>
    </w:r>
    <w:r w:rsidR="00FB1025">
      <w:t>1400</w:t>
    </w:r>
    <w:r w:rsidR="00FD3F29">
      <w:t>r1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29" w:rsidRDefault="00FD3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51C23"/>
    <w:rsid w:val="00083F34"/>
    <w:rsid w:val="000877BA"/>
    <w:rsid w:val="000A1C21"/>
    <w:rsid w:val="000A283D"/>
    <w:rsid w:val="000A4F77"/>
    <w:rsid w:val="000D21EF"/>
    <w:rsid w:val="000E51ED"/>
    <w:rsid w:val="000F4027"/>
    <w:rsid w:val="001004FB"/>
    <w:rsid w:val="001207D1"/>
    <w:rsid w:val="00120ECA"/>
    <w:rsid w:val="00121EC4"/>
    <w:rsid w:val="00140B4B"/>
    <w:rsid w:val="001472F2"/>
    <w:rsid w:val="00150EBE"/>
    <w:rsid w:val="00163F08"/>
    <w:rsid w:val="00166890"/>
    <w:rsid w:val="00181748"/>
    <w:rsid w:val="00184C82"/>
    <w:rsid w:val="001A7ADC"/>
    <w:rsid w:val="001B5E8F"/>
    <w:rsid w:val="001C0196"/>
    <w:rsid w:val="001C34F3"/>
    <w:rsid w:val="001D723B"/>
    <w:rsid w:val="002156B9"/>
    <w:rsid w:val="00230EE3"/>
    <w:rsid w:val="002354CD"/>
    <w:rsid w:val="00241023"/>
    <w:rsid w:val="00243F45"/>
    <w:rsid w:val="00246161"/>
    <w:rsid w:val="002470F0"/>
    <w:rsid w:val="002606E2"/>
    <w:rsid w:val="00262552"/>
    <w:rsid w:val="0028433A"/>
    <w:rsid w:val="002845C5"/>
    <w:rsid w:val="0029020B"/>
    <w:rsid w:val="002D44BE"/>
    <w:rsid w:val="002D5401"/>
    <w:rsid w:val="002F3ED0"/>
    <w:rsid w:val="003173AC"/>
    <w:rsid w:val="00336A56"/>
    <w:rsid w:val="003576A2"/>
    <w:rsid w:val="003666D0"/>
    <w:rsid w:val="00376794"/>
    <w:rsid w:val="003937B1"/>
    <w:rsid w:val="00396C7A"/>
    <w:rsid w:val="003B6F0A"/>
    <w:rsid w:val="003B72CA"/>
    <w:rsid w:val="003B7F20"/>
    <w:rsid w:val="003C5A13"/>
    <w:rsid w:val="003D1CB2"/>
    <w:rsid w:val="003E4B85"/>
    <w:rsid w:val="003E6FF5"/>
    <w:rsid w:val="003F4B63"/>
    <w:rsid w:val="004119B2"/>
    <w:rsid w:val="0042486D"/>
    <w:rsid w:val="00426E7E"/>
    <w:rsid w:val="004306DF"/>
    <w:rsid w:val="00442037"/>
    <w:rsid w:val="00442B7D"/>
    <w:rsid w:val="00443293"/>
    <w:rsid w:val="0045716B"/>
    <w:rsid w:val="0046647B"/>
    <w:rsid w:val="004674EB"/>
    <w:rsid w:val="00485C83"/>
    <w:rsid w:val="004A7F2C"/>
    <w:rsid w:val="004B07AE"/>
    <w:rsid w:val="004D0007"/>
    <w:rsid w:val="004D2FFA"/>
    <w:rsid w:val="004E14BE"/>
    <w:rsid w:val="004E39F5"/>
    <w:rsid w:val="004E50B1"/>
    <w:rsid w:val="00500552"/>
    <w:rsid w:val="00501856"/>
    <w:rsid w:val="005138F2"/>
    <w:rsid w:val="00517CE4"/>
    <w:rsid w:val="005430DD"/>
    <w:rsid w:val="00547CE1"/>
    <w:rsid w:val="005613C7"/>
    <w:rsid w:val="0059488E"/>
    <w:rsid w:val="0059522D"/>
    <w:rsid w:val="00595FFF"/>
    <w:rsid w:val="005A3827"/>
    <w:rsid w:val="005A53EE"/>
    <w:rsid w:val="005A7642"/>
    <w:rsid w:val="005F001D"/>
    <w:rsid w:val="00601B38"/>
    <w:rsid w:val="0060405C"/>
    <w:rsid w:val="00605D2C"/>
    <w:rsid w:val="00607FF6"/>
    <w:rsid w:val="0061515C"/>
    <w:rsid w:val="00620D8E"/>
    <w:rsid w:val="0062440B"/>
    <w:rsid w:val="00627676"/>
    <w:rsid w:val="00671FE2"/>
    <w:rsid w:val="00672E7B"/>
    <w:rsid w:val="0067586C"/>
    <w:rsid w:val="00684532"/>
    <w:rsid w:val="006C0727"/>
    <w:rsid w:val="006D3556"/>
    <w:rsid w:val="006E145F"/>
    <w:rsid w:val="00704EBE"/>
    <w:rsid w:val="007051ED"/>
    <w:rsid w:val="00707353"/>
    <w:rsid w:val="0071246A"/>
    <w:rsid w:val="00721427"/>
    <w:rsid w:val="00735186"/>
    <w:rsid w:val="007403B2"/>
    <w:rsid w:val="0074524C"/>
    <w:rsid w:val="007507C2"/>
    <w:rsid w:val="00770572"/>
    <w:rsid w:val="00772239"/>
    <w:rsid w:val="00796F0E"/>
    <w:rsid w:val="007D0C74"/>
    <w:rsid w:val="00821793"/>
    <w:rsid w:val="00833A2B"/>
    <w:rsid w:val="008761BF"/>
    <w:rsid w:val="008B3724"/>
    <w:rsid w:val="008E5D66"/>
    <w:rsid w:val="008E71BA"/>
    <w:rsid w:val="00902E40"/>
    <w:rsid w:val="009358A0"/>
    <w:rsid w:val="009658DD"/>
    <w:rsid w:val="009877A2"/>
    <w:rsid w:val="00997C08"/>
    <w:rsid w:val="009D7785"/>
    <w:rsid w:val="009E18E2"/>
    <w:rsid w:val="009F18BC"/>
    <w:rsid w:val="00A31D4F"/>
    <w:rsid w:val="00A6195E"/>
    <w:rsid w:val="00A86CD7"/>
    <w:rsid w:val="00AA427C"/>
    <w:rsid w:val="00AC57F2"/>
    <w:rsid w:val="00AD0F4B"/>
    <w:rsid w:val="00AE4BED"/>
    <w:rsid w:val="00B23D30"/>
    <w:rsid w:val="00B25854"/>
    <w:rsid w:val="00B52DB7"/>
    <w:rsid w:val="00B62A25"/>
    <w:rsid w:val="00B62FD5"/>
    <w:rsid w:val="00BA6879"/>
    <w:rsid w:val="00BB2538"/>
    <w:rsid w:val="00BC35D3"/>
    <w:rsid w:val="00BD7F75"/>
    <w:rsid w:val="00BE68C2"/>
    <w:rsid w:val="00BF02C0"/>
    <w:rsid w:val="00C04194"/>
    <w:rsid w:val="00C1395F"/>
    <w:rsid w:val="00C238A9"/>
    <w:rsid w:val="00C41B9A"/>
    <w:rsid w:val="00C515F4"/>
    <w:rsid w:val="00C56DBE"/>
    <w:rsid w:val="00C77FFA"/>
    <w:rsid w:val="00C83D5D"/>
    <w:rsid w:val="00CA09B2"/>
    <w:rsid w:val="00CB2D42"/>
    <w:rsid w:val="00CB618B"/>
    <w:rsid w:val="00CC13A3"/>
    <w:rsid w:val="00CC2541"/>
    <w:rsid w:val="00D11908"/>
    <w:rsid w:val="00D24274"/>
    <w:rsid w:val="00D51277"/>
    <w:rsid w:val="00D55A81"/>
    <w:rsid w:val="00D66B72"/>
    <w:rsid w:val="00D71E5A"/>
    <w:rsid w:val="00D74F54"/>
    <w:rsid w:val="00D96B45"/>
    <w:rsid w:val="00DA0014"/>
    <w:rsid w:val="00DB1601"/>
    <w:rsid w:val="00DC5667"/>
    <w:rsid w:val="00DC5A7B"/>
    <w:rsid w:val="00DC5B91"/>
    <w:rsid w:val="00DF48E6"/>
    <w:rsid w:val="00E06479"/>
    <w:rsid w:val="00E26BAD"/>
    <w:rsid w:val="00E73CB0"/>
    <w:rsid w:val="00E7683A"/>
    <w:rsid w:val="00EA5893"/>
    <w:rsid w:val="00ED62D6"/>
    <w:rsid w:val="00F0558D"/>
    <w:rsid w:val="00F43E74"/>
    <w:rsid w:val="00F47E2A"/>
    <w:rsid w:val="00F521A2"/>
    <w:rsid w:val="00F61B58"/>
    <w:rsid w:val="00F67C25"/>
    <w:rsid w:val="00FB1025"/>
    <w:rsid w:val="00FB21A5"/>
    <w:rsid w:val="00FC4821"/>
    <w:rsid w:val="00FD16D7"/>
    <w:rsid w:val="00FD3F29"/>
    <w:rsid w:val="00FD570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47E2A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47E2A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0015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7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FFF1-DB92-4E5D-8FAC-42D2C9DE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53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802.11-14/0793r1</vt:lpstr>
    </vt:vector>
  </TitlesOfParts>
  <Company>Some Company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802.11-14/0793r1</dc:title>
  <dc:subject>Submission</dc:subject>
  <dc:creator>Matthew Fischer</dc:creator>
  <cp:keywords>July 2014</cp:keywords>
  <dc:description>Matthew Fischer, Broadcom</dc:description>
  <cp:lastModifiedBy>verceg</cp:lastModifiedBy>
  <cp:revision>6</cp:revision>
  <cp:lastPrinted>2014-07-05T01:59:00Z</cp:lastPrinted>
  <dcterms:created xsi:type="dcterms:W3CDTF">2015-11-11T20:15:00Z</dcterms:created>
  <dcterms:modified xsi:type="dcterms:W3CDTF">2015-11-11T21:08:00Z</dcterms:modified>
</cp:coreProperties>
</file>