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544"/>
        <w:gridCol w:w="1818"/>
      </w:tblGrid>
      <w:tr w:rsidR="00CA09B2">
        <w:trPr>
          <w:trHeight w:val="485"/>
          <w:jc w:val="center"/>
        </w:trPr>
        <w:tc>
          <w:tcPr>
            <w:tcW w:w="9576" w:type="dxa"/>
            <w:gridSpan w:val="5"/>
            <w:vAlign w:val="center"/>
          </w:tcPr>
          <w:p w:rsidR="00CA09B2" w:rsidRDefault="0074524C" w:rsidP="004D2FFA">
            <w:pPr>
              <w:pStyle w:val="T2"/>
            </w:pPr>
            <w:r>
              <w:t>LB1000</w:t>
            </w:r>
            <w:r w:rsidR="0003359A">
              <w:t xml:space="preserve"> </w:t>
            </w:r>
            <w:proofErr w:type="spellStart"/>
            <w:r w:rsidR="004D2FFA">
              <w:t>Misc</w:t>
            </w:r>
            <w:proofErr w:type="spellEnd"/>
            <w:r w:rsidR="004D2FFA">
              <w:t xml:space="preserve"> </w:t>
            </w:r>
            <w:r w:rsidR="00D55A81">
              <w:t xml:space="preserve">PHY </w:t>
            </w:r>
            <w:r w:rsidR="004D2FFA">
              <w:t>CIDs</w:t>
            </w:r>
          </w:p>
        </w:tc>
      </w:tr>
      <w:tr w:rsidR="00CA09B2">
        <w:trPr>
          <w:trHeight w:val="359"/>
          <w:jc w:val="center"/>
        </w:trPr>
        <w:tc>
          <w:tcPr>
            <w:tcW w:w="9576" w:type="dxa"/>
            <w:gridSpan w:val="5"/>
            <w:vAlign w:val="center"/>
          </w:tcPr>
          <w:p w:rsidR="00CA09B2" w:rsidRDefault="00CA09B2" w:rsidP="0003359A">
            <w:pPr>
              <w:pStyle w:val="T2"/>
              <w:ind w:left="0"/>
              <w:rPr>
                <w:sz w:val="20"/>
              </w:rPr>
            </w:pPr>
            <w:r>
              <w:rPr>
                <w:sz w:val="20"/>
              </w:rPr>
              <w:t>Date:</w:t>
            </w:r>
            <w:r>
              <w:rPr>
                <w:b w:val="0"/>
                <w:sz w:val="20"/>
              </w:rPr>
              <w:t xml:space="preserve">  </w:t>
            </w:r>
            <w:r w:rsidR="001B5E8F">
              <w:rPr>
                <w:b w:val="0"/>
                <w:sz w:val="20"/>
              </w:rPr>
              <w:t>2015</w:t>
            </w:r>
            <w:r>
              <w:rPr>
                <w:b w:val="0"/>
                <w:sz w:val="20"/>
              </w:rPr>
              <w:t>-</w:t>
            </w:r>
            <w:r w:rsidR="001A7ADC">
              <w:rPr>
                <w:b w:val="0"/>
                <w:sz w:val="20"/>
              </w:rPr>
              <w:t>1</w:t>
            </w:r>
            <w:r w:rsidR="001B5E8F">
              <w:rPr>
                <w:b w:val="0"/>
                <w:sz w:val="20"/>
              </w:rPr>
              <w:t>1</w:t>
            </w:r>
            <w:r>
              <w:rPr>
                <w:b w:val="0"/>
                <w:sz w:val="20"/>
              </w:rPr>
              <w:t>-</w:t>
            </w:r>
            <w:r w:rsidR="001A7ADC">
              <w:rPr>
                <w:b w:val="0"/>
                <w:sz w:val="20"/>
              </w:rPr>
              <w:t>09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D570A">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544" w:type="dxa"/>
            <w:vAlign w:val="center"/>
          </w:tcPr>
          <w:p w:rsidR="00CA09B2" w:rsidRDefault="00CA09B2">
            <w:pPr>
              <w:pStyle w:val="T2"/>
              <w:spacing w:after="0"/>
              <w:ind w:left="0" w:right="0"/>
              <w:jc w:val="left"/>
              <w:rPr>
                <w:sz w:val="20"/>
              </w:rPr>
            </w:pPr>
            <w:r>
              <w:rPr>
                <w:sz w:val="20"/>
              </w:rPr>
              <w:t>Phone</w:t>
            </w:r>
          </w:p>
        </w:tc>
        <w:tc>
          <w:tcPr>
            <w:tcW w:w="1818" w:type="dxa"/>
            <w:vAlign w:val="center"/>
          </w:tcPr>
          <w:p w:rsidR="00CA09B2" w:rsidRDefault="004D2FFA">
            <w:pPr>
              <w:pStyle w:val="T2"/>
              <w:spacing w:after="0"/>
              <w:ind w:left="0" w:right="0"/>
              <w:jc w:val="left"/>
              <w:rPr>
                <w:sz w:val="20"/>
              </w:rPr>
            </w:pPr>
            <w:r>
              <w:rPr>
                <w:sz w:val="20"/>
              </w:rPr>
              <w:t>E</w:t>
            </w:r>
            <w:r w:rsidR="00CA09B2">
              <w:rPr>
                <w:sz w:val="20"/>
              </w:rPr>
              <w:t>mail</w:t>
            </w:r>
          </w:p>
        </w:tc>
      </w:tr>
      <w:tr w:rsidR="00CA09B2" w:rsidTr="00FD570A">
        <w:trPr>
          <w:jc w:val="center"/>
        </w:trPr>
        <w:tc>
          <w:tcPr>
            <w:tcW w:w="1336" w:type="dxa"/>
            <w:vAlign w:val="center"/>
          </w:tcPr>
          <w:p w:rsidR="00CA09B2" w:rsidRDefault="004D2FFA">
            <w:pPr>
              <w:pStyle w:val="T2"/>
              <w:spacing w:after="0"/>
              <w:ind w:left="0" w:right="0"/>
              <w:rPr>
                <w:b w:val="0"/>
                <w:sz w:val="20"/>
              </w:rPr>
            </w:pPr>
            <w:r>
              <w:rPr>
                <w:b w:val="0"/>
                <w:sz w:val="20"/>
              </w:rPr>
              <w:t>Vinko Erceg</w:t>
            </w:r>
          </w:p>
        </w:tc>
        <w:tc>
          <w:tcPr>
            <w:tcW w:w="2064" w:type="dxa"/>
            <w:vAlign w:val="center"/>
          </w:tcPr>
          <w:p w:rsidR="00CA09B2" w:rsidRDefault="0003359A">
            <w:pPr>
              <w:pStyle w:val="T2"/>
              <w:spacing w:after="0"/>
              <w:ind w:left="0" w:right="0"/>
              <w:rPr>
                <w:b w:val="0"/>
                <w:sz w:val="20"/>
              </w:rPr>
            </w:pPr>
            <w:r>
              <w:rPr>
                <w:b w:val="0"/>
                <w:sz w:val="20"/>
              </w:rPr>
              <w:t>Broadcom</w:t>
            </w:r>
          </w:p>
        </w:tc>
        <w:tc>
          <w:tcPr>
            <w:tcW w:w="2814" w:type="dxa"/>
            <w:vAlign w:val="center"/>
          </w:tcPr>
          <w:p w:rsidR="00CA09B2" w:rsidRDefault="004D2FFA">
            <w:pPr>
              <w:pStyle w:val="T2"/>
              <w:spacing w:after="0"/>
              <w:ind w:left="0" w:right="0"/>
              <w:rPr>
                <w:b w:val="0"/>
                <w:sz w:val="20"/>
              </w:rPr>
            </w:pPr>
            <w:r>
              <w:rPr>
                <w:b w:val="0"/>
                <w:sz w:val="20"/>
              </w:rPr>
              <w:t>San Diego</w:t>
            </w:r>
          </w:p>
        </w:tc>
        <w:tc>
          <w:tcPr>
            <w:tcW w:w="1544" w:type="dxa"/>
            <w:vAlign w:val="center"/>
          </w:tcPr>
          <w:p w:rsidR="00CA09B2" w:rsidRDefault="00CA09B2">
            <w:pPr>
              <w:pStyle w:val="T2"/>
              <w:spacing w:after="0"/>
              <w:ind w:left="0" w:right="0"/>
              <w:rPr>
                <w:b w:val="0"/>
                <w:sz w:val="20"/>
              </w:rPr>
            </w:pPr>
          </w:p>
        </w:tc>
        <w:tc>
          <w:tcPr>
            <w:tcW w:w="1818" w:type="dxa"/>
            <w:vAlign w:val="center"/>
          </w:tcPr>
          <w:p w:rsidR="00CA09B2" w:rsidRDefault="002F3ED0" w:rsidP="004D2FFA">
            <w:pPr>
              <w:pStyle w:val="T2"/>
              <w:spacing w:after="0"/>
              <w:ind w:left="0" w:right="0"/>
              <w:rPr>
                <w:b w:val="0"/>
                <w:sz w:val="16"/>
              </w:rPr>
            </w:pPr>
            <w:hyperlink r:id="rId8" w:history="1">
              <w:r w:rsidR="004D2FFA" w:rsidRPr="00EC5DA9">
                <w:rPr>
                  <w:rStyle w:val="Hyperlink"/>
                  <w:b w:val="0"/>
                  <w:sz w:val="16"/>
                </w:rPr>
                <w:t>verceg@broadcom.com</w:t>
              </w:r>
            </w:hyperlink>
          </w:p>
        </w:tc>
      </w:tr>
      <w:tr w:rsidR="00CA09B2" w:rsidTr="00FD570A">
        <w:trPr>
          <w:jc w:val="center"/>
        </w:trPr>
        <w:tc>
          <w:tcPr>
            <w:tcW w:w="1336" w:type="dxa"/>
            <w:vAlign w:val="center"/>
          </w:tcPr>
          <w:p w:rsidR="00CA09B2" w:rsidRDefault="008E5D66">
            <w:pPr>
              <w:pStyle w:val="T2"/>
              <w:spacing w:after="0"/>
              <w:ind w:left="0" w:right="0"/>
              <w:rPr>
                <w:b w:val="0"/>
                <w:sz w:val="20"/>
              </w:rPr>
            </w:pPr>
            <w:r>
              <w:rPr>
                <w:b w:val="0"/>
                <w:sz w:val="20"/>
              </w:rPr>
              <w:t>Matthew Fischer</w:t>
            </w:r>
          </w:p>
        </w:tc>
        <w:tc>
          <w:tcPr>
            <w:tcW w:w="2064" w:type="dxa"/>
            <w:vAlign w:val="center"/>
          </w:tcPr>
          <w:p w:rsidR="00CA09B2" w:rsidRDefault="008E5D66">
            <w:pPr>
              <w:pStyle w:val="T2"/>
              <w:spacing w:after="0"/>
              <w:ind w:left="0" w:right="0"/>
              <w:rPr>
                <w:b w:val="0"/>
                <w:sz w:val="20"/>
              </w:rPr>
            </w:pPr>
            <w:r>
              <w:rPr>
                <w:b w:val="0"/>
                <w:sz w:val="20"/>
              </w:rPr>
              <w:t>Broadcom</w:t>
            </w:r>
          </w:p>
        </w:tc>
        <w:tc>
          <w:tcPr>
            <w:tcW w:w="2814" w:type="dxa"/>
            <w:vAlign w:val="center"/>
          </w:tcPr>
          <w:p w:rsidR="00CA09B2" w:rsidRDefault="008E5D66">
            <w:pPr>
              <w:pStyle w:val="T2"/>
              <w:spacing w:after="0"/>
              <w:ind w:left="0" w:right="0"/>
              <w:rPr>
                <w:b w:val="0"/>
                <w:sz w:val="20"/>
              </w:rPr>
            </w:pPr>
            <w:r>
              <w:rPr>
                <w:b w:val="0"/>
                <w:sz w:val="20"/>
              </w:rPr>
              <w:t>Sunnyvale</w:t>
            </w:r>
          </w:p>
        </w:tc>
        <w:tc>
          <w:tcPr>
            <w:tcW w:w="1544" w:type="dxa"/>
            <w:vAlign w:val="center"/>
          </w:tcPr>
          <w:p w:rsidR="00CA09B2" w:rsidRDefault="00CA09B2">
            <w:pPr>
              <w:pStyle w:val="T2"/>
              <w:spacing w:after="0"/>
              <w:ind w:left="0" w:right="0"/>
              <w:rPr>
                <w:b w:val="0"/>
                <w:sz w:val="20"/>
              </w:rPr>
            </w:pPr>
          </w:p>
        </w:tc>
        <w:tc>
          <w:tcPr>
            <w:tcW w:w="1818" w:type="dxa"/>
            <w:vAlign w:val="center"/>
          </w:tcPr>
          <w:p w:rsidR="00CA09B2" w:rsidRDefault="00CA09B2">
            <w:pPr>
              <w:pStyle w:val="T2"/>
              <w:spacing w:after="0"/>
              <w:ind w:left="0" w:right="0"/>
              <w:rPr>
                <w:b w:val="0"/>
                <w:sz w:val="16"/>
              </w:rPr>
            </w:pPr>
          </w:p>
        </w:tc>
      </w:tr>
    </w:tbl>
    <w:p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3359A">
                            <w:pPr>
                              <w:jc w:val="both"/>
                            </w:pPr>
                            <w:r>
                              <w:t xml:space="preserve">This document proposes a resolution for </w:t>
                            </w:r>
                            <w:r w:rsidR="004D2FFA">
                              <w:t xml:space="preserve">the following </w:t>
                            </w:r>
                            <w:r>
                              <w:t>CID</w:t>
                            </w:r>
                            <w:r w:rsidR="004D2FFA">
                              <w:t>s:</w:t>
                            </w:r>
                            <w:r>
                              <w:t xml:space="preserve"> </w:t>
                            </w:r>
                            <w:r w:rsidR="00051C23">
                              <w:t>5761, 62</w:t>
                            </w:r>
                            <w:r w:rsidR="005F001D">
                              <w:t>25, 6241, 6258, 6259, 6281</w:t>
                            </w:r>
                            <w:r w:rsidR="00051C23">
                              <w:t xml:space="preserve">, </w:t>
                            </w:r>
                            <w:r w:rsidR="00F47E2A">
                              <w:t xml:space="preserve">6404, </w:t>
                            </w:r>
                            <w:r w:rsidR="00051C23">
                              <w:t>6409, and 6423</w:t>
                            </w:r>
                            <w:r w:rsidR="00607FF6">
                              <w:t>.</w:t>
                            </w:r>
                            <w:r w:rsidR="00262552">
                              <w:t xml:space="preserve"> The pr</w:t>
                            </w:r>
                            <w:r w:rsidR="001A7ADC">
                              <w:t>oposed resolution is based on D4</w:t>
                            </w:r>
                            <w:r w:rsidR="00262552">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3359A">
                      <w:pPr>
                        <w:jc w:val="both"/>
                      </w:pPr>
                      <w:r>
                        <w:t xml:space="preserve">This document proposes a resolution for </w:t>
                      </w:r>
                      <w:r w:rsidR="004D2FFA">
                        <w:t xml:space="preserve">the following </w:t>
                      </w:r>
                      <w:r>
                        <w:t>CID</w:t>
                      </w:r>
                      <w:r w:rsidR="004D2FFA">
                        <w:t>s:</w:t>
                      </w:r>
                      <w:r>
                        <w:t xml:space="preserve"> </w:t>
                      </w:r>
                      <w:r w:rsidR="00051C23">
                        <w:t>5761, 62</w:t>
                      </w:r>
                      <w:r w:rsidR="005F001D">
                        <w:t>25, 6241, 6258, 6259, 6281</w:t>
                      </w:r>
                      <w:r w:rsidR="00051C23">
                        <w:t xml:space="preserve">, </w:t>
                      </w:r>
                      <w:r w:rsidR="00F47E2A">
                        <w:t xml:space="preserve">6404, </w:t>
                      </w:r>
                      <w:r w:rsidR="00051C23">
                        <w:t>6409, and 6423</w:t>
                      </w:r>
                      <w:r w:rsidR="00607FF6">
                        <w:t>.</w:t>
                      </w:r>
                      <w:r w:rsidR="00262552">
                        <w:t xml:space="preserve"> The pr</w:t>
                      </w:r>
                      <w:r w:rsidR="001A7ADC">
                        <w:t>oposed resolution is based on D4</w:t>
                      </w:r>
                      <w:r w:rsidR="00262552">
                        <w:t>.0.</w:t>
                      </w:r>
                    </w:p>
                  </w:txbxContent>
                </v:textbox>
              </v:shape>
            </w:pict>
          </mc:Fallback>
        </mc:AlternateContent>
      </w:r>
    </w:p>
    <w:p w:rsidR="00CA09B2" w:rsidRDefault="00CA09B2" w:rsidP="0003359A">
      <w:r>
        <w:br w:type="page"/>
      </w:r>
    </w:p>
    <w:p w:rsidR="0003359A" w:rsidRDefault="0003359A"/>
    <w:p w:rsidR="00707353" w:rsidRDefault="00707353" w:rsidP="00707353">
      <w:pPr>
        <w:rPr>
          <w:sz w:val="24"/>
        </w:rPr>
      </w:pPr>
    </w:p>
    <w:p w:rsidR="00707353" w:rsidRPr="004D2FFA" w:rsidRDefault="00707353" w:rsidP="00707353">
      <w:pPr>
        <w:rPr>
          <w:b/>
          <w:sz w:val="32"/>
          <w:szCs w:val="32"/>
          <w:u w:val="single"/>
        </w:rPr>
      </w:pPr>
      <w:r w:rsidRPr="004D2FFA">
        <w:rPr>
          <w:b/>
          <w:sz w:val="32"/>
          <w:szCs w:val="32"/>
          <w:u w:val="single"/>
        </w:rPr>
        <w:t>REVISION NOTES:</w:t>
      </w:r>
    </w:p>
    <w:p w:rsidR="00707353" w:rsidRDefault="00707353" w:rsidP="00707353">
      <w:pPr>
        <w:rPr>
          <w:sz w:val="24"/>
        </w:rPr>
      </w:pPr>
    </w:p>
    <w:p w:rsidR="00707353" w:rsidRDefault="00707353" w:rsidP="00707353">
      <w:pPr>
        <w:rPr>
          <w:sz w:val="24"/>
        </w:rPr>
      </w:pPr>
      <w:r>
        <w:rPr>
          <w:sz w:val="24"/>
        </w:rPr>
        <w:t>R0: initial</w:t>
      </w:r>
    </w:p>
    <w:p w:rsidR="00707353" w:rsidRDefault="00707353" w:rsidP="00707353">
      <w:pPr>
        <w:rPr>
          <w:sz w:val="24"/>
        </w:rPr>
      </w:pPr>
    </w:p>
    <w:p w:rsidR="00707353" w:rsidRDefault="00707353" w:rsidP="00707353">
      <w:pPr>
        <w:rPr>
          <w:sz w:val="24"/>
        </w:rPr>
      </w:pPr>
    </w:p>
    <w:p w:rsidR="00707353" w:rsidRDefault="00707353" w:rsidP="00707353">
      <w:pPr>
        <w:rPr>
          <w:sz w:val="28"/>
        </w:rPr>
      </w:pPr>
    </w:p>
    <w:p w:rsidR="00707353" w:rsidRDefault="00707353" w:rsidP="00707353">
      <w:pPr>
        <w:rPr>
          <w:rFonts w:eastAsia="Malgun Gothic"/>
        </w:rPr>
      </w:pPr>
      <w:r>
        <w:rPr>
          <w:rFonts w:eastAsia="Malgun Gothic"/>
        </w:rPr>
        <w:t>Interpretation of a Motion to Adopt</w:t>
      </w:r>
    </w:p>
    <w:p w:rsidR="00707353" w:rsidRDefault="00707353" w:rsidP="00707353">
      <w:pPr>
        <w:rPr>
          <w:rFonts w:eastAsia="Malgun Gothic"/>
          <w:lang w:eastAsia="ko-KR"/>
        </w:rPr>
      </w:pPr>
    </w:p>
    <w:p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FC4821">
        <w:rPr>
          <w:rFonts w:eastAsia="Malgun Gothic"/>
          <w:lang w:eastAsia="ko-KR"/>
        </w:rPr>
        <w:t>TGmc</w:t>
      </w:r>
      <w:proofErr w:type="spellEnd"/>
      <w:r>
        <w:rPr>
          <w:rFonts w:eastAsia="Malgun Gothic"/>
          <w:lang w:eastAsia="ko-KR"/>
        </w:rPr>
        <w:t xml:space="preserve"> Draft.  This introduction is not part of the adopted material.</w:t>
      </w:r>
    </w:p>
    <w:p w:rsidR="00707353" w:rsidRDefault="00707353" w:rsidP="00707353">
      <w:pPr>
        <w:rPr>
          <w:rFonts w:eastAsia="Malgun Gothic"/>
          <w:lang w:eastAsia="ko-KR"/>
        </w:rPr>
      </w:pPr>
    </w:p>
    <w:p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FC4821">
        <w:rPr>
          <w:rFonts w:eastAsia="Malgun Gothic"/>
          <w:b/>
          <w:bCs/>
          <w:i/>
          <w:iCs/>
          <w:lang w:eastAsia="ko-KR"/>
        </w:rPr>
        <w:t>TGmc</w:t>
      </w:r>
      <w:proofErr w:type="spellEnd"/>
      <w:r>
        <w:rPr>
          <w:rFonts w:eastAsia="Malgun Gothic"/>
          <w:b/>
          <w:bCs/>
          <w:i/>
          <w:iCs/>
          <w:lang w:eastAsia="ko-KR"/>
        </w:rPr>
        <w:t xml:space="preserve"> Draft (i.e. they are instructions to the 802.11 editor on how to merge the text with the baseline documents).</w:t>
      </w:r>
    </w:p>
    <w:p w:rsidR="00707353" w:rsidRDefault="00707353" w:rsidP="00707353">
      <w:pPr>
        <w:rPr>
          <w:rFonts w:eastAsia="Malgun Gothic"/>
          <w:lang w:eastAsia="ko-KR"/>
        </w:rPr>
      </w:pPr>
    </w:p>
    <w:p w:rsidR="00707353" w:rsidRDefault="00FC4821"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rsidR="00707353" w:rsidRDefault="00707353" w:rsidP="00707353">
      <w:pPr>
        <w:pStyle w:val="T1"/>
        <w:spacing w:after="120"/>
        <w:jc w:val="left"/>
        <w:rPr>
          <w:b w:val="0"/>
          <w:sz w:val="22"/>
          <w:szCs w:val="22"/>
        </w:rPr>
      </w:pPr>
    </w:p>
    <w:p w:rsidR="00707353" w:rsidRDefault="00707353" w:rsidP="00707353">
      <w:pPr>
        <w:rPr>
          <w:sz w:val="24"/>
        </w:rPr>
      </w:pPr>
    </w:p>
    <w:p w:rsidR="00707353" w:rsidRPr="004D2FFA" w:rsidRDefault="00707353" w:rsidP="00707353">
      <w:pPr>
        <w:rPr>
          <w:b/>
          <w:sz w:val="32"/>
          <w:szCs w:val="32"/>
          <w:u w:val="single"/>
        </w:rPr>
      </w:pPr>
      <w:r w:rsidRPr="004D2FFA">
        <w:rPr>
          <w:b/>
          <w:sz w:val="32"/>
          <w:szCs w:val="32"/>
          <w:u w:val="single"/>
        </w:rPr>
        <w:t>CID LIST:</w:t>
      </w:r>
    </w:p>
    <w:p w:rsidR="00707353" w:rsidRDefault="00707353" w:rsidP="00707353">
      <w:pPr>
        <w:rPr>
          <w:sz w:val="24"/>
        </w:rPr>
      </w:pPr>
    </w:p>
    <w:p w:rsidR="001A7ADC" w:rsidRPr="001A7ADC" w:rsidRDefault="004D2FFA" w:rsidP="00607FF6">
      <w:pPr>
        <w:rPr>
          <w:sz w:val="24"/>
        </w:rPr>
      </w:pPr>
      <w:r>
        <w:rPr>
          <w:sz w:val="24"/>
        </w:rPr>
        <w:t xml:space="preserve">  CID    Sec.         </w:t>
      </w:r>
      <w:proofErr w:type="gramStart"/>
      <w:r>
        <w:rPr>
          <w:sz w:val="24"/>
        </w:rPr>
        <w:t>Pg.</w:t>
      </w:r>
      <w:proofErr w:type="gramEnd"/>
      <w:r>
        <w:rPr>
          <w:sz w:val="24"/>
        </w:rPr>
        <w:t xml:space="preserve">         Ln                </w:t>
      </w:r>
      <w:r w:rsidR="003937B1">
        <w:rPr>
          <w:sz w:val="24"/>
        </w:rPr>
        <w:t xml:space="preserve">Comment                      </w:t>
      </w:r>
      <w:r>
        <w:rPr>
          <w:sz w:val="24"/>
        </w:rPr>
        <w:t>Proposed Change              Resol</w:t>
      </w:r>
      <w:r w:rsidR="0071246A">
        <w:rPr>
          <w:sz w:val="24"/>
        </w:rPr>
        <w:t>ution</w:t>
      </w:r>
    </w:p>
    <w:p w:rsidR="001A7ADC" w:rsidRDefault="001A7ADC" w:rsidP="00607FF6">
      <w:r>
        <w:t xml:space="preserve">                                                                                                                                                                                                                                                                                                                                                  </w:t>
      </w:r>
    </w:p>
    <w:p w:rsidR="001A7ADC" w:rsidRDefault="001A7ADC" w:rsidP="00607FF6"/>
    <w:tbl>
      <w:tblPr>
        <w:tblStyle w:val="TableGrid"/>
        <w:tblW w:w="0" w:type="auto"/>
        <w:tblLook w:val="04A0" w:firstRow="1" w:lastRow="0" w:firstColumn="1" w:lastColumn="0" w:noHBand="0" w:noVBand="1"/>
      </w:tblPr>
      <w:tblGrid>
        <w:gridCol w:w="661"/>
        <w:gridCol w:w="1021"/>
        <w:gridCol w:w="870"/>
        <w:gridCol w:w="748"/>
        <w:gridCol w:w="2470"/>
        <w:gridCol w:w="2466"/>
        <w:gridCol w:w="2420"/>
      </w:tblGrid>
      <w:tr w:rsidR="001A7ADC" w:rsidRPr="00D11908" w:rsidTr="001A7ADC">
        <w:trPr>
          <w:trHeight w:val="5100"/>
        </w:trPr>
        <w:tc>
          <w:tcPr>
            <w:tcW w:w="656" w:type="dxa"/>
            <w:hideMark/>
          </w:tcPr>
          <w:p w:rsidR="001A7ADC" w:rsidRDefault="001A7ADC">
            <w:pPr>
              <w:jc w:val="right"/>
              <w:rPr>
                <w:rFonts w:ascii="Arial" w:hAnsi="Arial" w:cs="Arial"/>
                <w:sz w:val="20"/>
              </w:rPr>
            </w:pPr>
            <w:r>
              <w:rPr>
                <w:rFonts w:ascii="Arial" w:hAnsi="Arial" w:cs="Arial"/>
                <w:sz w:val="20"/>
              </w:rPr>
              <w:t>5761</w:t>
            </w:r>
          </w:p>
        </w:tc>
        <w:tc>
          <w:tcPr>
            <w:tcW w:w="1022" w:type="dxa"/>
            <w:hideMark/>
          </w:tcPr>
          <w:p w:rsidR="001A7ADC" w:rsidRDefault="001A7ADC">
            <w:pPr>
              <w:rPr>
                <w:rFonts w:ascii="Arial" w:hAnsi="Arial" w:cs="Arial"/>
                <w:sz w:val="20"/>
              </w:rPr>
            </w:pPr>
            <w:r>
              <w:rPr>
                <w:rFonts w:ascii="Arial" w:hAnsi="Arial" w:cs="Arial"/>
                <w:sz w:val="20"/>
              </w:rPr>
              <w:t>16.3.7</w:t>
            </w:r>
          </w:p>
        </w:tc>
        <w:tc>
          <w:tcPr>
            <w:tcW w:w="870" w:type="dxa"/>
            <w:hideMark/>
          </w:tcPr>
          <w:p w:rsidR="001A7ADC" w:rsidRDefault="001A7ADC">
            <w:pPr>
              <w:rPr>
                <w:rFonts w:ascii="Arial" w:hAnsi="Arial" w:cs="Arial"/>
                <w:sz w:val="20"/>
              </w:rPr>
            </w:pPr>
            <w:r>
              <w:rPr>
                <w:rFonts w:ascii="Arial" w:hAnsi="Arial" w:cs="Arial"/>
                <w:sz w:val="20"/>
              </w:rPr>
              <w:t>2185</w:t>
            </w:r>
          </w:p>
        </w:tc>
        <w:tc>
          <w:tcPr>
            <w:tcW w:w="748" w:type="dxa"/>
            <w:hideMark/>
          </w:tcPr>
          <w:p w:rsidR="001A7ADC" w:rsidRDefault="001A7ADC">
            <w:pPr>
              <w:rPr>
                <w:rFonts w:ascii="Arial" w:hAnsi="Arial" w:cs="Arial"/>
                <w:sz w:val="20"/>
              </w:rPr>
            </w:pPr>
            <w:r>
              <w:rPr>
                <w:rFonts w:ascii="Arial" w:hAnsi="Arial" w:cs="Arial"/>
                <w:sz w:val="20"/>
              </w:rPr>
              <w:t>3</w:t>
            </w:r>
          </w:p>
        </w:tc>
        <w:tc>
          <w:tcPr>
            <w:tcW w:w="2471" w:type="dxa"/>
            <w:hideMark/>
          </w:tcPr>
          <w:p w:rsidR="001A7ADC" w:rsidRDefault="001A7ADC">
            <w:pPr>
              <w:rPr>
                <w:rFonts w:ascii="Arial" w:hAnsi="Arial" w:cs="Arial"/>
                <w:sz w:val="20"/>
              </w:rPr>
            </w:pPr>
            <w:r>
              <w:rPr>
                <w:rFonts w:ascii="Arial" w:hAnsi="Arial" w:cs="Arial"/>
                <w:sz w:val="20"/>
              </w:rPr>
              <w:t>"PHY shall indicate a busy medium for the intended duration of the transmitted frame as indicated by the LENGTH field.</w:t>
            </w:r>
            <w:proofErr w:type="gramStart"/>
            <w:r>
              <w:rPr>
                <w:rFonts w:ascii="Arial" w:hAnsi="Arial" w:cs="Arial"/>
                <w:sz w:val="20"/>
              </w:rPr>
              <w:t>":</w:t>
            </w:r>
            <w:proofErr w:type="gramEnd"/>
            <w:r>
              <w:rPr>
                <w:rFonts w:ascii="Arial" w:hAnsi="Arial" w:cs="Arial"/>
                <w:sz w:val="20"/>
              </w:rPr>
              <w:t xml:space="preserve">  this doesn't  say how this indication is to be made, and fields don't indicate things (though their values do).</w:t>
            </w:r>
          </w:p>
        </w:tc>
        <w:tc>
          <w:tcPr>
            <w:tcW w:w="2467" w:type="dxa"/>
            <w:hideMark/>
          </w:tcPr>
          <w:p w:rsidR="001A7ADC" w:rsidRDefault="001A7ADC">
            <w:pPr>
              <w:rPr>
                <w:rFonts w:ascii="Arial" w:hAnsi="Arial" w:cs="Arial"/>
                <w:sz w:val="20"/>
              </w:rPr>
            </w:pPr>
            <w:r>
              <w:rPr>
                <w:rFonts w:ascii="Arial" w:hAnsi="Arial" w:cs="Arial"/>
                <w:sz w:val="20"/>
              </w:rPr>
              <w:t xml:space="preserve">Replace "shall indicate a busy medium" with "shall issue a PHY-RXEND indication to notify the MAC of a busy medium".  Also, on the next line replace "for intended duration of the transmitted frame as indicated by the LENGTH field.  The intended duration is indicated by the LENGTH field (length </w:t>
            </w:r>
            <w:proofErr w:type="gramStart"/>
            <w:r>
              <w:rPr>
                <w:rFonts w:ascii="Arial" w:hAnsi="Arial" w:cs="Arial"/>
                <w:sz w:val="20"/>
              </w:rPr>
              <w:t>x 1 us</w:t>
            </w:r>
            <w:proofErr w:type="gramEnd"/>
            <w:r>
              <w:rPr>
                <w:rFonts w:ascii="Arial" w:hAnsi="Arial" w:cs="Arial"/>
                <w:sz w:val="20"/>
              </w:rPr>
              <w:t>)." with "for the intended frame transmission duration, as indicated by the value of the LENGTH field (length x 1 us)."</w:t>
            </w:r>
          </w:p>
        </w:tc>
        <w:tc>
          <w:tcPr>
            <w:tcW w:w="2422" w:type="dxa"/>
            <w:hideMark/>
          </w:tcPr>
          <w:p w:rsidR="001A7ADC" w:rsidRDefault="00735186">
            <w:pPr>
              <w:rPr>
                <w:rFonts w:ascii="Arial" w:hAnsi="Arial" w:cs="Arial"/>
                <w:sz w:val="20"/>
              </w:rPr>
            </w:pPr>
            <w:r>
              <w:rPr>
                <w:rFonts w:ascii="Arial" w:hAnsi="Arial" w:cs="Arial"/>
                <w:sz w:val="20"/>
              </w:rPr>
              <w:t>Accept</w:t>
            </w:r>
          </w:p>
          <w:p w:rsidR="00735186" w:rsidRDefault="00735186">
            <w:pPr>
              <w:rPr>
                <w:rFonts w:ascii="Arial" w:hAnsi="Arial" w:cs="Arial"/>
                <w:sz w:val="20"/>
              </w:rPr>
            </w:pPr>
          </w:p>
        </w:tc>
      </w:tr>
    </w:tbl>
    <w:p w:rsidR="00607FF6" w:rsidRDefault="00607FF6" w:rsidP="00607FF6"/>
    <w:p w:rsidR="00607FF6" w:rsidRDefault="00607FF6" w:rsidP="00607FF6"/>
    <w:p w:rsidR="00607FF6" w:rsidRDefault="00607FF6" w:rsidP="00607FF6"/>
    <w:p w:rsidR="00607FF6" w:rsidRDefault="00607FF6" w:rsidP="00707353">
      <w:pPr>
        <w:rPr>
          <w:sz w:val="24"/>
        </w:rPr>
      </w:pPr>
    </w:p>
    <w:p w:rsidR="00D51277" w:rsidRDefault="00D51277"/>
    <w:p w:rsidR="00D51277" w:rsidRDefault="00D51277"/>
    <w:tbl>
      <w:tblPr>
        <w:tblStyle w:val="TableGrid"/>
        <w:tblW w:w="0" w:type="auto"/>
        <w:tblLook w:val="04A0" w:firstRow="1" w:lastRow="0" w:firstColumn="1" w:lastColumn="0" w:noHBand="0" w:noVBand="1"/>
      </w:tblPr>
      <w:tblGrid>
        <w:gridCol w:w="661"/>
        <w:gridCol w:w="1106"/>
        <w:gridCol w:w="810"/>
        <w:gridCol w:w="660"/>
        <w:gridCol w:w="2049"/>
        <w:gridCol w:w="3289"/>
        <w:gridCol w:w="2081"/>
      </w:tblGrid>
      <w:tr w:rsidR="001A7ADC" w:rsidRPr="00D51277" w:rsidTr="001A7ADC">
        <w:trPr>
          <w:trHeight w:val="2805"/>
        </w:trPr>
        <w:tc>
          <w:tcPr>
            <w:tcW w:w="656" w:type="dxa"/>
            <w:hideMark/>
          </w:tcPr>
          <w:p w:rsidR="001A7ADC" w:rsidRDefault="001A7ADC">
            <w:pPr>
              <w:jc w:val="right"/>
              <w:rPr>
                <w:rFonts w:ascii="Arial" w:hAnsi="Arial" w:cs="Arial"/>
                <w:sz w:val="20"/>
              </w:rPr>
            </w:pPr>
            <w:r>
              <w:rPr>
                <w:rFonts w:ascii="Arial" w:hAnsi="Arial" w:cs="Arial"/>
                <w:sz w:val="20"/>
              </w:rPr>
              <w:lastRenderedPageBreak/>
              <w:t>6225</w:t>
            </w:r>
          </w:p>
        </w:tc>
        <w:tc>
          <w:tcPr>
            <w:tcW w:w="931" w:type="dxa"/>
            <w:hideMark/>
          </w:tcPr>
          <w:p w:rsidR="001A7ADC" w:rsidRDefault="001A7ADC">
            <w:pPr>
              <w:rPr>
                <w:rFonts w:ascii="Arial" w:hAnsi="Arial" w:cs="Arial"/>
                <w:sz w:val="20"/>
              </w:rPr>
            </w:pPr>
            <w:r>
              <w:rPr>
                <w:rFonts w:ascii="Arial" w:hAnsi="Arial" w:cs="Arial"/>
                <w:sz w:val="20"/>
              </w:rPr>
              <w:t>21.4.3.3.3</w:t>
            </w:r>
          </w:p>
        </w:tc>
        <w:tc>
          <w:tcPr>
            <w:tcW w:w="881" w:type="dxa"/>
            <w:hideMark/>
          </w:tcPr>
          <w:p w:rsidR="001A7ADC" w:rsidRDefault="001A7ADC">
            <w:pPr>
              <w:rPr>
                <w:rFonts w:ascii="Arial" w:hAnsi="Arial" w:cs="Arial"/>
                <w:sz w:val="20"/>
              </w:rPr>
            </w:pPr>
            <w:r>
              <w:rPr>
                <w:rFonts w:ascii="Arial" w:hAnsi="Arial" w:cs="Arial"/>
                <w:sz w:val="20"/>
              </w:rPr>
              <w:t>2413</w:t>
            </w:r>
          </w:p>
        </w:tc>
        <w:tc>
          <w:tcPr>
            <w:tcW w:w="764" w:type="dxa"/>
            <w:hideMark/>
          </w:tcPr>
          <w:p w:rsidR="001A7ADC" w:rsidRDefault="001A7ADC">
            <w:pPr>
              <w:rPr>
                <w:rFonts w:ascii="Arial" w:hAnsi="Arial" w:cs="Arial"/>
                <w:sz w:val="20"/>
              </w:rPr>
            </w:pPr>
            <w:r>
              <w:rPr>
                <w:rFonts w:ascii="Arial" w:hAnsi="Arial" w:cs="Arial"/>
                <w:sz w:val="20"/>
              </w:rPr>
              <w:t>18</w:t>
            </w:r>
          </w:p>
        </w:tc>
        <w:tc>
          <w:tcPr>
            <w:tcW w:w="2489" w:type="dxa"/>
            <w:hideMark/>
          </w:tcPr>
          <w:p w:rsidR="001A7ADC" w:rsidRDefault="001A7ADC">
            <w:pPr>
              <w:rPr>
                <w:rFonts w:ascii="Arial" w:hAnsi="Arial" w:cs="Arial"/>
                <w:sz w:val="20"/>
              </w:rPr>
            </w:pPr>
            <w:r>
              <w:rPr>
                <w:rFonts w:ascii="Arial" w:hAnsi="Arial" w:cs="Arial"/>
                <w:sz w:val="20"/>
              </w:rPr>
              <w:t xml:space="preserve">The exposition is unclear and the example is poor (makes the middle and last </w:t>
            </w:r>
            <w:proofErr w:type="spellStart"/>
            <w:r>
              <w:rPr>
                <w:rFonts w:ascii="Arial" w:hAnsi="Arial" w:cs="Arial"/>
                <w:sz w:val="20"/>
              </w:rPr>
              <w:t>codeword</w:t>
            </w:r>
            <w:proofErr w:type="spellEnd"/>
            <w:r>
              <w:rPr>
                <w:rFonts w:ascii="Arial" w:hAnsi="Arial" w:cs="Arial"/>
                <w:sz w:val="20"/>
              </w:rPr>
              <w:t xml:space="preserve"> the same size)</w:t>
            </w:r>
          </w:p>
        </w:tc>
        <w:tc>
          <w:tcPr>
            <w:tcW w:w="2465" w:type="dxa"/>
            <w:hideMark/>
          </w:tcPr>
          <w:p w:rsidR="001A7ADC" w:rsidRDefault="001A7ADC">
            <w:pPr>
              <w:rPr>
                <w:rFonts w:ascii="Arial" w:hAnsi="Arial" w:cs="Arial"/>
                <w:sz w:val="20"/>
              </w:rPr>
            </w:pPr>
            <w:r>
              <w:rPr>
                <w:rFonts w:ascii="Arial" w:hAnsi="Arial" w:cs="Arial"/>
                <w:sz w:val="20"/>
              </w:rPr>
              <w:t>Change the exposition to</w:t>
            </w:r>
            <w:proofErr w:type="gramStart"/>
            <w:r>
              <w:rPr>
                <w:rFonts w:ascii="Arial" w:hAnsi="Arial" w:cs="Arial"/>
                <w:sz w:val="20"/>
              </w:rPr>
              <w:t>:</w:t>
            </w:r>
            <w:proofErr w:type="gramEnd"/>
            <w:r>
              <w:rPr>
                <w:rFonts w:ascii="Arial" w:hAnsi="Arial" w:cs="Arial"/>
                <w:sz w:val="20"/>
              </w:rPr>
              <w:br/>
            </w:r>
            <w:r>
              <w:rPr>
                <w:rFonts w:ascii="Arial" w:hAnsi="Arial" w:cs="Arial"/>
                <w:sz w:val="20"/>
              </w:rPr>
              <w:br/>
              <w:t xml:space="preserve">1) LCWD=128 is the maximal number of data bits in each LDPC </w:t>
            </w:r>
            <w:proofErr w:type="spellStart"/>
            <w:r>
              <w:rPr>
                <w:rFonts w:ascii="Arial" w:hAnsi="Arial" w:cs="Arial"/>
                <w:sz w:val="20"/>
              </w:rPr>
              <w:t>codeword</w:t>
            </w:r>
            <w:proofErr w:type="spellEnd"/>
            <w:r>
              <w:rPr>
                <w:rFonts w:ascii="Arial" w:hAnsi="Arial" w:cs="Arial"/>
                <w:sz w:val="20"/>
              </w:rPr>
              <w:t xml:space="preserve">. LHDR=5 is the length of the header (including HCS) in octets. LFDCW=6 is the length of the additional data in the first LDPC </w:t>
            </w:r>
            <w:proofErr w:type="spellStart"/>
            <w:r>
              <w:rPr>
                <w:rFonts w:ascii="Arial" w:hAnsi="Arial" w:cs="Arial"/>
                <w:sz w:val="20"/>
              </w:rPr>
              <w:t>codeword</w:t>
            </w:r>
            <w:proofErr w:type="spellEnd"/>
            <w:r>
              <w:rPr>
                <w:rFonts w:ascii="Arial" w:hAnsi="Arial" w:cs="Arial"/>
                <w:sz w:val="20"/>
              </w:rPr>
              <w:t xml:space="preserve"> in octets.</w:t>
            </w:r>
            <w:r>
              <w:rPr>
                <w:rFonts w:ascii="Arial" w:hAnsi="Arial" w:cs="Arial"/>
                <w:sz w:val="20"/>
              </w:rPr>
              <w:br/>
            </w:r>
            <w:r>
              <w:rPr>
                <w:rFonts w:ascii="Arial" w:hAnsi="Arial" w:cs="Arial"/>
                <w:sz w:val="20"/>
              </w:rPr>
              <w:br/>
              <w:t xml:space="preserve">2) The total (header and additional data) number of bits in the first LDPC </w:t>
            </w:r>
            <w:proofErr w:type="spellStart"/>
            <w:r>
              <w:rPr>
                <w:rFonts w:ascii="Arial" w:hAnsi="Arial" w:cs="Arial"/>
                <w:sz w:val="20"/>
              </w:rPr>
              <w:t>codeword</w:t>
            </w:r>
            <w:proofErr w:type="spellEnd"/>
            <w:r>
              <w:rPr>
                <w:rFonts w:ascii="Arial" w:hAnsi="Arial" w:cs="Arial"/>
                <w:sz w:val="20"/>
              </w:rPr>
              <w:t xml:space="preserve"> is LDPFCW</w:t>
            </w:r>
            <w:proofErr w:type="gramStart"/>
            <w:r>
              <w:rPr>
                <w:rFonts w:ascii="Arial" w:hAnsi="Arial" w:cs="Arial"/>
                <w:sz w:val="20"/>
              </w:rPr>
              <w:t>=(</w:t>
            </w:r>
            <w:proofErr w:type="gramEnd"/>
            <w:r>
              <w:rPr>
                <w:rFonts w:ascii="Arial" w:hAnsi="Arial" w:cs="Arial"/>
                <w:sz w:val="20"/>
              </w:rPr>
              <w:t>LHDR+LFDCW)x8=88.</w:t>
            </w:r>
            <w:r>
              <w:rPr>
                <w:rFonts w:ascii="Arial" w:hAnsi="Arial" w:cs="Arial"/>
                <w:sz w:val="20"/>
              </w:rPr>
              <w:br/>
            </w:r>
            <w:r>
              <w:rPr>
                <w:rFonts w:ascii="Arial" w:hAnsi="Arial" w:cs="Arial"/>
                <w:sz w:val="20"/>
              </w:rPr>
              <w:br/>
              <w:t xml:space="preserve">3) The number of LDPC </w:t>
            </w:r>
            <w:proofErr w:type="spellStart"/>
            <w:r>
              <w:rPr>
                <w:rFonts w:ascii="Arial" w:hAnsi="Arial" w:cs="Arial"/>
                <w:sz w:val="20"/>
              </w:rPr>
              <w:t>codewords</w:t>
            </w:r>
            <w:proofErr w:type="spellEnd"/>
            <w:r>
              <w:rPr>
                <w:rFonts w:ascii="Arial" w:hAnsi="Arial" w:cs="Arial"/>
                <w:sz w:val="20"/>
              </w:rPr>
              <w:t xml:space="preserve"> is NCW=&lt;blah&gt;.</w:t>
            </w:r>
            <w:r>
              <w:rPr>
                <w:rFonts w:ascii="Arial" w:hAnsi="Arial" w:cs="Arial"/>
                <w:sz w:val="20"/>
              </w:rPr>
              <w:br/>
            </w:r>
            <w:r>
              <w:rPr>
                <w:rFonts w:ascii="Arial" w:hAnsi="Arial" w:cs="Arial"/>
                <w:sz w:val="20"/>
              </w:rPr>
              <w:br/>
              <w:t xml:space="preserve">4) The number of bits in the second and any subsequent LDPC </w:t>
            </w:r>
            <w:proofErr w:type="spellStart"/>
            <w:r>
              <w:rPr>
                <w:rFonts w:ascii="Arial" w:hAnsi="Arial" w:cs="Arial"/>
                <w:sz w:val="20"/>
              </w:rPr>
              <w:t>codeword</w:t>
            </w:r>
            <w:proofErr w:type="spellEnd"/>
            <w:r>
              <w:rPr>
                <w:rFonts w:ascii="Arial" w:hAnsi="Arial" w:cs="Arial"/>
                <w:sz w:val="20"/>
              </w:rPr>
              <w:t xml:space="preserve"> (if present), except the last, is LDPCW=&lt;blah&gt;.</w:t>
            </w:r>
            <w:r>
              <w:rPr>
                <w:rFonts w:ascii="Arial" w:hAnsi="Arial" w:cs="Arial"/>
                <w:sz w:val="20"/>
              </w:rPr>
              <w:br/>
            </w:r>
            <w:r>
              <w:rPr>
                <w:rFonts w:ascii="Arial" w:hAnsi="Arial" w:cs="Arial"/>
                <w:sz w:val="20"/>
              </w:rPr>
              <w:br/>
              <w:t xml:space="preserve">5) The number of bits in the last LDPC </w:t>
            </w:r>
            <w:proofErr w:type="spellStart"/>
            <w:r>
              <w:rPr>
                <w:rFonts w:ascii="Arial" w:hAnsi="Arial" w:cs="Arial"/>
                <w:sz w:val="20"/>
              </w:rPr>
              <w:t>codeword</w:t>
            </w:r>
            <w:proofErr w:type="spellEnd"/>
            <w:r>
              <w:rPr>
                <w:rFonts w:ascii="Arial" w:hAnsi="Arial" w:cs="Arial"/>
                <w:sz w:val="20"/>
              </w:rPr>
              <w:t xml:space="preserve"> is LDPLCW=&lt;blah&gt;.</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Change the example to</w:t>
            </w:r>
            <w:proofErr w:type="gramStart"/>
            <w:r>
              <w:rPr>
                <w:rFonts w:ascii="Arial" w:hAnsi="Arial" w:cs="Arial"/>
                <w:sz w:val="20"/>
              </w:rPr>
              <w:t>:</w:t>
            </w:r>
            <w:proofErr w:type="gramEnd"/>
            <w:r>
              <w:rPr>
                <w:rFonts w:ascii="Arial" w:hAnsi="Arial" w:cs="Arial"/>
                <w:sz w:val="20"/>
              </w:rPr>
              <w:br/>
            </w:r>
            <w:r>
              <w:rPr>
                <w:rFonts w:ascii="Arial" w:hAnsi="Arial" w:cs="Arial"/>
                <w:sz w:val="20"/>
              </w:rPr>
              <w:br/>
              <w:t xml:space="preserve">NOTE---For example, if Length = 128, then NCW=&lt;blah&gt;=7, LDPCW=163 and LDPLCW=161. In the first LDPC block the 88 bits of LDPFCW consist of 40 </w:t>
            </w:r>
            <w:proofErr w:type="spellStart"/>
            <w:r>
              <w:rPr>
                <w:rFonts w:ascii="Arial" w:hAnsi="Arial" w:cs="Arial"/>
                <w:sz w:val="20"/>
              </w:rPr>
              <w:t>header+HCS</w:t>
            </w:r>
            <w:proofErr w:type="spellEnd"/>
            <w:r>
              <w:rPr>
                <w:rFonts w:ascii="Arial" w:hAnsi="Arial" w:cs="Arial"/>
                <w:sz w:val="20"/>
              </w:rPr>
              <w:t xml:space="preserve"> bits along with 48 bits of data.</w:t>
            </w:r>
          </w:p>
        </w:tc>
        <w:tc>
          <w:tcPr>
            <w:tcW w:w="2470" w:type="dxa"/>
            <w:hideMark/>
          </w:tcPr>
          <w:p w:rsidR="001A7ADC" w:rsidRDefault="009358A0">
            <w:pPr>
              <w:rPr>
                <w:rFonts w:ascii="Arial" w:hAnsi="Arial" w:cs="Arial"/>
                <w:sz w:val="20"/>
              </w:rPr>
            </w:pPr>
            <w:r>
              <w:rPr>
                <w:rFonts w:ascii="Arial" w:hAnsi="Arial" w:cs="Arial"/>
                <w:sz w:val="20"/>
              </w:rPr>
              <w:t xml:space="preserve">Revise. </w:t>
            </w:r>
          </w:p>
          <w:p w:rsidR="009358A0" w:rsidRDefault="009358A0">
            <w:pPr>
              <w:rPr>
                <w:rFonts w:ascii="Arial" w:hAnsi="Arial" w:cs="Arial"/>
                <w:sz w:val="20"/>
              </w:rPr>
            </w:pPr>
          </w:p>
          <w:p w:rsidR="009358A0" w:rsidRDefault="009358A0">
            <w:pPr>
              <w:rPr>
                <w:rFonts w:ascii="Arial" w:hAnsi="Arial" w:cs="Arial"/>
                <w:sz w:val="20"/>
              </w:rPr>
            </w:pPr>
            <w:r>
              <w:rPr>
                <w:rFonts w:ascii="Arial" w:hAnsi="Arial" w:cs="Arial"/>
                <w:sz w:val="20"/>
              </w:rPr>
              <w:t xml:space="preserve">Accept the proposed resolution </w:t>
            </w:r>
            <w:proofErr w:type="spellStart"/>
            <w:r>
              <w:rPr>
                <w:rFonts w:ascii="Arial" w:hAnsi="Arial" w:cs="Arial"/>
                <w:sz w:val="20"/>
              </w:rPr>
              <w:t>wit</w:t>
            </w:r>
            <w:proofErr w:type="spellEnd"/>
            <w:r>
              <w:rPr>
                <w:rFonts w:ascii="Arial" w:hAnsi="Arial" w:cs="Arial"/>
                <w:sz w:val="20"/>
              </w:rPr>
              <w:t xml:space="preserve"> the following change: </w:t>
            </w:r>
          </w:p>
          <w:p w:rsidR="009358A0" w:rsidRDefault="009358A0">
            <w:pPr>
              <w:rPr>
                <w:rFonts w:ascii="Arial" w:hAnsi="Arial" w:cs="Arial"/>
                <w:sz w:val="20"/>
              </w:rPr>
            </w:pPr>
          </w:p>
          <w:p w:rsidR="009358A0" w:rsidRDefault="009358A0">
            <w:pPr>
              <w:rPr>
                <w:rFonts w:ascii="Arial" w:hAnsi="Arial" w:cs="Arial"/>
                <w:sz w:val="20"/>
              </w:rPr>
            </w:pPr>
            <w:r>
              <w:rPr>
                <w:rFonts w:ascii="Arial" w:hAnsi="Arial" w:cs="Arial"/>
                <w:sz w:val="20"/>
              </w:rPr>
              <w:t>“1) LCWD=</w:t>
            </w:r>
            <w:r w:rsidRPr="009358A0">
              <w:rPr>
                <w:rFonts w:ascii="Arial" w:hAnsi="Arial" w:cs="Arial"/>
                <w:strike/>
                <w:sz w:val="20"/>
              </w:rPr>
              <w:t>128</w:t>
            </w:r>
            <w:r>
              <w:rPr>
                <w:rFonts w:ascii="Arial" w:hAnsi="Arial" w:cs="Arial"/>
                <w:sz w:val="20"/>
              </w:rPr>
              <w:t xml:space="preserve"> </w:t>
            </w:r>
            <w:r w:rsidRPr="009358A0">
              <w:rPr>
                <w:rFonts w:ascii="Arial" w:hAnsi="Arial" w:cs="Arial"/>
                <w:sz w:val="20"/>
                <w:u w:val="single"/>
              </w:rPr>
              <w:t>16</w:t>
            </w:r>
            <w:r>
              <w:rPr>
                <w:rFonts w:ascii="Arial" w:hAnsi="Arial" w:cs="Arial"/>
                <w:sz w:val="20"/>
                <w:u w:val="single"/>
              </w:rPr>
              <w:t>8</w:t>
            </w:r>
            <w:r>
              <w:rPr>
                <w:rFonts w:ascii="Arial" w:hAnsi="Arial" w:cs="Arial"/>
                <w:sz w:val="20"/>
              </w:rPr>
              <w:t xml:space="preserve"> is the maximal number of data bits in each LDPC …..</w:t>
            </w:r>
          </w:p>
          <w:p w:rsidR="00BF02C0" w:rsidRDefault="00BF02C0">
            <w:pPr>
              <w:rPr>
                <w:rFonts w:ascii="Arial" w:hAnsi="Arial" w:cs="Arial"/>
                <w:sz w:val="20"/>
              </w:rPr>
            </w:pPr>
          </w:p>
          <w:p w:rsidR="00BF02C0" w:rsidRDefault="00BF02C0">
            <w:pPr>
              <w:rPr>
                <w:rFonts w:ascii="Arial" w:hAnsi="Arial" w:cs="Arial"/>
                <w:sz w:val="20"/>
              </w:rPr>
            </w:pPr>
          </w:p>
        </w:tc>
      </w:tr>
    </w:tbl>
    <w:p w:rsidR="00D51277" w:rsidRDefault="00D51277"/>
    <w:p w:rsidR="00D51277" w:rsidRDefault="00D51277"/>
    <w:tbl>
      <w:tblPr>
        <w:tblStyle w:val="TableGrid"/>
        <w:tblW w:w="0" w:type="auto"/>
        <w:tblLook w:val="04A0" w:firstRow="1" w:lastRow="0" w:firstColumn="1" w:lastColumn="0" w:noHBand="0" w:noVBand="1"/>
      </w:tblPr>
      <w:tblGrid>
        <w:gridCol w:w="662"/>
        <w:gridCol w:w="939"/>
        <w:gridCol w:w="878"/>
        <w:gridCol w:w="759"/>
        <w:gridCol w:w="2411"/>
        <w:gridCol w:w="2504"/>
        <w:gridCol w:w="2503"/>
      </w:tblGrid>
      <w:tr w:rsidR="001A7ADC" w:rsidRPr="00D51277" w:rsidTr="001A7ADC">
        <w:trPr>
          <w:trHeight w:val="1275"/>
        </w:trPr>
        <w:tc>
          <w:tcPr>
            <w:tcW w:w="656" w:type="dxa"/>
            <w:hideMark/>
          </w:tcPr>
          <w:p w:rsidR="001A7ADC" w:rsidRDefault="001A7ADC">
            <w:pPr>
              <w:jc w:val="right"/>
              <w:rPr>
                <w:rFonts w:ascii="Arial" w:hAnsi="Arial" w:cs="Arial"/>
                <w:sz w:val="20"/>
              </w:rPr>
            </w:pPr>
            <w:r>
              <w:rPr>
                <w:rFonts w:ascii="Arial" w:hAnsi="Arial" w:cs="Arial"/>
                <w:sz w:val="20"/>
              </w:rPr>
              <w:t>6241</w:t>
            </w:r>
          </w:p>
        </w:tc>
        <w:tc>
          <w:tcPr>
            <w:tcW w:w="931" w:type="dxa"/>
            <w:hideMark/>
          </w:tcPr>
          <w:p w:rsidR="001A7ADC" w:rsidRDefault="001A7ADC">
            <w:pPr>
              <w:rPr>
                <w:rFonts w:ascii="Arial" w:hAnsi="Arial" w:cs="Arial"/>
                <w:sz w:val="20"/>
              </w:rPr>
            </w:pPr>
            <w:r>
              <w:rPr>
                <w:rFonts w:ascii="Arial" w:hAnsi="Arial" w:cs="Arial"/>
                <w:sz w:val="20"/>
              </w:rPr>
              <w:t>18.3.5.7</w:t>
            </w:r>
          </w:p>
        </w:tc>
        <w:tc>
          <w:tcPr>
            <w:tcW w:w="879" w:type="dxa"/>
            <w:hideMark/>
          </w:tcPr>
          <w:p w:rsidR="001A7ADC" w:rsidRDefault="001A7ADC">
            <w:pPr>
              <w:rPr>
                <w:rFonts w:ascii="Arial" w:hAnsi="Arial" w:cs="Arial"/>
                <w:sz w:val="20"/>
              </w:rPr>
            </w:pPr>
            <w:r>
              <w:rPr>
                <w:rFonts w:ascii="Arial" w:hAnsi="Arial" w:cs="Arial"/>
                <w:sz w:val="20"/>
              </w:rPr>
              <w:t>2247</w:t>
            </w:r>
          </w:p>
        </w:tc>
        <w:tc>
          <w:tcPr>
            <w:tcW w:w="760" w:type="dxa"/>
            <w:hideMark/>
          </w:tcPr>
          <w:p w:rsidR="001A7ADC" w:rsidRDefault="001A7ADC">
            <w:pPr>
              <w:rPr>
                <w:rFonts w:ascii="Arial" w:hAnsi="Arial" w:cs="Arial"/>
                <w:sz w:val="20"/>
              </w:rPr>
            </w:pPr>
            <w:r>
              <w:rPr>
                <w:rFonts w:ascii="Arial" w:hAnsi="Arial" w:cs="Arial"/>
                <w:sz w:val="20"/>
              </w:rPr>
              <w:t>52</w:t>
            </w:r>
          </w:p>
        </w:tc>
        <w:tc>
          <w:tcPr>
            <w:tcW w:w="2414" w:type="dxa"/>
            <w:hideMark/>
          </w:tcPr>
          <w:p w:rsidR="001A7ADC" w:rsidRDefault="001A7ADC">
            <w:pPr>
              <w:rPr>
                <w:rFonts w:ascii="Arial" w:hAnsi="Arial" w:cs="Arial"/>
                <w:sz w:val="20"/>
              </w:rPr>
            </w:pPr>
            <w:r>
              <w:rPr>
                <w:rFonts w:ascii="Arial" w:hAnsi="Arial" w:cs="Arial"/>
                <w:sz w:val="20"/>
              </w:rPr>
              <w:t>In Equation (18-16) for j in the second permutation for data interleaving, the closing parenthesis should be moved from immediately after the "mod s" to immediately before, matching Equation (22-78)</w:t>
            </w:r>
          </w:p>
        </w:tc>
        <w:tc>
          <w:tcPr>
            <w:tcW w:w="2508" w:type="dxa"/>
            <w:hideMark/>
          </w:tcPr>
          <w:p w:rsidR="001A7ADC" w:rsidRDefault="001A7ADC">
            <w:pPr>
              <w:rPr>
                <w:rFonts w:ascii="Arial" w:hAnsi="Arial" w:cs="Arial"/>
                <w:sz w:val="20"/>
              </w:rPr>
            </w:pPr>
            <w:r>
              <w:rPr>
                <w:rFonts w:ascii="Arial" w:hAnsi="Arial" w:cs="Arial"/>
                <w:sz w:val="20"/>
              </w:rPr>
              <w:t>As it says in the comment</w:t>
            </w:r>
          </w:p>
        </w:tc>
        <w:tc>
          <w:tcPr>
            <w:tcW w:w="2508" w:type="dxa"/>
            <w:hideMark/>
          </w:tcPr>
          <w:p w:rsidR="001A7ADC" w:rsidRDefault="00BF02C0">
            <w:pPr>
              <w:rPr>
                <w:rFonts w:ascii="Arial" w:hAnsi="Arial" w:cs="Arial"/>
                <w:sz w:val="20"/>
              </w:rPr>
            </w:pPr>
            <w:r>
              <w:rPr>
                <w:rFonts w:ascii="Arial" w:hAnsi="Arial" w:cs="Arial"/>
                <w:sz w:val="20"/>
              </w:rPr>
              <w:t>Accept</w:t>
            </w:r>
          </w:p>
        </w:tc>
      </w:tr>
    </w:tbl>
    <w:p w:rsidR="00D51277" w:rsidRDefault="00D51277"/>
    <w:p w:rsidR="00D51277" w:rsidRDefault="00D51277"/>
    <w:tbl>
      <w:tblPr>
        <w:tblStyle w:val="TableGrid"/>
        <w:tblW w:w="0" w:type="auto"/>
        <w:tblLook w:val="04A0" w:firstRow="1" w:lastRow="0" w:firstColumn="1" w:lastColumn="0" w:noHBand="0" w:noVBand="1"/>
      </w:tblPr>
      <w:tblGrid>
        <w:gridCol w:w="661"/>
        <w:gridCol w:w="1095"/>
        <w:gridCol w:w="869"/>
        <w:gridCol w:w="746"/>
        <w:gridCol w:w="2450"/>
        <w:gridCol w:w="2436"/>
        <w:gridCol w:w="2399"/>
      </w:tblGrid>
      <w:tr w:rsidR="00C04194" w:rsidRPr="00D51277" w:rsidTr="003937B1">
        <w:trPr>
          <w:trHeight w:val="980"/>
        </w:trPr>
        <w:tc>
          <w:tcPr>
            <w:tcW w:w="657" w:type="dxa"/>
            <w:hideMark/>
          </w:tcPr>
          <w:p w:rsidR="00C04194" w:rsidRDefault="00C04194">
            <w:pPr>
              <w:jc w:val="right"/>
              <w:rPr>
                <w:rFonts w:ascii="Arial" w:hAnsi="Arial" w:cs="Arial"/>
                <w:sz w:val="20"/>
              </w:rPr>
            </w:pPr>
            <w:r>
              <w:rPr>
                <w:rFonts w:ascii="Arial" w:hAnsi="Arial" w:cs="Arial"/>
                <w:sz w:val="20"/>
              </w:rPr>
              <w:t>6258</w:t>
            </w:r>
          </w:p>
        </w:tc>
        <w:tc>
          <w:tcPr>
            <w:tcW w:w="1096" w:type="dxa"/>
            <w:hideMark/>
          </w:tcPr>
          <w:p w:rsidR="00C04194" w:rsidRDefault="00C04194">
            <w:pPr>
              <w:rPr>
                <w:rFonts w:ascii="Arial" w:hAnsi="Arial" w:cs="Arial"/>
                <w:sz w:val="20"/>
              </w:rPr>
            </w:pPr>
            <w:r>
              <w:rPr>
                <w:rFonts w:ascii="Arial" w:hAnsi="Arial" w:cs="Arial"/>
                <w:sz w:val="20"/>
              </w:rPr>
              <w:t>19.4.8.3</w:t>
            </w:r>
          </w:p>
        </w:tc>
        <w:tc>
          <w:tcPr>
            <w:tcW w:w="869" w:type="dxa"/>
            <w:hideMark/>
          </w:tcPr>
          <w:p w:rsidR="00C04194" w:rsidRDefault="00C04194">
            <w:pPr>
              <w:rPr>
                <w:rFonts w:ascii="Arial" w:hAnsi="Arial" w:cs="Arial"/>
                <w:sz w:val="20"/>
              </w:rPr>
            </w:pPr>
            <w:r>
              <w:rPr>
                <w:rFonts w:ascii="Arial" w:hAnsi="Arial" w:cs="Arial"/>
                <w:sz w:val="20"/>
              </w:rPr>
              <w:t>2284</w:t>
            </w:r>
          </w:p>
        </w:tc>
        <w:tc>
          <w:tcPr>
            <w:tcW w:w="746" w:type="dxa"/>
            <w:hideMark/>
          </w:tcPr>
          <w:p w:rsidR="00C04194" w:rsidRDefault="00C04194">
            <w:pPr>
              <w:rPr>
                <w:rFonts w:ascii="Arial" w:hAnsi="Arial" w:cs="Arial"/>
                <w:sz w:val="20"/>
              </w:rPr>
            </w:pPr>
            <w:r>
              <w:rPr>
                <w:rFonts w:ascii="Arial" w:hAnsi="Arial" w:cs="Arial"/>
                <w:sz w:val="20"/>
              </w:rPr>
              <w:t>4</w:t>
            </w:r>
          </w:p>
        </w:tc>
        <w:tc>
          <w:tcPr>
            <w:tcW w:w="2451" w:type="dxa"/>
            <w:hideMark/>
          </w:tcPr>
          <w:p w:rsidR="00C04194" w:rsidRDefault="00C04194">
            <w:pPr>
              <w:rPr>
                <w:rFonts w:ascii="Arial" w:hAnsi="Arial" w:cs="Arial"/>
                <w:sz w:val="20"/>
              </w:rPr>
            </w:pPr>
            <w:r>
              <w:rPr>
                <w:rFonts w:ascii="Arial" w:hAnsi="Arial" w:cs="Arial"/>
                <w:sz w:val="20"/>
              </w:rPr>
              <w:t>It says "compliant with the OFDM PHY"</w:t>
            </w:r>
          </w:p>
        </w:tc>
        <w:tc>
          <w:tcPr>
            <w:tcW w:w="2437" w:type="dxa"/>
            <w:hideMark/>
          </w:tcPr>
          <w:p w:rsidR="00C04194" w:rsidRDefault="00C04194">
            <w:pPr>
              <w:rPr>
                <w:rFonts w:ascii="Arial" w:hAnsi="Arial" w:cs="Arial"/>
                <w:sz w:val="20"/>
              </w:rPr>
            </w:pPr>
            <w:r>
              <w:rPr>
                <w:rFonts w:ascii="Arial" w:hAnsi="Arial" w:cs="Arial"/>
                <w:sz w:val="20"/>
              </w:rPr>
              <w:t>Change to "compliant with the ERP"</w:t>
            </w:r>
          </w:p>
        </w:tc>
        <w:tc>
          <w:tcPr>
            <w:tcW w:w="2400" w:type="dxa"/>
            <w:hideMark/>
          </w:tcPr>
          <w:p w:rsidR="00C04194" w:rsidRDefault="00CC13A3">
            <w:pPr>
              <w:rPr>
                <w:rFonts w:ascii="Arial" w:hAnsi="Arial" w:cs="Arial"/>
                <w:sz w:val="20"/>
              </w:rPr>
            </w:pPr>
            <w:r>
              <w:rPr>
                <w:rFonts w:ascii="Arial" w:hAnsi="Arial" w:cs="Arial"/>
                <w:sz w:val="20"/>
              </w:rPr>
              <w:t>Revise. Change “compliant with the OFDM PHY” to  “compliant with the ERP-OFDM modes”</w:t>
            </w:r>
          </w:p>
        </w:tc>
      </w:tr>
    </w:tbl>
    <w:p w:rsidR="00D51277" w:rsidRDefault="00D51277"/>
    <w:p w:rsidR="00D51277" w:rsidRDefault="00D51277"/>
    <w:tbl>
      <w:tblPr>
        <w:tblStyle w:val="TableGrid"/>
        <w:tblW w:w="0" w:type="auto"/>
        <w:tblLook w:val="04A0" w:firstRow="1" w:lastRow="0" w:firstColumn="1" w:lastColumn="0" w:noHBand="0" w:noVBand="1"/>
      </w:tblPr>
      <w:tblGrid>
        <w:gridCol w:w="661"/>
        <w:gridCol w:w="1096"/>
        <w:gridCol w:w="860"/>
        <w:gridCol w:w="733"/>
        <w:gridCol w:w="2451"/>
        <w:gridCol w:w="2451"/>
        <w:gridCol w:w="2404"/>
      </w:tblGrid>
      <w:tr w:rsidR="00051C23" w:rsidRPr="00D51277" w:rsidTr="003937B1">
        <w:trPr>
          <w:trHeight w:val="1160"/>
        </w:trPr>
        <w:tc>
          <w:tcPr>
            <w:tcW w:w="657" w:type="dxa"/>
            <w:hideMark/>
          </w:tcPr>
          <w:p w:rsidR="00051C23" w:rsidRDefault="00051C23">
            <w:pPr>
              <w:jc w:val="right"/>
              <w:rPr>
                <w:rFonts w:ascii="Arial" w:hAnsi="Arial" w:cs="Arial"/>
                <w:sz w:val="20"/>
              </w:rPr>
            </w:pPr>
            <w:r>
              <w:rPr>
                <w:rFonts w:ascii="Arial" w:hAnsi="Arial" w:cs="Arial"/>
                <w:sz w:val="20"/>
              </w:rPr>
              <w:lastRenderedPageBreak/>
              <w:t>6259</w:t>
            </w:r>
          </w:p>
        </w:tc>
        <w:tc>
          <w:tcPr>
            <w:tcW w:w="1097" w:type="dxa"/>
            <w:hideMark/>
          </w:tcPr>
          <w:p w:rsidR="00051C23" w:rsidRDefault="00051C23">
            <w:pPr>
              <w:rPr>
                <w:rFonts w:ascii="Arial" w:hAnsi="Arial" w:cs="Arial"/>
                <w:sz w:val="20"/>
              </w:rPr>
            </w:pPr>
            <w:r>
              <w:rPr>
                <w:rFonts w:ascii="Arial" w:hAnsi="Arial" w:cs="Arial"/>
                <w:sz w:val="20"/>
              </w:rPr>
              <w:t>19.4.8.3</w:t>
            </w:r>
          </w:p>
        </w:tc>
        <w:tc>
          <w:tcPr>
            <w:tcW w:w="860" w:type="dxa"/>
            <w:hideMark/>
          </w:tcPr>
          <w:p w:rsidR="00051C23" w:rsidRDefault="00051C23">
            <w:pPr>
              <w:rPr>
                <w:rFonts w:ascii="Arial" w:hAnsi="Arial" w:cs="Arial"/>
                <w:sz w:val="20"/>
              </w:rPr>
            </w:pPr>
            <w:r>
              <w:rPr>
                <w:rFonts w:ascii="Arial" w:hAnsi="Arial" w:cs="Arial"/>
                <w:sz w:val="20"/>
              </w:rPr>
              <w:t>2284</w:t>
            </w:r>
          </w:p>
        </w:tc>
        <w:tc>
          <w:tcPr>
            <w:tcW w:w="733" w:type="dxa"/>
            <w:hideMark/>
          </w:tcPr>
          <w:p w:rsidR="00051C23" w:rsidRDefault="00051C23">
            <w:pPr>
              <w:rPr>
                <w:rFonts w:ascii="Arial" w:hAnsi="Arial" w:cs="Arial"/>
                <w:sz w:val="20"/>
              </w:rPr>
            </w:pPr>
            <w:r>
              <w:rPr>
                <w:rFonts w:ascii="Arial" w:hAnsi="Arial" w:cs="Arial"/>
                <w:sz w:val="20"/>
              </w:rPr>
              <w:t>5</w:t>
            </w:r>
          </w:p>
        </w:tc>
        <w:tc>
          <w:tcPr>
            <w:tcW w:w="2452" w:type="dxa"/>
            <w:hideMark/>
          </w:tcPr>
          <w:p w:rsidR="00051C23" w:rsidRDefault="00051C23">
            <w:pPr>
              <w:rPr>
                <w:rFonts w:ascii="Arial" w:hAnsi="Arial" w:cs="Arial"/>
                <w:sz w:val="20"/>
              </w:rPr>
            </w:pPr>
            <w:r>
              <w:rPr>
                <w:rFonts w:ascii="Arial" w:hAnsi="Arial" w:cs="Arial"/>
                <w:sz w:val="20"/>
              </w:rPr>
              <w:t>It says "For an OFDM PHY"</w:t>
            </w:r>
          </w:p>
        </w:tc>
        <w:tc>
          <w:tcPr>
            <w:tcW w:w="2452" w:type="dxa"/>
            <w:hideMark/>
          </w:tcPr>
          <w:p w:rsidR="00051C23" w:rsidRDefault="00051C23">
            <w:pPr>
              <w:rPr>
                <w:rFonts w:ascii="Arial" w:hAnsi="Arial" w:cs="Arial"/>
                <w:sz w:val="20"/>
              </w:rPr>
            </w:pPr>
            <w:r>
              <w:rPr>
                <w:rFonts w:ascii="Arial" w:hAnsi="Arial" w:cs="Arial"/>
                <w:sz w:val="20"/>
              </w:rPr>
              <w:t>Change to "For an ERP"</w:t>
            </w:r>
          </w:p>
        </w:tc>
        <w:tc>
          <w:tcPr>
            <w:tcW w:w="2405" w:type="dxa"/>
            <w:hideMark/>
          </w:tcPr>
          <w:p w:rsidR="00051C23" w:rsidRDefault="00CC13A3" w:rsidP="003D1CB2">
            <w:pPr>
              <w:rPr>
                <w:rFonts w:ascii="Arial" w:hAnsi="Arial" w:cs="Arial"/>
                <w:sz w:val="20"/>
              </w:rPr>
            </w:pPr>
            <w:r>
              <w:rPr>
                <w:rFonts w:ascii="Arial" w:hAnsi="Arial" w:cs="Arial"/>
                <w:sz w:val="20"/>
              </w:rPr>
              <w:t xml:space="preserve">Revise. Change “For an OFDM PHY” to  “For ERP-OFDM </w:t>
            </w:r>
            <w:r w:rsidR="003D1CB2">
              <w:rPr>
                <w:rFonts w:ascii="Arial" w:hAnsi="Arial" w:cs="Arial"/>
                <w:sz w:val="20"/>
              </w:rPr>
              <w:t>PHY</w:t>
            </w:r>
            <w:r>
              <w:rPr>
                <w:rFonts w:ascii="Arial" w:hAnsi="Arial" w:cs="Arial"/>
                <w:sz w:val="20"/>
              </w:rPr>
              <w:t>”</w:t>
            </w:r>
          </w:p>
        </w:tc>
      </w:tr>
    </w:tbl>
    <w:p w:rsidR="00D51277" w:rsidRDefault="00D51277"/>
    <w:p w:rsidR="00D51277" w:rsidRDefault="00D51277"/>
    <w:tbl>
      <w:tblPr>
        <w:tblStyle w:val="TableGrid"/>
        <w:tblW w:w="0" w:type="auto"/>
        <w:tblLook w:val="04A0" w:firstRow="1" w:lastRow="0" w:firstColumn="1" w:lastColumn="0" w:noHBand="0" w:noVBand="1"/>
      </w:tblPr>
      <w:tblGrid>
        <w:gridCol w:w="661"/>
        <w:gridCol w:w="1206"/>
        <w:gridCol w:w="869"/>
        <w:gridCol w:w="726"/>
        <w:gridCol w:w="2405"/>
        <w:gridCol w:w="2366"/>
        <w:gridCol w:w="2423"/>
      </w:tblGrid>
      <w:tr w:rsidR="00051C23" w:rsidRPr="00D51277" w:rsidTr="00051C23">
        <w:trPr>
          <w:trHeight w:val="1275"/>
        </w:trPr>
        <w:tc>
          <w:tcPr>
            <w:tcW w:w="656" w:type="dxa"/>
            <w:hideMark/>
          </w:tcPr>
          <w:p w:rsidR="00051C23" w:rsidRDefault="00051C23">
            <w:pPr>
              <w:jc w:val="right"/>
              <w:rPr>
                <w:rFonts w:ascii="Arial" w:hAnsi="Arial" w:cs="Arial"/>
                <w:sz w:val="20"/>
              </w:rPr>
            </w:pPr>
            <w:r>
              <w:rPr>
                <w:rFonts w:ascii="Arial" w:hAnsi="Arial" w:cs="Arial"/>
                <w:sz w:val="20"/>
              </w:rPr>
              <w:t>6281</w:t>
            </w:r>
          </w:p>
        </w:tc>
        <w:tc>
          <w:tcPr>
            <w:tcW w:w="1206" w:type="dxa"/>
            <w:hideMark/>
          </w:tcPr>
          <w:p w:rsidR="00051C23" w:rsidRDefault="00051C23">
            <w:pPr>
              <w:rPr>
                <w:rFonts w:ascii="Arial" w:hAnsi="Arial" w:cs="Arial"/>
                <w:sz w:val="20"/>
              </w:rPr>
            </w:pPr>
            <w:r>
              <w:rPr>
                <w:rFonts w:ascii="Arial" w:hAnsi="Arial" w:cs="Arial"/>
                <w:sz w:val="20"/>
              </w:rPr>
              <w:t>18.3.12</w:t>
            </w:r>
          </w:p>
        </w:tc>
        <w:tc>
          <w:tcPr>
            <w:tcW w:w="869" w:type="dxa"/>
            <w:hideMark/>
          </w:tcPr>
          <w:p w:rsidR="00051C23" w:rsidRDefault="00051C23">
            <w:pPr>
              <w:rPr>
                <w:rFonts w:ascii="Arial" w:hAnsi="Arial" w:cs="Arial"/>
                <w:sz w:val="20"/>
              </w:rPr>
            </w:pPr>
            <w:r>
              <w:rPr>
                <w:rFonts w:ascii="Arial" w:hAnsi="Arial" w:cs="Arial"/>
                <w:sz w:val="20"/>
              </w:rPr>
              <w:t>2269</w:t>
            </w:r>
          </w:p>
        </w:tc>
        <w:tc>
          <w:tcPr>
            <w:tcW w:w="726" w:type="dxa"/>
            <w:hideMark/>
          </w:tcPr>
          <w:p w:rsidR="00051C23" w:rsidRDefault="00051C23">
            <w:pPr>
              <w:rPr>
                <w:rFonts w:ascii="Arial" w:hAnsi="Arial" w:cs="Arial"/>
                <w:sz w:val="20"/>
              </w:rPr>
            </w:pPr>
            <w:r>
              <w:rPr>
                <w:rFonts w:ascii="Arial" w:hAnsi="Arial" w:cs="Arial"/>
                <w:sz w:val="20"/>
              </w:rPr>
              <w:t>55</w:t>
            </w:r>
          </w:p>
        </w:tc>
        <w:tc>
          <w:tcPr>
            <w:tcW w:w="2406" w:type="dxa"/>
            <w:hideMark/>
          </w:tcPr>
          <w:p w:rsidR="00051C23" w:rsidRDefault="00051C23">
            <w:pPr>
              <w:rPr>
                <w:rFonts w:ascii="Arial" w:hAnsi="Arial" w:cs="Arial"/>
                <w:sz w:val="20"/>
              </w:rPr>
            </w:pPr>
            <w:r>
              <w:rPr>
                <w:rFonts w:ascii="Arial" w:hAnsi="Arial" w:cs="Arial"/>
                <w:sz w:val="20"/>
              </w:rPr>
              <w:t>It says "Once the SIGNAL is detected, without any errors detected by a single parity (even), FEC decode shall be initiated and the PHY SERVICE fields and data shall be received, decoded (a Viterbi decoder is recommended), and checked by ITU-T CRC-32. If the FCS by the ITU-T CRC-32 check fails, the PHY receiver shall return to the RX IDLE state, as depicted in Figure 18-19 (Receive PHY)." but ITU CRC-32 is not defined or referenced.  Is any of this blurb necessary anyway (it's not in any other PHY)?</w:t>
            </w:r>
          </w:p>
        </w:tc>
        <w:tc>
          <w:tcPr>
            <w:tcW w:w="2368" w:type="dxa"/>
            <w:hideMark/>
          </w:tcPr>
          <w:p w:rsidR="00051C23" w:rsidRDefault="00051C23">
            <w:pPr>
              <w:rPr>
                <w:rFonts w:ascii="Arial" w:hAnsi="Arial" w:cs="Arial"/>
                <w:sz w:val="20"/>
              </w:rPr>
            </w:pPr>
            <w:r>
              <w:rPr>
                <w:rFonts w:ascii="Arial" w:hAnsi="Arial" w:cs="Arial"/>
                <w:sz w:val="20"/>
              </w:rPr>
              <w:t>Delete the cited text</w:t>
            </w:r>
          </w:p>
        </w:tc>
        <w:tc>
          <w:tcPr>
            <w:tcW w:w="2425" w:type="dxa"/>
            <w:hideMark/>
          </w:tcPr>
          <w:p w:rsidR="00051C23" w:rsidRDefault="005A7642">
            <w:pPr>
              <w:rPr>
                <w:rFonts w:ascii="Arial" w:hAnsi="Arial" w:cs="Arial"/>
                <w:sz w:val="20"/>
              </w:rPr>
            </w:pPr>
            <w:r>
              <w:rPr>
                <w:rFonts w:ascii="Arial" w:hAnsi="Arial" w:cs="Arial"/>
                <w:sz w:val="20"/>
              </w:rPr>
              <w:t xml:space="preserve">Accept. Delete the text. </w:t>
            </w:r>
          </w:p>
        </w:tc>
      </w:tr>
    </w:tbl>
    <w:p w:rsidR="00D51277" w:rsidRDefault="00D51277"/>
    <w:p w:rsidR="00F47E2A" w:rsidRDefault="00F47E2A" w:rsidP="00F47E2A"/>
    <w:p w:rsidR="00F47E2A" w:rsidRDefault="00F47E2A" w:rsidP="00F47E2A"/>
    <w:tbl>
      <w:tblPr>
        <w:tblStyle w:val="TableGrid"/>
        <w:tblW w:w="0" w:type="auto"/>
        <w:tblLook w:val="04A0" w:firstRow="1" w:lastRow="0" w:firstColumn="1" w:lastColumn="0" w:noHBand="0" w:noVBand="1"/>
      </w:tblPr>
      <w:tblGrid>
        <w:gridCol w:w="662"/>
        <w:gridCol w:w="1106"/>
        <w:gridCol w:w="859"/>
        <w:gridCol w:w="732"/>
        <w:gridCol w:w="2447"/>
        <w:gridCol w:w="2447"/>
        <w:gridCol w:w="2403"/>
      </w:tblGrid>
      <w:tr w:rsidR="00F47E2A" w:rsidRPr="00D51277" w:rsidTr="00FA011A">
        <w:trPr>
          <w:trHeight w:val="1785"/>
        </w:trPr>
        <w:tc>
          <w:tcPr>
            <w:tcW w:w="661" w:type="dxa"/>
            <w:hideMark/>
          </w:tcPr>
          <w:p w:rsidR="00F47E2A" w:rsidRDefault="00F47E2A">
            <w:pPr>
              <w:jc w:val="right"/>
              <w:rPr>
                <w:rFonts w:ascii="Arial" w:hAnsi="Arial" w:cs="Arial"/>
                <w:sz w:val="20"/>
              </w:rPr>
            </w:pPr>
            <w:r>
              <w:rPr>
                <w:rFonts w:ascii="Arial" w:hAnsi="Arial" w:cs="Arial"/>
                <w:sz w:val="20"/>
              </w:rPr>
              <w:t>6304</w:t>
            </w:r>
          </w:p>
        </w:tc>
        <w:tc>
          <w:tcPr>
            <w:tcW w:w="1096" w:type="dxa"/>
            <w:hideMark/>
          </w:tcPr>
          <w:p w:rsidR="00F47E2A" w:rsidRDefault="00F47E2A">
            <w:pPr>
              <w:rPr>
                <w:rFonts w:ascii="Arial" w:hAnsi="Arial" w:cs="Arial"/>
                <w:sz w:val="20"/>
              </w:rPr>
            </w:pPr>
            <w:r>
              <w:rPr>
                <w:rFonts w:ascii="Arial" w:hAnsi="Arial" w:cs="Arial"/>
                <w:sz w:val="20"/>
              </w:rPr>
              <w:t>7.3.5.10.4</w:t>
            </w:r>
          </w:p>
        </w:tc>
        <w:tc>
          <w:tcPr>
            <w:tcW w:w="860" w:type="dxa"/>
            <w:hideMark/>
          </w:tcPr>
          <w:p w:rsidR="00F47E2A" w:rsidRDefault="00F47E2A">
            <w:pPr>
              <w:rPr>
                <w:rFonts w:ascii="Arial" w:hAnsi="Arial" w:cs="Arial"/>
                <w:sz w:val="20"/>
              </w:rPr>
            </w:pPr>
            <w:r>
              <w:rPr>
                <w:rFonts w:ascii="Arial" w:hAnsi="Arial" w:cs="Arial"/>
                <w:sz w:val="20"/>
              </w:rPr>
              <w:t>551</w:t>
            </w:r>
          </w:p>
        </w:tc>
        <w:tc>
          <w:tcPr>
            <w:tcW w:w="733" w:type="dxa"/>
            <w:hideMark/>
          </w:tcPr>
          <w:p w:rsidR="00F47E2A" w:rsidRDefault="00F47E2A">
            <w:pPr>
              <w:rPr>
                <w:rFonts w:ascii="Arial" w:hAnsi="Arial" w:cs="Arial"/>
                <w:sz w:val="20"/>
              </w:rPr>
            </w:pPr>
            <w:r>
              <w:rPr>
                <w:rFonts w:ascii="Arial" w:hAnsi="Arial" w:cs="Arial"/>
                <w:sz w:val="20"/>
              </w:rPr>
              <w:t>36</w:t>
            </w:r>
          </w:p>
        </w:tc>
        <w:tc>
          <w:tcPr>
            <w:tcW w:w="2451" w:type="dxa"/>
            <w:hideMark/>
          </w:tcPr>
          <w:p w:rsidR="00F47E2A" w:rsidRDefault="00F47E2A">
            <w:pPr>
              <w:rPr>
                <w:rFonts w:ascii="Arial" w:hAnsi="Arial" w:cs="Arial"/>
                <w:sz w:val="20"/>
              </w:rPr>
            </w:pPr>
            <w:r>
              <w:rPr>
                <w:rFonts w:ascii="Arial" w:hAnsi="Arial" w:cs="Arial"/>
                <w:sz w:val="20"/>
              </w:rPr>
              <w:t>"reset the PHY CS/CCA timers" -- what PHY CS/CCA timers</w:t>
            </w:r>
          </w:p>
        </w:tc>
        <w:tc>
          <w:tcPr>
            <w:tcW w:w="2451" w:type="dxa"/>
            <w:hideMark/>
          </w:tcPr>
          <w:p w:rsidR="00F47E2A" w:rsidRDefault="00F47E2A">
            <w:pPr>
              <w:rPr>
                <w:rFonts w:ascii="Arial" w:hAnsi="Arial" w:cs="Arial"/>
                <w:sz w:val="20"/>
              </w:rPr>
            </w:pPr>
            <w:r>
              <w:rPr>
                <w:rFonts w:ascii="Arial" w:hAnsi="Arial" w:cs="Arial"/>
                <w:sz w:val="20"/>
              </w:rPr>
              <w:t>Refer explicitly to the timers being reset</w:t>
            </w:r>
          </w:p>
        </w:tc>
        <w:tc>
          <w:tcPr>
            <w:tcW w:w="2404" w:type="dxa"/>
            <w:hideMark/>
          </w:tcPr>
          <w:p w:rsidR="00F47E2A" w:rsidRDefault="00F47E2A">
            <w:pPr>
              <w:rPr>
                <w:rFonts w:ascii="Arial" w:hAnsi="Arial" w:cs="Arial"/>
                <w:sz w:val="20"/>
              </w:rPr>
            </w:pPr>
            <w:r>
              <w:rPr>
                <w:rFonts w:ascii="Arial" w:hAnsi="Arial" w:cs="Arial"/>
                <w:sz w:val="20"/>
              </w:rPr>
              <w:t xml:space="preserve">Revise. </w:t>
            </w:r>
          </w:p>
          <w:p w:rsidR="00F47E2A" w:rsidRDefault="00F47E2A">
            <w:pPr>
              <w:rPr>
                <w:rFonts w:ascii="Arial" w:hAnsi="Arial" w:cs="Arial"/>
                <w:sz w:val="20"/>
              </w:rPr>
            </w:pPr>
          </w:p>
          <w:p w:rsidR="00F47E2A" w:rsidRDefault="00F47E2A" w:rsidP="00F47E2A">
            <w:pPr>
              <w:rPr>
                <w:rFonts w:ascii="Arial" w:hAnsi="Arial" w:cs="Arial"/>
                <w:sz w:val="20"/>
                <w:lang w:val="en-US"/>
              </w:rPr>
            </w:pPr>
            <w:r w:rsidRPr="00F47E2A">
              <w:rPr>
                <w:rFonts w:ascii="Arial" w:hAnsi="Arial" w:cs="Arial"/>
                <w:sz w:val="20"/>
                <w:lang w:val="en-US"/>
              </w:rPr>
              <w:t xml:space="preserve">Change: </w:t>
            </w:r>
            <w:r>
              <w:rPr>
                <w:rFonts w:ascii="Arial" w:hAnsi="Arial" w:cs="Arial"/>
                <w:sz w:val="20"/>
                <w:lang w:val="en-US"/>
              </w:rPr>
              <w:t>“</w:t>
            </w:r>
            <w:r w:rsidRPr="00F47E2A">
              <w:rPr>
                <w:rFonts w:ascii="Arial" w:hAnsi="Arial" w:cs="Arial"/>
                <w:sz w:val="20"/>
                <w:lang w:val="en-US"/>
              </w:rPr>
              <w:t>The effect of receipt of this primitive by the PHY entity is to reset the PHY CS/CCA timers to the state appropriate for the end of a received frame and to initiate a new CCA evaluation cycle.</w:t>
            </w:r>
            <w:r>
              <w:rPr>
                <w:rFonts w:ascii="Arial" w:hAnsi="Arial" w:cs="Arial"/>
                <w:sz w:val="20"/>
                <w:lang w:val="en-US"/>
              </w:rPr>
              <w:t>”</w:t>
            </w:r>
          </w:p>
          <w:p w:rsidR="00F47E2A" w:rsidRPr="00F47E2A" w:rsidRDefault="00F47E2A" w:rsidP="00F47E2A">
            <w:pPr>
              <w:rPr>
                <w:rFonts w:ascii="Arial" w:hAnsi="Arial" w:cs="Arial"/>
                <w:sz w:val="20"/>
                <w:lang w:val="en-US"/>
              </w:rPr>
            </w:pPr>
          </w:p>
          <w:p w:rsidR="00F47E2A" w:rsidRDefault="00F47E2A" w:rsidP="00F47E2A">
            <w:pPr>
              <w:rPr>
                <w:rFonts w:ascii="Arial" w:hAnsi="Arial" w:cs="Arial"/>
                <w:sz w:val="20"/>
                <w:lang w:val="en-US"/>
              </w:rPr>
            </w:pPr>
            <w:r w:rsidRPr="00F47E2A">
              <w:rPr>
                <w:rFonts w:ascii="Arial" w:hAnsi="Arial" w:cs="Arial"/>
                <w:sz w:val="20"/>
                <w:lang w:val="en-US"/>
              </w:rPr>
              <w:t xml:space="preserve">To: </w:t>
            </w:r>
            <w:r>
              <w:rPr>
                <w:rFonts w:ascii="Arial" w:hAnsi="Arial" w:cs="Arial"/>
                <w:sz w:val="20"/>
                <w:lang w:val="en-US"/>
              </w:rPr>
              <w:t>“</w:t>
            </w:r>
            <w:r w:rsidRPr="00F47E2A">
              <w:rPr>
                <w:rFonts w:ascii="Arial" w:hAnsi="Arial" w:cs="Arial"/>
                <w:sz w:val="20"/>
                <w:lang w:val="en-US"/>
              </w:rPr>
              <w:t>The effect of receipt of this primitive by the PHY entity is to reset the PHY CCA mechanism to IDLE, to issue PHY-</w:t>
            </w:r>
            <w:proofErr w:type="spellStart"/>
            <w:r w:rsidRPr="00F47E2A">
              <w:rPr>
                <w:rFonts w:ascii="Arial" w:hAnsi="Arial" w:cs="Arial"/>
                <w:sz w:val="20"/>
                <w:lang w:val="en-US"/>
              </w:rPr>
              <w:t>CCA.indication</w:t>
            </w:r>
            <w:proofErr w:type="spellEnd"/>
            <w:r w:rsidRPr="00F47E2A">
              <w:rPr>
                <w:rFonts w:ascii="Arial" w:hAnsi="Arial" w:cs="Arial"/>
                <w:sz w:val="20"/>
                <w:lang w:val="en-US"/>
              </w:rPr>
              <w:t>(IDLE) and to initiate a new CCA evaluation cycle.</w:t>
            </w:r>
            <w:r>
              <w:rPr>
                <w:rFonts w:ascii="Arial" w:hAnsi="Arial" w:cs="Arial"/>
                <w:sz w:val="20"/>
                <w:lang w:val="en-US"/>
              </w:rPr>
              <w:t>”</w:t>
            </w:r>
          </w:p>
          <w:p w:rsidR="00F47E2A" w:rsidRDefault="00F47E2A" w:rsidP="00F47E2A">
            <w:pPr>
              <w:rPr>
                <w:rFonts w:ascii="Arial" w:hAnsi="Arial" w:cs="Arial"/>
                <w:sz w:val="20"/>
                <w:lang w:val="en-US"/>
              </w:rPr>
            </w:pPr>
          </w:p>
          <w:p w:rsidR="00F47E2A" w:rsidRPr="00F47E2A" w:rsidRDefault="004E14BE" w:rsidP="00F47E2A">
            <w:pPr>
              <w:rPr>
                <w:rFonts w:ascii="Arial" w:hAnsi="Arial" w:cs="Arial"/>
                <w:sz w:val="20"/>
                <w:lang w:val="en-US"/>
              </w:rPr>
            </w:pPr>
            <w:r>
              <w:rPr>
                <w:rFonts w:ascii="Arial" w:hAnsi="Arial" w:cs="Arial"/>
                <w:sz w:val="20"/>
                <w:lang w:val="en-US"/>
              </w:rPr>
              <w:t>See 11-15-1424-01</w:t>
            </w:r>
            <w:bookmarkStart w:id="0" w:name="_GoBack"/>
            <w:bookmarkEnd w:id="0"/>
            <w:r w:rsidR="00F47E2A">
              <w:rPr>
                <w:rFonts w:ascii="Arial" w:hAnsi="Arial" w:cs="Arial"/>
                <w:sz w:val="20"/>
                <w:lang w:val="en-US"/>
              </w:rPr>
              <w:t xml:space="preserve"> for discussion.</w:t>
            </w:r>
          </w:p>
          <w:p w:rsidR="00F47E2A" w:rsidRDefault="00F47E2A">
            <w:pPr>
              <w:rPr>
                <w:rFonts w:ascii="Arial" w:hAnsi="Arial" w:cs="Arial"/>
                <w:sz w:val="20"/>
              </w:rPr>
            </w:pPr>
          </w:p>
        </w:tc>
      </w:tr>
    </w:tbl>
    <w:p w:rsidR="00F47E2A" w:rsidRDefault="00F47E2A" w:rsidP="00F47E2A"/>
    <w:p w:rsidR="00051C23" w:rsidRDefault="00051C23"/>
    <w:p w:rsidR="00051C23" w:rsidRDefault="00051C23" w:rsidP="00051C23"/>
    <w:tbl>
      <w:tblPr>
        <w:tblStyle w:val="TableGrid"/>
        <w:tblW w:w="0" w:type="auto"/>
        <w:tblLook w:val="04A0" w:firstRow="1" w:lastRow="0" w:firstColumn="1" w:lastColumn="0" w:noHBand="0" w:noVBand="1"/>
      </w:tblPr>
      <w:tblGrid>
        <w:gridCol w:w="661"/>
        <w:gridCol w:w="1096"/>
        <w:gridCol w:w="860"/>
        <w:gridCol w:w="733"/>
        <w:gridCol w:w="2451"/>
        <w:gridCol w:w="2451"/>
        <w:gridCol w:w="2404"/>
      </w:tblGrid>
      <w:tr w:rsidR="00051C23" w:rsidRPr="00D51277" w:rsidTr="00051C23">
        <w:trPr>
          <w:trHeight w:val="1785"/>
        </w:trPr>
        <w:tc>
          <w:tcPr>
            <w:tcW w:w="661" w:type="dxa"/>
            <w:hideMark/>
          </w:tcPr>
          <w:p w:rsidR="00051C23" w:rsidRDefault="00051C23">
            <w:pPr>
              <w:jc w:val="right"/>
              <w:rPr>
                <w:rFonts w:ascii="Arial" w:hAnsi="Arial" w:cs="Arial"/>
                <w:sz w:val="20"/>
              </w:rPr>
            </w:pPr>
            <w:r>
              <w:rPr>
                <w:rFonts w:ascii="Arial" w:hAnsi="Arial" w:cs="Arial"/>
                <w:sz w:val="20"/>
              </w:rPr>
              <w:t>6409</w:t>
            </w:r>
          </w:p>
        </w:tc>
        <w:tc>
          <w:tcPr>
            <w:tcW w:w="1096" w:type="dxa"/>
            <w:hideMark/>
          </w:tcPr>
          <w:p w:rsidR="00051C23" w:rsidRDefault="00051C23">
            <w:pPr>
              <w:rPr>
                <w:rFonts w:ascii="Arial" w:hAnsi="Arial" w:cs="Arial"/>
                <w:sz w:val="20"/>
              </w:rPr>
            </w:pPr>
          </w:p>
        </w:tc>
        <w:tc>
          <w:tcPr>
            <w:tcW w:w="860" w:type="dxa"/>
            <w:hideMark/>
          </w:tcPr>
          <w:p w:rsidR="00051C23" w:rsidRDefault="00051C23">
            <w:pPr>
              <w:rPr>
                <w:rFonts w:ascii="Arial" w:hAnsi="Arial" w:cs="Arial"/>
                <w:sz w:val="20"/>
              </w:rPr>
            </w:pPr>
          </w:p>
        </w:tc>
        <w:tc>
          <w:tcPr>
            <w:tcW w:w="733" w:type="dxa"/>
            <w:hideMark/>
          </w:tcPr>
          <w:p w:rsidR="00051C23" w:rsidRDefault="00051C23">
            <w:pPr>
              <w:rPr>
                <w:rFonts w:ascii="Arial" w:hAnsi="Arial" w:cs="Arial"/>
                <w:sz w:val="20"/>
              </w:rPr>
            </w:pPr>
          </w:p>
        </w:tc>
        <w:tc>
          <w:tcPr>
            <w:tcW w:w="2451" w:type="dxa"/>
            <w:hideMark/>
          </w:tcPr>
          <w:p w:rsidR="00051C23" w:rsidRDefault="00051C23">
            <w:pPr>
              <w:rPr>
                <w:rFonts w:ascii="Arial" w:hAnsi="Arial" w:cs="Arial"/>
                <w:sz w:val="20"/>
              </w:rPr>
            </w:pPr>
            <w:r>
              <w:rPr>
                <w:rFonts w:ascii="Arial" w:hAnsi="Arial" w:cs="Arial"/>
                <w:sz w:val="20"/>
              </w:rPr>
              <w:t>The various PHYs have various energy detect thresholds, even for the same PPDU formats</w:t>
            </w:r>
          </w:p>
        </w:tc>
        <w:tc>
          <w:tcPr>
            <w:tcW w:w="2451" w:type="dxa"/>
            <w:hideMark/>
          </w:tcPr>
          <w:p w:rsidR="00051C23" w:rsidRDefault="00051C23">
            <w:pPr>
              <w:rPr>
                <w:rFonts w:ascii="Arial" w:hAnsi="Arial" w:cs="Arial"/>
                <w:sz w:val="20"/>
              </w:rPr>
            </w:pPr>
            <w:r>
              <w:rPr>
                <w:rFonts w:ascii="Arial" w:hAnsi="Arial" w:cs="Arial"/>
                <w:sz w:val="20"/>
              </w:rPr>
              <w:t>Align the thresholds for various PHYs (or at least make it clear which threshold is to be used when a PHY includes the waveforms of an earlier PHY, at least for things like preamble detect)</w:t>
            </w:r>
          </w:p>
        </w:tc>
        <w:tc>
          <w:tcPr>
            <w:tcW w:w="2404" w:type="dxa"/>
            <w:hideMark/>
          </w:tcPr>
          <w:p w:rsidR="00051C23" w:rsidRDefault="005A7642">
            <w:pPr>
              <w:rPr>
                <w:rFonts w:ascii="Arial" w:hAnsi="Arial" w:cs="Arial"/>
                <w:sz w:val="20"/>
              </w:rPr>
            </w:pPr>
            <w:r>
              <w:rPr>
                <w:rFonts w:ascii="Arial" w:hAnsi="Arial" w:cs="Arial"/>
                <w:sz w:val="20"/>
              </w:rPr>
              <w:t xml:space="preserve">Reject. Reason for rejection: In each PHY ED levels are clearly specified. Those ED levels should be used for corresponding PPDUs. </w:t>
            </w:r>
          </w:p>
        </w:tc>
      </w:tr>
    </w:tbl>
    <w:p w:rsidR="00051C23" w:rsidRDefault="00051C23" w:rsidP="00051C23"/>
    <w:p w:rsidR="00051C23" w:rsidRDefault="00051C23"/>
    <w:p w:rsidR="00051C23" w:rsidRDefault="00051C23" w:rsidP="00051C23"/>
    <w:tbl>
      <w:tblPr>
        <w:tblStyle w:val="TableGrid"/>
        <w:tblW w:w="0" w:type="auto"/>
        <w:tblLook w:val="04A0" w:firstRow="1" w:lastRow="0" w:firstColumn="1" w:lastColumn="0" w:noHBand="0" w:noVBand="1"/>
      </w:tblPr>
      <w:tblGrid>
        <w:gridCol w:w="661"/>
        <w:gridCol w:w="1096"/>
        <w:gridCol w:w="860"/>
        <w:gridCol w:w="733"/>
        <w:gridCol w:w="2451"/>
        <w:gridCol w:w="2451"/>
        <w:gridCol w:w="2404"/>
      </w:tblGrid>
      <w:tr w:rsidR="00051C23" w:rsidRPr="00D51277" w:rsidTr="00051C23">
        <w:trPr>
          <w:trHeight w:val="1785"/>
        </w:trPr>
        <w:tc>
          <w:tcPr>
            <w:tcW w:w="661" w:type="dxa"/>
            <w:hideMark/>
          </w:tcPr>
          <w:p w:rsidR="00051C23" w:rsidRDefault="00051C23">
            <w:pPr>
              <w:jc w:val="right"/>
              <w:rPr>
                <w:rFonts w:ascii="Arial" w:hAnsi="Arial" w:cs="Arial"/>
                <w:sz w:val="20"/>
              </w:rPr>
            </w:pPr>
            <w:r>
              <w:rPr>
                <w:rFonts w:ascii="Arial" w:hAnsi="Arial" w:cs="Arial"/>
                <w:sz w:val="20"/>
              </w:rPr>
              <w:t>6423</w:t>
            </w:r>
          </w:p>
        </w:tc>
        <w:tc>
          <w:tcPr>
            <w:tcW w:w="1096" w:type="dxa"/>
            <w:hideMark/>
          </w:tcPr>
          <w:p w:rsidR="00051C23" w:rsidRDefault="00051C23">
            <w:pPr>
              <w:rPr>
                <w:rFonts w:ascii="Arial" w:hAnsi="Arial" w:cs="Arial"/>
                <w:sz w:val="20"/>
              </w:rPr>
            </w:pPr>
            <w:r>
              <w:rPr>
                <w:rFonts w:ascii="Arial" w:hAnsi="Arial" w:cs="Arial"/>
                <w:sz w:val="20"/>
              </w:rPr>
              <w:t>16.4.5.5</w:t>
            </w:r>
          </w:p>
        </w:tc>
        <w:tc>
          <w:tcPr>
            <w:tcW w:w="860" w:type="dxa"/>
            <w:hideMark/>
          </w:tcPr>
          <w:p w:rsidR="00051C23" w:rsidRDefault="00051C23">
            <w:pPr>
              <w:rPr>
                <w:rFonts w:ascii="Arial" w:hAnsi="Arial" w:cs="Arial"/>
                <w:sz w:val="20"/>
              </w:rPr>
            </w:pPr>
            <w:r>
              <w:rPr>
                <w:rFonts w:ascii="Arial" w:hAnsi="Arial" w:cs="Arial"/>
                <w:sz w:val="20"/>
              </w:rPr>
              <w:t>2191</w:t>
            </w:r>
          </w:p>
        </w:tc>
        <w:tc>
          <w:tcPr>
            <w:tcW w:w="733" w:type="dxa"/>
            <w:hideMark/>
          </w:tcPr>
          <w:p w:rsidR="00051C23" w:rsidRDefault="00051C23">
            <w:pPr>
              <w:rPr>
                <w:rFonts w:ascii="Arial" w:hAnsi="Arial" w:cs="Arial"/>
                <w:sz w:val="20"/>
              </w:rPr>
            </w:pPr>
            <w:r>
              <w:rPr>
                <w:rFonts w:ascii="Arial" w:hAnsi="Arial" w:cs="Arial"/>
                <w:sz w:val="20"/>
              </w:rPr>
              <w:t>27</w:t>
            </w:r>
          </w:p>
        </w:tc>
        <w:tc>
          <w:tcPr>
            <w:tcW w:w="2451" w:type="dxa"/>
            <w:hideMark/>
          </w:tcPr>
          <w:p w:rsidR="00051C23" w:rsidRDefault="00051C23">
            <w:pPr>
              <w:rPr>
                <w:rFonts w:ascii="Arial" w:hAnsi="Arial" w:cs="Arial"/>
                <w:sz w:val="20"/>
              </w:rPr>
            </w:pPr>
            <w:r>
              <w:rPr>
                <w:rFonts w:ascii="Arial" w:hAnsi="Arial" w:cs="Arial"/>
                <w:sz w:val="20"/>
              </w:rPr>
              <w:t>What is "B90/2pi"?  Any is it formatted correctly?</w:t>
            </w:r>
          </w:p>
        </w:tc>
        <w:tc>
          <w:tcPr>
            <w:tcW w:w="2451" w:type="dxa"/>
            <w:hideMark/>
          </w:tcPr>
          <w:p w:rsidR="00051C23" w:rsidRDefault="00051C23">
            <w:pPr>
              <w:rPr>
                <w:rFonts w:ascii="Arial" w:hAnsi="Arial" w:cs="Arial"/>
                <w:sz w:val="20"/>
              </w:rPr>
            </w:pPr>
            <w:r>
              <w:rPr>
                <w:rFonts w:ascii="Arial" w:hAnsi="Arial" w:cs="Arial"/>
                <w:sz w:val="20"/>
              </w:rPr>
              <w:t>Clarify, and change the pi to a symbol; should the 90 be superscript or something?</w:t>
            </w:r>
          </w:p>
        </w:tc>
        <w:tc>
          <w:tcPr>
            <w:tcW w:w="2404" w:type="dxa"/>
            <w:hideMark/>
          </w:tcPr>
          <w:p w:rsidR="00D55A81" w:rsidRPr="00D55A81" w:rsidRDefault="00D55A81" w:rsidP="00D55A81">
            <w:pPr>
              <w:rPr>
                <w:rFonts w:ascii="Helvetica" w:hAnsi="Helvetica" w:cs="Helvetica"/>
                <w:sz w:val="20"/>
              </w:rPr>
            </w:pPr>
            <w:r w:rsidRPr="00D55A81">
              <w:rPr>
                <w:rFonts w:ascii="Helvetica" w:hAnsi="Helvetica" w:cs="Helvetica"/>
                <w:sz w:val="20"/>
              </w:rPr>
              <w:t>Revise</w:t>
            </w:r>
          </w:p>
          <w:p w:rsidR="00D55A81" w:rsidRPr="00D55A81" w:rsidRDefault="00D55A81" w:rsidP="00D55A81">
            <w:pPr>
              <w:rPr>
                <w:rFonts w:ascii="Helvetica" w:hAnsi="Helvetica" w:cs="Helvetica"/>
                <w:sz w:val="20"/>
              </w:rPr>
            </w:pPr>
          </w:p>
          <w:p w:rsidR="00D55A81" w:rsidRPr="00D55A81" w:rsidRDefault="00D55A81" w:rsidP="00D55A81">
            <w:pPr>
              <w:rPr>
                <w:rFonts w:ascii="Helvetica" w:hAnsi="Helvetica" w:cs="Helvetica"/>
                <w:color w:val="000000"/>
                <w:sz w:val="20"/>
              </w:rPr>
            </w:pPr>
            <w:r w:rsidRPr="00D55A81">
              <w:rPr>
                <w:rFonts w:ascii="Helvetica" w:hAnsi="Helvetica" w:cs="Helvetica"/>
                <w:sz w:val="20"/>
              </w:rPr>
              <w:t>Change:</w:t>
            </w:r>
          </w:p>
          <w:p w:rsidR="00D55A81" w:rsidRPr="00D55A81" w:rsidRDefault="00D55A81" w:rsidP="00D55A81">
            <w:pPr>
              <w:rPr>
                <w:rFonts w:ascii="Helvetica" w:hAnsi="Helvetica" w:cs="Helvetica"/>
                <w:color w:val="000000"/>
                <w:sz w:val="20"/>
              </w:rPr>
            </w:pPr>
          </w:p>
          <w:p w:rsidR="00D55A81" w:rsidRPr="00D55A81" w:rsidRDefault="00D55A81" w:rsidP="00D55A81">
            <w:pPr>
              <w:autoSpaceDE w:val="0"/>
              <w:autoSpaceDN w:val="0"/>
              <w:adjustRightInd w:val="0"/>
              <w:rPr>
                <w:rFonts w:ascii="Helvetica" w:hAnsi="Helvetica" w:cs="Helvetica"/>
                <w:sz w:val="20"/>
                <w:lang w:val="en-US"/>
              </w:rPr>
            </w:pPr>
            <w:r w:rsidRPr="00D55A81">
              <w:rPr>
                <w:rFonts w:ascii="Helvetica" w:hAnsi="Helvetica" w:cs="Helvetica"/>
                <w:color w:val="000000"/>
                <w:sz w:val="20"/>
              </w:rPr>
              <w:t>“</w:t>
            </w:r>
            <w:r w:rsidRPr="00D55A81">
              <w:rPr>
                <w:rFonts w:ascii="Helvetica" w:hAnsi="Helvetica" w:cs="Helvetica"/>
                <w:sz w:val="20"/>
                <w:lang w:val="en-US"/>
              </w:rPr>
              <w:t>Channel 14 is unique. The Japanese standard ARIB RCR-STD 33 (5.0) [B7] states that B90/2pi normalized</w:t>
            </w:r>
          </w:p>
          <w:p w:rsidR="00D55A81" w:rsidRPr="00D55A81" w:rsidRDefault="00D55A81" w:rsidP="00D55A81">
            <w:pPr>
              <w:rPr>
                <w:rFonts w:ascii="Helvetica" w:hAnsi="Helvetica" w:cs="Helvetica"/>
                <w:sz w:val="20"/>
                <w:lang w:val="en-US"/>
              </w:rPr>
            </w:pPr>
            <w:proofErr w:type="gramStart"/>
            <w:r w:rsidRPr="00D55A81">
              <w:rPr>
                <w:rFonts w:ascii="Helvetica" w:hAnsi="Helvetica" w:cs="Helvetica"/>
                <w:sz w:val="20"/>
                <w:lang w:val="en-US"/>
              </w:rPr>
              <w:t>to</w:t>
            </w:r>
            <w:proofErr w:type="gramEnd"/>
            <w:r w:rsidRPr="00D55A81">
              <w:rPr>
                <w:rFonts w:ascii="Helvetica" w:hAnsi="Helvetica" w:cs="Helvetica"/>
                <w:sz w:val="20"/>
                <w:lang w:val="en-US"/>
              </w:rPr>
              <w:t xml:space="preserve"> the ‘transmission speed of modulation signal’ shall be &gt; 10.” </w:t>
            </w:r>
          </w:p>
          <w:p w:rsidR="00D55A81" w:rsidRPr="00D55A81" w:rsidRDefault="00D55A81" w:rsidP="00D55A81">
            <w:pPr>
              <w:rPr>
                <w:rFonts w:ascii="Helvetica" w:hAnsi="Helvetica" w:cs="Helvetica"/>
                <w:sz w:val="20"/>
                <w:lang w:val="en-US"/>
              </w:rPr>
            </w:pPr>
          </w:p>
          <w:p w:rsidR="00D55A81" w:rsidRPr="00D55A81" w:rsidRDefault="00D55A81" w:rsidP="00D55A81">
            <w:pPr>
              <w:rPr>
                <w:rFonts w:ascii="Helvetica" w:hAnsi="Helvetica" w:cs="Helvetica"/>
                <w:sz w:val="20"/>
                <w:lang w:val="en-US"/>
              </w:rPr>
            </w:pPr>
            <w:r w:rsidRPr="00D55A81">
              <w:rPr>
                <w:rFonts w:ascii="Helvetica" w:hAnsi="Helvetica" w:cs="Helvetica"/>
                <w:sz w:val="20"/>
                <w:lang w:val="en-US"/>
              </w:rPr>
              <w:t xml:space="preserve">To: </w:t>
            </w:r>
          </w:p>
          <w:p w:rsidR="00D55A81" w:rsidRPr="00D55A81" w:rsidRDefault="00D55A81" w:rsidP="00D55A81">
            <w:pPr>
              <w:rPr>
                <w:rFonts w:ascii="Helvetica" w:hAnsi="Helvetica" w:cs="Helvetica"/>
                <w:sz w:val="20"/>
                <w:lang w:val="en-US"/>
              </w:rPr>
            </w:pPr>
          </w:p>
          <w:p w:rsidR="00D55A81" w:rsidRPr="00D55A81" w:rsidRDefault="00D55A81" w:rsidP="00D55A81">
            <w:pPr>
              <w:autoSpaceDE w:val="0"/>
              <w:autoSpaceDN w:val="0"/>
              <w:adjustRightInd w:val="0"/>
              <w:rPr>
                <w:rFonts w:ascii="Helvetica" w:hAnsi="Helvetica" w:cs="Helvetica"/>
                <w:sz w:val="20"/>
                <w:lang w:val="en-US"/>
              </w:rPr>
            </w:pPr>
            <w:r w:rsidRPr="00D55A81">
              <w:rPr>
                <w:rFonts w:ascii="Helvetica" w:hAnsi="Helvetica" w:cs="Helvetica"/>
                <w:sz w:val="20"/>
                <w:lang w:val="en-US"/>
              </w:rPr>
              <w:t>“Channel 14 is unique. The Japanese standard ARIB RCR-STD 33 (5.0) [B7] states that B90/2pi normalized</w:t>
            </w:r>
          </w:p>
          <w:p w:rsidR="00D55A81" w:rsidRPr="00D55A81" w:rsidRDefault="00D55A81" w:rsidP="00D55A81">
            <w:pPr>
              <w:rPr>
                <w:rFonts w:ascii="Helvetica" w:hAnsi="Helvetica" w:cs="Helvetica"/>
                <w:color w:val="000000"/>
                <w:sz w:val="20"/>
              </w:rPr>
            </w:pPr>
            <w:proofErr w:type="gramStart"/>
            <w:r w:rsidRPr="00D55A81">
              <w:rPr>
                <w:rFonts w:ascii="Helvetica" w:hAnsi="Helvetica" w:cs="Helvetica"/>
                <w:sz w:val="20"/>
                <w:lang w:val="en-US"/>
              </w:rPr>
              <w:t>to</w:t>
            </w:r>
            <w:proofErr w:type="gramEnd"/>
            <w:r w:rsidRPr="00D55A81">
              <w:rPr>
                <w:rFonts w:ascii="Helvetica" w:hAnsi="Helvetica" w:cs="Helvetica"/>
                <w:sz w:val="20"/>
                <w:lang w:val="en-US"/>
              </w:rPr>
              <w:t xml:space="preserve"> the ‘transmission speed of modulation signal’ shall be &gt; 10, </w:t>
            </w:r>
            <w:r w:rsidRPr="00D55A81">
              <w:rPr>
                <w:rFonts w:ascii="Helvetica" w:hAnsi="Helvetica" w:cs="Helvetica"/>
                <w:color w:val="000000"/>
                <w:sz w:val="20"/>
                <w:u w:val="single"/>
              </w:rPr>
              <w:t>where B90 is the 90% occupied</w:t>
            </w:r>
            <w:r w:rsidR="004B07AE">
              <w:rPr>
                <w:rFonts w:ascii="Helvetica" w:hAnsi="Helvetica" w:cs="Helvetica"/>
                <w:color w:val="000000"/>
                <w:sz w:val="20"/>
                <w:u w:val="single"/>
              </w:rPr>
              <w:t xml:space="preserve"> channel</w:t>
            </w:r>
            <w:r w:rsidRPr="00D55A81">
              <w:rPr>
                <w:rFonts w:ascii="Helvetica" w:hAnsi="Helvetica" w:cs="Helvetica"/>
                <w:color w:val="000000"/>
                <w:sz w:val="20"/>
                <w:u w:val="single"/>
              </w:rPr>
              <w:t xml:space="preserve"> bandwidth</w:t>
            </w:r>
            <w:r w:rsidRPr="00D55A81">
              <w:rPr>
                <w:rFonts w:ascii="Helvetica" w:hAnsi="Helvetica" w:cs="Helvetica"/>
                <w:sz w:val="20"/>
                <w:lang w:val="en-US"/>
              </w:rPr>
              <w:t>.</w:t>
            </w:r>
          </w:p>
          <w:p w:rsidR="00D55A81" w:rsidRPr="00D55A81" w:rsidRDefault="00D55A81" w:rsidP="00D55A81">
            <w:pPr>
              <w:rPr>
                <w:rFonts w:ascii="Helvetica" w:hAnsi="Helvetica" w:cs="Helvetica"/>
                <w:color w:val="000000"/>
                <w:sz w:val="20"/>
              </w:rPr>
            </w:pPr>
          </w:p>
          <w:p w:rsidR="00D55A81" w:rsidRDefault="00D55A81" w:rsidP="00D55A81">
            <w:pPr>
              <w:rPr>
                <w:rFonts w:ascii="Arial" w:hAnsi="Arial" w:cs="Arial"/>
                <w:sz w:val="20"/>
              </w:rPr>
            </w:pPr>
            <w:r w:rsidRPr="00D55A81">
              <w:rPr>
                <w:rFonts w:ascii="Helvetica" w:hAnsi="Helvetica" w:cs="Helvetica"/>
                <w:color w:val="000000"/>
                <w:sz w:val="20"/>
              </w:rPr>
              <w:t>Editor – please change “pi” to symbol.</w:t>
            </w:r>
          </w:p>
        </w:tc>
      </w:tr>
    </w:tbl>
    <w:p w:rsidR="00051C23" w:rsidRDefault="00051C23" w:rsidP="00051C23"/>
    <w:p w:rsidR="00051C23" w:rsidRDefault="00051C23"/>
    <w:sectPr w:rsidR="00051C23" w:rsidSect="0071246A">
      <w:headerReference w:type="default" r:id="rId9"/>
      <w:footerReference w:type="default" r:id="rId10"/>
      <w:pgSz w:w="12240" w:h="15840" w:code="1"/>
      <w:pgMar w:top="720" w:right="720" w:bottom="720" w:left="36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D0" w:rsidRDefault="002F3ED0">
      <w:r>
        <w:separator/>
      </w:r>
    </w:p>
  </w:endnote>
  <w:endnote w:type="continuationSeparator" w:id="0">
    <w:p w:rsidR="002F3ED0" w:rsidRDefault="002F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C83D5D">
    <w:pPr>
      <w:pStyle w:val="Footer"/>
      <w:tabs>
        <w:tab w:val="clear" w:pos="6480"/>
        <w:tab w:val="center" w:pos="4680"/>
        <w:tab w:val="right" w:pos="9360"/>
      </w:tabs>
    </w:pPr>
    <w:fldSimple w:instr=" SUBJECT  \* MERGEFORMAT ">
      <w:r w:rsidR="00FB21A5">
        <w:t>Submission</w:t>
      </w:r>
    </w:fldSimple>
    <w:r w:rsidR="0029020B">
      <w:tab/>
      <w:t xml:space="preserve">page </w:t>
    </w:r>
    <w:r w:rsidR="0029020B">
      <w:fldChar w:fldCharType="begin"/>
    </w:r>
    <w:r w:rsidR="0029020B">
      <w:instrText xml:space="preserve">page </w:instrText>
    </w:r>
    <w:r w:rsidR="0029020B">
      <w:fldChar w:fldCharType="separate"/>
    </w:r>
    <w:r w:rsidR="004E14BE">
      <w:rPr>
        <w:noProof/>
      </w:rPr>
      <w:t>1</w:t>
    </w:r>
    <w:r w:rsidR="0029020B">
      <w:fldChar w:fldCharType="end"/>
    </w:r>
    <w:r w:rsidR="0029020B">
      <w:tab/>
    </w:r>
    <w:fldSimple w:instr=" COMMENTS  \* MERGEFORMAT ">
      <w:r w:rsidR="004D2FFA">
        <w:t>Vinko Erceg</w:t>
      </w:r>
      <w:r w:rsidR="0003359A">
        <w:t>, Broadcom</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D0" w:rsidRDefault="002F3ED0">
      <w:r>
        <w:separator/>
      </w:r>
    </w:p>
  </w:footnote>
  <w:footnote w:type="continuationSeparator" w:id="0">
    <w:p w:rsidR="002F3ED0" w:rsidRDefault="002F3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74524C">
    <w:pPr>
      <w:pStyle w:val="Header"/>
      <w:tabs>
        <w:tab w:val="clear" w:pos="6480"/>
        <w:tab w:val="center" w:pos="4680"/>
        <w:tab w:val="right" w:pos="9360"/>
      </w:tabs>
    </w:pPr>
    <w:r>
      <w:t>November</w:t>
    </w:r>
    <w:r w:rsidR="001B5E8F">
      <w:t xml:space="preserve"> 2015</w:t>
    </w:r>
    <w:r w:rsidR="0029020B">
      <w:tab/>
    </w:r>
    <w:r w:rsidR="0029020B">
      <w:tab/>
    </w:r>
    <w:fldSimple w:instr=" TITLE  \* MERGEFORMAT ">
      <w:r w:rsidR="00704EBE">
        <w:t>doc.: IEEE 802.11-15</w:t>
      </w:r>
      <w:r w:rsidR="004D2FFA">
        <w:t>/</w:t>
      </w:r>
    </w:fldSimple>
    <w:r w:rsidR="00FB1025">
      <w:t>1400</w:t>
    </w:r>
    <w:r>
      <w:t>r0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23A54"/>
    <w:rsid w:val="0003359A"/>
    <w:rsid w:val="00034FC4"/>
    <w:rsid w:val="00051C23"/>
    <w:rsid w:val="00083F34"/>
    <w:rsid w:val="000877BA"/>
    <w:rsid w:val="000A1C21"/>
    <w:rsid w:val="000A283D"/>
    <w:rsid w:val="000A4F77"/>
    <w:rsid w:val="000D21EF"/>
    <w:rsid w:val="000E51ED"/>
    <w:rsid w:val="000F4027"/>
    <w:rsid w:val="001004FB"/>
    <w:rsid w:val="001207D1"/>
    <w:rsid w:val="00120ECA"/>
    <w:rsid w:val="00121EC4"/>
    <w:rsid w:val="00140B4B"/>
    <w:rsid w:val="001472F2"/>
    <w:rsid w:val="00150EBE"/>
    <w:rsid w:val="00163F08"/>
    <w:rsid w:val="00166890"/>
    <w:rsid w:val="00181748"/>
    <w:rsid w:val="00184C82"/>
    <w:rsid w:val="001A7ADC"/>
    <w:rsid w:val="001B5E8F"/>
    <w:rsid w:val="001C0196"/>
    <w:rsid w:val="001C34F3"/>
    <w:rsid w:val="001D723B"/>
    <w:rsid w:val="002156B9"/>
    <w:rsid w:val="00230EE3"/>
    <w:rsid w:val="002354CD"/>
    <w:rsid w:val="00241023"/>
    <w:rsid w:val="00243F45"/>
    <w:rsid w:val="00246161"/>
    <w:rsid w:val="002470F0"/>
    <w:rsid w:val="002606E2"/>
    <w:rsid w:val="00262552"/>
    <w:rsid w:val="0028433A"/>
    <w:rsid w:val="002845C5"/>
    <w:rsid w:val="0029020B"/>
    <w:rsid w:val="002D44BE"/>
    <w:rsid w:val="002D5401"/>
    <w:rsid w:val="002F3ED0"/>
    <w:rsid w:val="003173AC"/>
    <w:rsid w:val="00336A56"/>
    <w:rsid w:val="003576A2"/>
    <w:rsid w:val="003666D0"/>
    <w:rsid w:val="00376794"/>
    <w:rsid w:val="003937B1"/>
    <w:rsid w:val="00396C7A"/>
    <w:rsid w:val="003B6F0A"/>
    <w:rsid w:val="003B7F20"/>
    <w:rsid w:val="003C5A13"/>
    <w:rsid w:val="003D1CB2"/>
    <w:rsid w:val="003E4B85"/>
    <w:rsid w:val="003E6FF5"/>
    <w:rsid w:val="003F4B63"/>
    <w:rsid w:val="004119B2"/>
    <w:rsid w:val="0042486D"/>
    <w:rsid w:val="00426E7E"/>
    <w:rsid w:val="004306DF"/>
    <w:rsid w:val="00442037"/>
    <w:rsid w:val="00442B7D"/>
    <w:rsid w:val="00443293"/>
    <w:rsid w:val="0045716B"/>
    <w:rsid w:val="0046647B"/>
    <w:rsid w:val="004674EB"/>
    <w:rsid w:val="00485C83"/>
    <w:rsid w:val="004A7F2C"/>
    <w:rsid w:val="004B07AE"/>
    <w:rsid w:val="004D0007"/>
    <w:rsid w:val="004D2FFA"/>
    <w:rsid w:val="004E14BE"/>
    <w:rsid w:val="004E39F5"/>
    <w:rsid w:val="004E50B1"/>
    <w:rsid w:val="00500552"/>
    <w:rsid w:val="00501856"/>
    <w:rsid w:val="005138F2"/>
    <w:rsid w:val="00517CE4"/>
    <w:rsid w:val="005430DD"/>
    <w:rsid w:val="00547CE1"/>
    <w:rsid w:val="005613C7"/>
    <w:rsid w:val="0059488E"/>
    <w:rsid w:val="00595FFF"/>
    <w:rsid w:val="005A3827"/>
    <w:rsid w:val="005A53EE"/>
    <w:rsid w:val="005A7642"/>
    <w:rsid w:val="005F001D"/>
    <w:rsid w:val="00601B38"/>
    <w:rsid w:val="0060405C"/>
    <w:rsid w:val="00605D2C"/>
    <w:rsid w:val="00607FF6"/>
    <w:rsid w:val="0061515C"/>
    <w:rsid w:val="00620D8E"/>
    <w:rsid w:val="0062440B"/>
    <w:rsid w:val="00627676"/>
    <w:rsid w:val="00672E7B"/>
    <w:rsid w:val="0067586C"/>
    <w:rsid w:val="00684532"/>
    <w:rsid w:val="006C0727"/>
    <w:rsid w:val="006D3556"/>
    <w:rsid w:val="006E145F"/>
    <w:rsid w:val="00704EBE"/>
    <w:rsid w:val="007051ED"/>
    <w:rsid w:val="00707353"/>
    <w:rsid w:val="0071246A"/>
    <w:rsid w:val="00721427"/>
    <w:rsid w:val="00735186"/>
    <w:rsid w:val="007403B2"/>
    <w:rsid w:val="0074524C"/>
    <w:rsid w:val="007507C2"/>
    <w:rsid w:val="00770572"/>
    <w:rsid w:val="00772239"/>
    <w:rsid w:val="00796F0E"/>
    <w:rsid w:val="007D0C74"/>
    <w:rsid w:val="00821793"/>
    <w:rsid w:val="00833A2B"/>
    <w:rsid w:val="008761BF"/>
    <w:rsid w:val="008B3724"/>
    <w:rsid w:val="008E5D66"/>
    <w:rsid w:val="008E71BA"/>
    <w:rsid w:val="00902E40"/>
    <w:rsid w:val="009358A0"/>
    <w:rsid w:val="009658DD"/>
    <w:rsid w:val="009877A2"/>
    <w:rsid w:val="00997C08"/>
    <w:rsid w:val="009D7785"/>
    <w:rsid w:val="009E18E2"/>
    <w:rsid w:val="009F18BC"/>
    <w:rsid w:val="00A31D4F"/>
    <w:rsid w:val="00A6195E"/>
    <w:rsid w:val="00A86CD7"/>
    <w:rsid w:val="00AA427C"/>
    <w:rsid w:val="00AC57F2"/>
    <w:rsid w:val="00AD0F4B"/>
    <w:rsid w:val="00AE4BED"/>
    <w:rsid w:val="00B23D30"/>
    <w:rsid w:val="00B52DB7"/>
    <w:rsid w:val="00B62A25"/>
    <w:rsid w:val="00B62FD5"/>
    <w:rsid w:val="00BA6879"/>
    <w:rsid w:val="00BB2538"/>
    <w:rsid w:val="00BC35D3"/>
    <w:rsid w:val="00BD7F75"/>
    <w:rsid w:val="00BE68C2"/>
    <w:rsid w:val="00BF02C0"/>
    <w:rsid w:val="00C04194"/>
    <w:rsid w:val="00C1395F"/>
    <w:rsid w:val="00C238A9"/>
    <w:rsid w:val="00C41B9A"/>
    <w:rsid w:val="00C515F4"/>
    <w:rsid w:val="00C56DBE"/>
    <w:rsid w:val="00C77FFA"/>
    <w:rsid w:val="00C83D5D"/>
    <w:rsid w:val="00CA09B2"/>
    <w:rsid w:val="00CB2D42"/>
    <w:rsid w:val="00CB618B"/>
    <w:rsid w:val="00CC13A3"/>
    <w:rsid w:val="00CC2541"/>
    <w:rsid w:val="00D11908"/>
    <w:rsid w:val="00D24274"/>
    <w:rsid w:val="00D51277"/>
    <w:rsid w:val="00D55A81"/>
    <w:rsid w:val="00D66B72"/>
    <w:rsid w:val="00D71E5A"/>
    <w:rsid w:val="00D74F54"/>
    <w:rsid w:val="00D96B45"/>
    <w:rsid w:val="00DB1601"/>
    <w:rsid w:val="00DC5667"/>
    <w:rsid w:val="00DC5A7B"/>
    <w:rsid w:val="00DC5B91"/>
    <w:rsid w:val="00DF48E6"/>
    <w:rsid w:val="00E06479"/>
    <w:rsid w:val="00E26BAD"/>
    <w:rsid w:val="00E73CB0"/>
    <w:rsid w:val="00E7683A"/>
    <w:rsid w:val="00EA5893"/>
    <w:rsid w:val="00ED62D6"/>
    <w:rsid w:val="00F0558D"/>
    <w:rsid w:val="00F43E74"/>
    <w:rsid w:val="00F47E2A"/>
    <w:rsid w:val="00F521A2"/>
    <w:rsid w:val="00F61B58"/>
    <w:rsid w:val="00F67C25"/>
    <w:rsid w:val="00FB1025"/>
    <w:rsid w:val="00FB21A5"/>
    <w:rsid w:val="00FC4821"/>
    <w:rsid w:val="00FD16D7"/>
    <w:rsid w:val="00FD570A"/>
    <w:rsid w:val="00FD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NormalWeb">
    <w:name w:val="Normal (Web)"/>
    <w:basedOn w:val="Normal"/>
    <w:uiPriority w:val="99"/>
    <w:unhideWhenUsed/>
    <w:rsid w:val="00F47E2A"/>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NormalWeb">
    <w:name w:val="Normal (Web)"/>
    <w:basedOn w:val="Normal"/>
    <w:uiPriority w:val="99"/>
    <w:unhideWhenUsed/>
    <w:rsid w:val="00F47E2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723">
      <w:bodyDiv w:val="1"/>
      <w:marLeft w:val="0"/>
      <w:marRight w:val="0"/>
      <w:marTop w:val="0"/>
      <w:marBottom w:val="0"/>
      <w:divBdr>
        <w:top w:val="none" w:sz="0" w:space="0" w:color="auto"/>
        <w:left w:val="none" w:sz="0" w:space="0" w:color="auto"/>
        <w:bottom w:val="none" w:sz="0" w:space="0" w:color="auto"/>
        <w:right w:val="none" w:sz="0" w:space="0" w:color="auto"/>
      </w:divBdr>
    </w:div>
    <w:div w:id="55517272">
      <w:bodyDiv w:val="1"/>
      <w:marLeft w:val="0"/>
      <w:marRight w:val="0"/>
      <w:marTop w:val="0"/>
      <w:marBottom w:val="0"/>
      <w:divBdr>
        <w:top w:val="none" w:sz="0" w:space="0" w:color="auto"/>
        <w:left w:val="none" w:sz="0" w:space="0" w:color="auto"/>
        <w:bottom w:val="none" w:sz="0" w:space="0" w:color="auto"/>
        <w:right w:val="none" w:sz="0" w:space="0" w:color="auto"/>
      </w:divBdr>
    </w:div>
    <w:div w:id="100227328">
      <w:bodyDiv w:val="1"/>
      <w:marLeft w:val="0"/>
      <w:marRight w:val="0"/>
      <w:marTop w:val="0"/>
      <w:marBottom w:val="0"/>
      <w:divBdr>
        <w:top w:val="none" w:sz="0" w:space="0" w:color="auto"/>
        <w:left w:val="none" w:sz="0" w:space="0" w:color="auto"/>
        <w:bottom w:val="none" w:sz="0" w:space="0" w:color="auto"/>
        <w:right w:val="none" w:sz="0" w:space="0" w:color="auto"/>
      </w:divBdr>
    </w:div>
    <w:div w:id="128012614">
      <w:bodyDiv w:val="1"/>
      <w:marLeft w:val="0"/>
      <w:marRight w:val="0"/>
      <w:marTop w:val="0"/>
      <w:marBottom w:val="0"/>
      <w:divBdr>
        <w:top w:val="none" w:sz="0" w:space="0" w:color="auto"/>
        <w:left w:val="none" w:sz="0" w:space="0" w:color="auto"/>
        <w:bottom w:val="none" w:sz="0" w:space="0" w:color="auto"/>
        <w:right w:val="none" w:sz="0" w:space="0" w:color="auto"/>
      </w:divBdr>
    </w:div>
    <w:div w:id="216282740">
      <w:bodyDiv w:val="1"/>
      <w:marLeft w:val="0"/>
      <w:marRight w:val="0"/>
      <w:marTop w:val="0"/>
      <w:marBottom w:val="0"/>
      <w:divBdr>
        <w:top w:val="none" w:sz="0" w:space="0" w:color="auto"/>
        <w:left w:val="none" w:sz="0" w:space="0" w:color="auto"/>
        <w:bottom w:val="none" w:sz="0" w:space="0" w:color="auto"/>
        <w:right w:val="none" w:sz="0" w:space="0" w:color="auto"/>
      </w:divBdr>
    </w:div>
    <w:div w:id="221525788">
      <w:bodyDiv w:val="1"/>
      <w:marLeft w:val="0"/>
      <w:marRight w:val="0"/>
      <w:marTop w:val="0"/>
      <w:marBottom w:val="0"/>
      <w:divBdr>
        <w:top w:val="none" w:sz="0" w:space="0" w:color="auto"/>
        <w:left w:val="none" w:sz="0" w:space="0" w:color="auto"/>
        <w:bottom w:val="none" w:sz="0" w:space="0" w:color="auto"/>
        <w:right w:val="none" w:sz="0" w:space="0" w:color="auto"/>
      </w:divBdr>
    </w:div>
    <w:div w:id="487479806">
      <w:bodyDiv w:val="1"/>
      <w:marLeft w:val="0"/>
      <w:marRight w:val="0"/>
      <w:marTop w:val="0"/>
      <w:marBottom w:val="0"/>
      <w:divBdr>
        <w:top w:val="none" w:sz="0" w:space="0" w:color="auto"/>
        <w:left w:val="none" w:sz="0" w:space="0" w:color="auto"/>
        <w:bottom w:val="none" w:sz="0" w:space="0" w:color="auto"/>
        <w:right w:val="none" w:sz="0" w:space="0" w:color="auto"/>
      </w:divBdr>
    </w:div>
    <w:div w:id="576595356">
      <w:bodyDiv w:val="1"/>
      <w:marLeft w:val="0"/>
      <w:marRight w:val="0"/>
      <w:marTop w:val="0"/>
      <w:marBottom w:val="0"/>
      <w:divBdr>
        <w:top w:val="none" w:sz="0" w:space="0" w:color="auto"/>
        <w:left w:val="none" w:sz="0" w:space="0" w:color="auto"/>
        <w:bottom w:val="none" w:sz="0" w:space="0" w:color="auto"/>
        <w:right w:val="none" w:sz="0" w:space="0" w:color="auto"/>
      </w:divBdr>
    </w:div>
    <w:div w:id="850146933">
      <w:bodyDiv w:val="1"/>
      <w:marLeft w:val="0"/>
      <w:marRight w:val="0"/>
      <w:marTop w:val="0"/>
      <w:marBottom w:val="0"/>
      <w:divBdr>
        <w:top w:val="none" w:sz="0" w:space="0" w:color="auto"/>
        <w:left w:val="none" w:sz="0" w:space="0" w:color="auto"/>
        <w:bottom w:val="none" w:sz="0" w:space="0" w:color="auto"/>
        <w:right w:val="none" w:sz="0" w:space="0" w:color="auto"/>
      </w:divBdr>
    </w:div>
    <w:div w:id="875627780">
      <w:bodyDiv w:val="1"/>
      <w:marLeft w:val="0"/>
      <w:marRight w:val="0"/>
      <w:marTop w:val="0"/>
      <w:marBottom w:val="0"/>
      <w:divBdr>
        <w:top w:val="none" w:sz="0" w:space="0" w:color="auto"/>
        <w:left w:val="none" w:sz="0" w:space="0" w:color="auto"/>
        <w:bottom w:val="none" w:sz="0" w:space="0" w:color="auto"/>
        <w:right w:val="none" w:sz="0" w:space="0" w:color="auto"/>
      </w:divBdr>
    </w:div>
    <w:div w:id="91174129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5522541">
      <w:bodyDiv w:val="1"/>
      <w:marLeft w:val="0"/>
      <w:marRight w:val="0"/>
      <w:marTop w:val="0"/>
      <w:marBottom w:val="0"/>
      <w:divBdr>
        <w:top w:val="none" w:sz="0" w:space="0" w:color="auto"/>
        <w:left w:val="none" w:sz="0" w:space="0" w:color="auto"/>
        <w:bottom w:val="none" w:sz="0" w:space="0" w:color="auto"/>
        <w:right w:val="none" w:sz="0" w:space="0" w:color="auto"/>
      </w:divBdr>
    </w:div>
    <w:div w:id="1073545311">
      <w:bodyDiv w:val="1"/>
      <w:marLeft w:val="0"/>
      <w:marRight w:val="0"/>
      <w:marTop w:val="0"/>
      <w:marBottom w:val="0"/>
      <w:divBdr>
        <w:top w:val="none" w:sz="0" w:space="0" w:color="auto"/>
        <w:left w:val="none" w:sz="0" w:space="0" w:color="auto"/>
        <w:bottom w:val="none" w:sz="0" w:space="0" w:color="auto"/>
        <w:right w:val="none" w:sz="0" w:space="0" w:color="auto"/>
      </w:divBdr>
    </w:div>
    <w:div w:id="1099568498">
      <w:bodyDiv w:val="1"/>
      <w:marLeft w:val="0"/>
      <w:marRight w:val="0"/>
      <w:marTop w:val="0"/>
      <w:marBottom w:val="0"/>
      <w:divBdr>
        <w:top w:val="none" w:sz="0" w:space="0" w:color="auto"/>
        <w:left w:val="none" w:sz="0" w:space="0" w:color="auto"/>
        <w:bottom w:val="none" w:sz="0" w:space="0" w:color="auto"/>
        <w:right w:val="none" w:sz="0" w:space="0" w:color="auto"/>
      </w:divBdr>
    </w:div>
    <w:div w:id="1251624456">
      <w:bodyDiv w:val="1"/>
      <w:marLeft w:val="0"/>
      <w:marRight w:val="0"/>
      <w:marTop w:val="0"/>
      <w:marBottom w:val="0"/>
      <w:divBdr>
        <w:top w:val="none" w:sz="0" w:space="0" w:color="auto"/>
        <w:left w:val="none" w:sz="0" w:space="0" w:color="auto"/>
        <w:bottom w:val="none" w:sz="0" w:space="0" w:color="auto"/>
        <w:right w:val="none" w:sz="0" w:space="0" w:color="auto"/>
      </w:divBdr>
    </w:div>
    <w:div w:id="1364549251">
      <w:bodyDiv w:val="1"/>
      <w:marLeft w:val="0"/>
      <w:marRight w:val="0"/>
      <w:marTop w:val="0"/>
      <w:marBottom w:val="0"/>
      <w:divBdr>
        <w:top w:val="none" w:sz="0" w:space="0" w:color="auto"/>
        <w:left w:val="none" w:sz="0" w:space="0" w:color="auto"/>
        <w:bottom w:val="none" w:sz="0" w:space="0" w:color="auto"/>
        <w:right w:val="none" w:sz="0" w:space="0" w:color="auto"/>
      </w:divBdr>
    </w:div>
    <w:div w:id="1368797092">
      <w:bodyDiv w:val="1"/>
      <w:marLeft w:val="0"/>
      <w:marRight w:val="0"/>
      <w:marTop w:val="0"/>
      <w:marBottom w:val="0"/>
      <w:divBdr>
        <w:top w:val="none" w:sz="0" w:space="0" w:color="auto"/>
        <w:left w:val="none" w:sz="0" w:space="0" w:color="auto"/>
        <w:bottom w:val="none" w:sz="0" w:space="0" w:color="auto"/>
        <w:right w:val="none" w:sz="0" w:space="0" w:color="auto"/>
      </w:divBdr>
    </w:div>
    <w:div w:id="1440641647">
      <w:bodyDiv w:val="1"/>
      <w:marLeft w:val="0"/>
      <w:marRight w:val="0"/>
      <w:marTop w:val="0"/>
      <w:marBottom w:val="0"/>
      <w:divBdr>
        <w:top w:val="none" w:sz="0" w:space="0" w:color="auto"/>
        <w:left w:val="none" w:sz="0" w:space="0" w:color="auto"/>
        <w:bottom w:val="none" w:sz="0" w:space="0" w:color="auto"/>
        <w:right w:val="none" w:sz="0" w:space="0" w:color="auto"/>
      </w:divBdr>
    </w:div>
    <w:div w:id="1577668063">
      <w:bodyDiv w:val="1"/>
      <w:marLeft w:val="0"/>
      <w:marRight w:val="0"/>
      <w:marTop w:val="0"/>
      <w:marBottom w:val="0"/>
      <w:divBdr>
        <w:top w:val="none" w:sz="0" w:space="0" w:color="auto"/>
        <w:left w:val="none" w:sz="0" w:space="0" w:color="auto"/>
        <w:bottom w:val="none" w:sz="0" w:space="0" w:color="auto"/>
        <w:right w:val="none" w:sz="0" w:space="0" w:color="auto"/>
      </w:divBdr>
    </w:div>
    <w:div w:id="1584412015">
      <w:bodyDiv w:val="1"/>
      <w:marLeft w:val="0"/>
      <w:marRight w:val="0"/>
      <w:marTop w:val="0"/>
      <w:marBottom w:val="0"/>
      <w:divBdr>
        <w:top w:val="none" w:sz="0" w:space="0" w:color="auto"/>
        <w:left w:val="none" w:sz="0" w:space="0" w:color="auto"/>
        <w:bottom w:val="none" w:sz="0" w:space="0" w:color="auto"/>
        <w:right w:val="none" w:sz="0" w:space="0" w:color="auto"/>
      </w:divBdr>
      <w:divsChild>
        <w:div w:id="2023900152">
          <w:marLeft w:val="1354"/>
          <w:marRight w:val="0"/>
          <w:marTop w:val="100"/>
          <w:marBottom w:val="0"/>
          <w:divBdr>
            <w:top w:val="none" w:sz="0" w:space="0" w:color="auto"/>
            <w:left w:val="none" w:sz="0" w:space="0" w:color="auto"/>
            <w:bottom w:val="none" w:sz="0" w:space="0" w:color="auto"/>
            <w:right w:val="none" w:sz="0" w:space="0" w:color="auto"/>
          </w:divBdr>
        </w:div>
        <w:div w:id="1379863478">
          <w:marLeft w:val="1354"/>
          <w:marRight w:val="0"/>
          <w:marTop w:val="100"/>
          <w:marBottom w:val="0"/>
          <w:divBdr>
            <w:top w:val="none" w:sz="0" w:space="0" w:color="auto"/>
            <w:left w:val="none" w:sz="0" w:space="0" w:color="auto"/>
            <w:bottom w:val="none" w:sz="0" w:space="0" w:color="auto"/>
            <w:right w:val="none" w:sz="0" w:space="0" w:color="auto"/>
          </w:divBdr>
        </w:div>
      </w:divsChild>
    </w:div>
    <w:div w:id="1603759786">
      <w:bodyDiv w:val="1"/>
      <w:marLeft w:val="0"/>
      <w:marRight w:val="0"/>
      <w:marTop w:val="0"/>
      <w:marBottom w:val="0"/>
      <w:divBdr>
        <w:top w:val="none" w:sz="0" w:space="0" w:color="auto"/>
        <w:left w:val="none" w:sz="0" w:space="0" w:color="auto"/>
        <w:bottom w:val="none" w:sz="0" w:space="0" w:color="auto"/>
        <w:right w:val="none" w:sz="0" w:space="0" w:color="auto"/>
      </w:divBdr>
    </w:div>
    <w:div w:id="1616518875">
      <w:bodyDiv w:val="1"/>
      <w:marLeft w:val="0"/>
      <w:marRight w:val="0"/>
      <w:marTop w:val="0"/>
      <w:marBottom w:val="0"/>
      <w:divBdr>
        <w:top w:val="none" w:sz="0" w:space="0" w:color="auto"/>
        <w:left w:val="none" w:sz="0" w:space="0" w:color="auto"/>
        <w:bottom w:val="none" w:sz="0" w:space="0" w:color="auto"/>
        <w:right w:val="none" w:sz="0" w:space="0" w:color="auto"/>
      </w:divBdr>
    </w:div>
    <w:div w:id="1688603005">
      <w:bodyDiv w:val="1"/>
      <w:marLeft w:val="0"/>
      <w:marRight w:val="0"/>
      <w:marTop w:val="0"/>
      <w:marBottom w:val="0"/>
      <w:divBdr>
        <w:top w:val="none" w:sz="0" w:space="0" w:color="auto"/>
        <w:left w:val="none" w:sz="0" w:space="0" w:color="auto"/>
        <w:bottom w:val="none" w:sz="0" w:space="0" w:color="auto"/>
        <w:right w:val="none" w:sz="0" w:space="0" w:color="auto"/>
      </w:divBdr>
    </w:div>
    <w:div w:id="1826891046">
      <w:bodyDiv w:val="1"/>
      <w:marLeft w:val="0"/>
      <w:marRight w:val="0"/>
      <w:marTop w:val="0"/>
      <w:marBottom w:val="0"/>
      <w:divBdr>
        <w:top w:val="none" w:sz="0" w:space="0" w:color="auto"/>
        <w:left w:val="none" w:sz="0" w:space="0" w:color="auto"/>
        <w:bottom w:val="none" w:sz="0" w:space="0" w:color="auto"/>
        <w:right w:val="none" w:sz="0" w:space="0" w:color="auto"/>
      </w:divBdr>
    </w:div>
    <w:div w:id="1849060881">
      <w:bodyDiv w:val="1"/>
      <w:marLeft w:val="0"/>
      <w:marRight w:val="0"/>
      <w:marTop w:val="0"/>
      <w:marBottom w:val="0"/>
      <w:divBdr>
        <w:top w:val="none" w:sz="0" w:space="0" w:color="auto"/>
        <w:left w:val="none" w:sz="0" w:space="0" w:color="auto"/>
        <w:bottom w:val="none" w:sz="0" w:space="0" w:color="auto"/>
        <w:right w:val="none" w:sz="0" w:space="0" w:color="auto"/>
      </w:divBdr>
    </w:div>
    <w:div w:id="1865827403">
      <w:bodyDiv w:val="1"/>
      <w:marLeft w:val="0"/>
      <w:marRight w:val="0"/>
      <w:marTop w:val="0"/>
      <w:marBottom w:val="0"/>
      <w:divBdr>
        <w:top w:val="none" w:sz="0" w:space="0" w:color="auto"/>
        <w:left w:val="none" w:sz="0" w:space="0" w:color="auto"/>
        <w:bottom w:val="none" w:sz="0" w:space="0" w:color="auto"/>
        <w:right w:val="none" w:sz="0" w:space="0" w:color="auto"/>
      </w:divBdr>
    </w:div>
    <w:div w:id="2020034705">
      <w:bodyDiv w:val="1"/>
      <w:marLeft w:val="0"/>
      <w:marRight w:val="0"/>
      <w:marTop w:val="0"/>
      <w:marBottom w:val="0"/>
      <w:divBdr>
        <w:top w:val="none" w:sz="0" w:space="0" w:color="auto"/>
        <w:left w:val="none" w:sz="0" w:space="0" w:color="auto"/>
        <w:bottom w:val="none" w:sz="0" w:space="0" w:color="auto"/>
        <w:right w:val="none" w:sz="0" w:space="0" w:color="auto"/>
      </w:divBdr>
    </w:div>
    <w:div w:id="2050496348">
      <w:bodyDiv w:val="1"/>
      <w:marLeft w:val="0"/>
      <w:marRight w:val="0"/>
      <w:marTop w:val="0"/>
      <w:marBottom w:val="0"/>
      <w:divBdr>
        <w:top w:val="none" w:sz="0" w:space="0" w:color="auto"/>
        <w:left w:val="none" w:sz="0" w:space="0" w:color="auto"/>
        <w:bottom w:val="none" w:sz="0" w:space="0" w:color="auto"/>
        <w:right w:val="none" w:sz="0" w:space="0" w:color="auto"/>
      </w:divBdr>
    </w:div>
    <w:div w:id="2138520416">
      <w:bodyDiv w:val="1"/>
      <w:marLeft w:val="0"/>
      <w:marRight w:val="0"/>
      <w:marTop w:val="0"/>
      <w:marBottom w:val="0"/>
      <w:divBdr>
        <w:top w:val="none" w:sz="0" w:space="0" w:color="auto"/>
        <w:left w:val="none" w:sz="0" w:space="0" w:color="auto"/>
        <w:bottom w:val="none" w:sz="0" w:space="0" w:color="auto"/>
        <w:right w:val="none" w:sz="0" w:space="0" w:color="auto"/>
      </w:divBdr>
    </w:div>
    <w:div w:id="2142142372">
      <w:bodyDiv w:val="1"/>
      <w:marLeft w:val="0"/>
      <w:marRight w:val="0"/>
      <w:marTop w:val="0"/>
      <w:marBottom w:val="0"/>
      <w:divBdr>
        <w:top w:val="none" w:sz="0" w:space="0" w:color="auto"/>
        <w:left w:val="none" w:sz="0" w:space="0" w:color="auto"/>
        <w:bottom w:val="none" w:sz="0" w:space="0" w:color="auto"/>
        <w:right w:val="none" w:sz="0" w:space="0" w:color="auto"/>
      </w:divBdr>
    </w:div>
    <w:div w:id="214527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rceg@broadco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213D9-C033-4E95-81F7-AC3537232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170</TotalTime>
  <Pages>5</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802.11-14/0793r1</vt:lpstr>
    </vt:vector>
  </TitlesOfParts>
  <Company>Some Company</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802.11-14/0793r1</dc:title>
  <dc:subject>Submission</dc:subject>
  <dc:creator>Matthew Fischer</dc:creator>
  <cp:keywords>July 2014</cp:keywords>
  <dc:description>Matthew Fischer, Broadcom</dc:description>
  <cp:lastModifiedBy>verceg</cp:lastModifiedBy>
  <cp:revision>22</cp:revision>
  <cp:lastPrinted>2014-07-05T01:59:00Z</cp:lastPrinted>
  <dcterms:created xsi:type="dcterms:W3CDTF">2015-11-09T16:27:00Z</dcterms:created>
  <dcterms:modified xsi:type="dcterms:W3CDTF">2015-11-11T15:26:00Z</dcterms:modified>
</cp:coreProperties>
</file>