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45" w:rsidRDefault="008E3C45" w:rsidP="008E3C4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8E3C45" w:rsidTr="009B4517">
        <w:trPr>
          <w:trHeight w:val="485"/>
          <w:jc w:val="center"/>
        </w:trPr>
        <w:tc>
          <w:tcPr>
            <w:tcW w:w="9576" w:type="dxa"/>
            <w:gridSpan w:val="5"/>
            <w:vAlign w:val="center"/>
          </w:tcPr>
          <w:p w:rsidR="008E3C45" w:rsidRDefault="008E3C45" w:rsidP="00D96180">
            <w:pPr>
              <w:pStyle w:val="T2"/>
            </w:pPr>
            <w:r>
              <w:t xml:space="preserve">802.11 </w:t>
            </w:r>
            <w:proofErr w:type="spellStart"/>
            <w:r>
              <w:t>REVmc</w:t>
            </w:r>
            <w:proofErr w:type="spellEnd"/>
            <w:r>
              <w:t xml:space="preserve"> Initial Sponsor ballot - Proposed resolutions for </w:t>
            </w:r>
            <w:r w:rsidR="002C056D">
              <w:t xml:space="preserve">some </w:t>
            </w:r>
            <w:r w:rsidR="00D96180">
              <w:rPr>
                <w:rFonts w:hint="eastAsia"/>
                <w:lang w:eastAsia="zh-CN"/>
              </w:rPr>
              <w:t>VHT PHY</w:t>
            </w:r>
            <w:r>
              <w:t xml:space="preserve"> comments </w:t>
            </w:r>
          </w:p>
        </w:tc>
      </w:tr>
      <w:tr w:rsidR="008E3C45" w:rsidTr="009B4517">
        <w:trPr>
          <w:trHeight w:val="359"/>
          <w:jc w:val="center"/>
        </w:trPr>
        <w:tc>
          <w:tcPr>
            <w:tcW w:w="9576" w:type="dxa"/>
            <w:gridSpan w:val="5"/>
            <w:vAlign w:val="center"/>
          </w:tcPr>
          <w:p w:rsidR="008E3C45" w:rsidRDefault="008E3C45" w:rsidP="000E5488">
            <w:pPr>
              <w:pStyle w:val="T2"/>
              <w:ind w:left="0"/>
              <w:rPr>
                <w:sz w:val="20"/>
              </w:rPr>
            </w:pPr>
            <w:r>
              <w:rPr>
                <w:sz w:val="20"/>
              </w:rPr>
              <w:t>Date:</w:t>
            </w:r>
            <w:r w:rsidR="00A452D9">
              <w:rPr>
                <w:b w:val="0"/>
                <w:sz w:val="20"/>
              </w:rPr>
              <w:t xml:space="preserve">  2015-1</w:t>
            </w:r>
            <w:r w:rsidR="000E5488">
              <w:rPr>
                <w:rFonts w:hint="eastAsia"/>
                <w:b w:val="0"/>
                <w:sz w:val="20"/>
                <w:lang w:eastAsia="zh-CN"/>
              </w:rPr>
              <w:t>1</w:t>
            </w:r>
            <w:r w:rsidR="00A452D9">
              <w:rPr>
                <w:b w:val="0"/>
                <w:sz w:val="20"/>
              </w:rPr>
              <w:t>-</w:t>
            </w:r>
            <w:r w:rsidR="000E5488">
              <w:rPr>
                <w:rFonts w:hint="eastAsia"/>
                <w:b w:val="0"/>
                <w:sz w:val="20"/>
                <w:lang w:eastAsia="zh-CN"/>
              </w:rPr>
              <w:t>08</w:t>
            </w:r>
          </w:p>
        </w:tc>
      </w:tr>
      <w:tr w:rsidR="008E3C45" w:rsidTr="009B4517">
        <w:trPr>
          <w:cantSplit/>
          <w:jc w:val="center"/>
        </w:trPr>
        <w:tc>
          <w:tcPr>
            <w:tcW w:w="9576" w:type="dxa"/>
            <w:gridSpan w:val="5"/>
            <w:vAlign w:val="center"/>
          </w:tcPr>
          <w:p w:rsidR="008E3C45" w:rsidRDefault="008E3C45" w:rsidP="009B4517">
            <w:pPr>
              <w:pStyle w:val="T2"/>
              <w:spacing w:after="0"/>
              <w:ind w:left="0" w:right="0"/>
              <w:jc w:val="left"/>
              <w:rPr>
                <w:sz w:val="20"/>
              </w:rPr>
            </w:pPr>
            <w:r>
              <w:rPr>
                <w:sz w:val="20"/>
              </w:rPr>
              <w:t>Author(s):</w:t>
            </w:r>
          </w:p>
        </w:tc>
      </w:tr>
      <w:tr w:rsidR="008E3C45" w:rsidTr="009B4517">
        <w:trPr>
          <w:jc w:val="center"/>
        </w:trPr>
        <w:tc>
          <w:tcPr>
            <w:tcW w:w="1336" w:type="dxa"/>
            <w:vAlign w:val="center"/>
          </w:tcPr>
          <w:p w:rsidR="008E3C45" w:rsidRDefault="008E3C45" w:rsidP="009B4517">
            <w:pPr>
              <w:pStyle w:val="T2"/>
              <w:spacing w:after="0"/>
              <w:ind w:left="0" w:right="0"/>
              <w:jc w:val="left"/>
              <w:rPr>
                <w:sz w:val="20"/>
              </w:rPr>
            </w:pPr>
            <w:r>
              <w:rPr>
                <w:sz w:val="20"/>
              </w:rPr>
              <w:t>Name</w:t>
            </w:r>
          </w:p>
        </w:tc>
        <w:tc>
          <w:tcPr>
            <w:tcW w:w="2064" w:type="dxa"/>
            <w:vAlign w:val="center"/>
          </w:tcPr>
          <w:p w:rsidR="008E3C45" w:rsidRDefault="008E3C45" w:rsidP="009B4517">
            <w:pPr>
              <w:pStyle w:val="T2"/>
              <w:spacing w:after="0"/>
              <w:ind w:left="0" w:right="0"/>
              <w:jc w:val="left"/>
              <w:rPr>
                <w:sz w:val="20"/>
              </w:rPr>
            </w:pPr>
            <w:r>
              <w:rPr>
                <w:sz w:val="20"/>
              </w:rPr>
              <w:t>Company</w:t>
            </w:r>
          </w:p>
        </w:tc>
        <w:tc>
          <w:tcPr>
            <w:tcW w:w="2814" w:type="dxa"/>
            <w:vAlign w:val="center"/>
          </w:tcPr>
          <w:p w:rsidR="008E3C45" w:rsidRDefault="008E3C45" w:rsidP="009B4517">
            <w:pPr>
              <w:pStyle w:val="T2"/>
              <w:spacing w:after="0"/>
              <w:ind w:left="0" w:right="0"/>
              <w:jc w:val="left"/>
              <w:rPr>
                <w:sz w:val="20"/>
              </w:rPr>
            </w:pPr>
            <w:r>
              <w:rPr>
                <w:sz w:val="20"/>
              </w:rPr>
              <w:t>Address</w:t>
            </w:r>
          </w:p>
        </w:tc>
        <w:tc>
          <w:tcPr>
            <w:tcW w:w="1124" w:type="dxa"/>
            <w:vAlign w:val="center"/>
          </w:tcPr>
          <w:p w:rsidR="008E3C45" w:rsidRDefault="008E3C45" w:rsidP="009B4517">
            <w:pPr>
              <w:pStyle w:val="T2"/>
              <w:spacing w:after="0"/>
              <w:ind w:left="0" w:right="0"/>
              <w:jc w:val="left"/>
              <w:rPr>
                <w:sz w:val="20"/>
              </w:rPr>
            </w:pPr>
            <w:r>
              <w:rPr>
                <w:sz w:val="20"/>
              </w:rPr>
              <w:t>Phone</w:t>
            </w:r>
          </w:p>
        </w:tc>
        <w:tc>
          <w:tcPr>
            <w:tcW w:w="2238" w:type="dxa"/>
            <w:vAlign w:val="center"/>
          </w:tcPr>
          <w:p w:rsidR="008E3C45" w:rsidRDefault="008E3C45" w:rsidP="009B4517">
            <w:pPr>
              <w:pStyle w:val="T2"/>
              <w:spacing w:after="0"/>
              <w:ind w:left="0" w:right="0"/>
              <w:jc w:val="left"/>
              <w:rPr>
                <w:sz w:val="20"/>
              </w:rPr>
            </w:pPr>
            <w:r>
              <w:rPr>
                <w:sz w:val="20"/>
              </w:rPr>
              <w:t>email</w:t>
            </w:r>
          </w:p>
        </w:tc>
      </w:tr>
      <w:tr w:rsidR="008E3C45" w:rsidTr="009B4517">
        <w:trPr>
          <w:jc w:val="center"/>
        </w:trPr>
        <w:tc>
          <w:tcPr>
            <w:tcW w:w="1336" w:type="dxa"/>
            <w:vAlign w:val="center"/>
          </w:tcPr>
          <w:p w:rsidR="008E3C45" w:rsidRDefault="00D96180" w:rsidP="009B4517">
            <w:pPr>
              <w:pStyle w:val="T2"/>
              <w:spacing w:after="0"/>
              <w:ind w:left="0" w:right="0"/>
              <w:rPr>
                <w:b w:val="0"/>
                <w:sz w:val="20"/>
                <w:lang w:eastAsia="zh-CN"/>
              </w:rPr>
            </w:pPr>
            <w:r>
              <w:rPr>
                <w:rFonts w:hint="eastAsia"/>
                <w:b w:val="0"/>
                <w:sz w:val="20"/>
                <w:lang w:eastAsia="zh-CN"/>
              </w:rPr>
              <w:t>Bo Sun</w:t>
            </w:r>
          </w:p>
        </w:tc>
        <w:tc>
          <w:tcPr>
            <w:tcW w:w="2064" w:type="dxa"/>
            <w:vAlign w:val="center"/>
          </w:tcPr>
          <w:p w:rsidR="008E3C45" w:rsidRDefault="00D96180" w:rsidP="00D96180">
            <w:pPr>
              <w:pStyle w:val="T2"/>
              <w:spacing w:after="0"/>
              <w:ind w:left="0" w:right="0"/>
              <w:rPr>
                <w:b w:val="0"/>
                <w:sz w:val="20"/>
              </w:rPr>
            </w:pPr>
            <w:r>
              <w:rPr>
                <w:rFonts w:hint="eastAsia"/>
                <w:b w:val="0"/>
                <w:sz w:val="20"/>
                <w:lang w:eastAsia="zh-CN"/>
              </w:rPr>
              <w:t>ZTE</w:t>
            </w:r>
            <w:r w:rsidR="008E3C45">
              <w:rPr>
                <w:b w:val="0"/>
                <w:sz w:val="20"/>
              </w:rPr>
              <w:t xml:space="preserve"> Corporation</w:t>
            </w:r>
          </w:p>
        </w:tc>
        <w:tc>
          <w:tcPr>
            <w:tcW w:w="2814" w:type="dxa"/>
            <w:vAlign w:val="center"/>
          </w:tcPr>
          <w:p w:rsidR="008E3C45" w:rsidRDefault="008E3C45" w:rsidP="009B4517">
            <w:pPr>
              <w:pStyle w:val="T2"/>
              <w:spacing w:after="0"/>
              <w:ind w:left="0" w:right="0"/>
              <w:rPr>
                <w:b w:val="0"/>
                <w:sz w:val="20"/>
              </w:rPr>
            </w:pPr>
          </w:p>
        </w:tc>
        <w:tc>
          <w:tcPr>
            <w:tcW w:w="1124" w:type="dxa"/>
            <w:vAlign w:val="center"/>
          </w:tcPr>
          <w:p w:rsidR="008E3C45" w:rsidRDefault="008E3C45" w:rsidP="009B4517">
            <w:pPr>
              <w:pStyle w:val="T2"/>
              <w:spacing w:after="0"/>
              <w:ind w:left="0" w:right="0"/>
              <w:rPr>
                <w:b w:val="0"/>
                <w:sz w:val="20"/>
              </w:rPr>
            </w:pPr>
          </w:p>
        </w:tc>
        <w:tc>
          <w:tcPr>
            <w:tcW w:w="2238" w:type="dxa"/>
            <w:vAlign w:val="center"/>
          </w:tcPr>
          <w:p w:rsidR="008E3C45" w:rsidRDefault="00D96180" w:rsidP="009B4517">
            <w:pPr>
              <w:pStyle w:val="T2"/>
              <w:spacing w:after="0"/>
              <w:ind w:left="0" w:right="0"/>
              <w:rPr>
                <w:b w:val="0"/>
                <w:sz w:val="16"/>
                <w:lang w:eastAsia="zh-CN"/>
              </w:rPr>
            </w:pPr>
            <w:r>
              <w:rPr>
                <w:rFonts w:hint="eastAsia"/>
                <w:b w:val="0"/>
                <w:sz w:val="16"/>
                <w:lang w:eastAsia="zh-CN"/>
              </w:rPr>
              <w:t>sun.bo1@zte.com.cn</w:t>
            </w:r>
          </w:p>
        </w:tc>
      </w:tr>
      <w:tr w:rsidR="008E3C45" w:rsidTr="009B4517">
        <w:trPr>
          <w:jc w:val="center"/>
        </w:trPr>
        <w:tc>
          <w:tcPr>
            <w:tcW w:w="1336" w:type="dxa"/>
            <w:vAlign w:val="center"/>
          </w:tcPr>
          <w:p w:rsidR="008E3C45" w:rsidRDefault="008E3C45" w:rsidP="009B4517">
            <w:pPr>
              <w:pStyle w:val="T2"/>
              <w:spacing w:after="0"/>
              <w:ind w:left="0" w:right="0"/>
              <w:rPr>
                <w:b w:val="0"/>
                <w:sz w:val="20"/>
              </w:rPr>
            </w:pPr>
          </w:p>
        </w:tc>
        <w:tc>
          <w:tcPr>
            <w:tcW w:w="2064" w:type="dxa"/>
            <w:vAlign w:val="center"/>
          </w:tcPr>
          <w:p w:rsidR="008E3C45" w:rsidRDefault="008E3C45" w:rsidP="009B4517">
            <w:pPr>
              <w:pStyle w:val="T2"/>
              <w:spacing w:after="0"/>
              <w:ind w:left="0" w:right="0"/>
              <w:rPr>
                <w:b w:val="0"/>
                <w:sz w:val="20"/>
              </w:rPr>
            </w:pPr>
          </w:p>
        </w:tc>
        <w:tc>
          <w:tcPr>
            <w:tcW w:w="2814" w:type="dxa"/>
            <w:vAlign w:val="center"/>
          </w:tcPr>
          <w:p w:rsidR="008E3C45" w:rsidRPr="00910FE7" w:rsidRDefault="008E3C45" w:rsidP="009B4517">
            <w:pPr>
              <w:pStyle w:val="T2"/>
              <w:spacing w:after="0"/>
              <w:ind w:left="0" w:right="0"/>
              <w:rPr>
                <w:b w:val="0"/>
                <w:bCs/>
                <w:sz w:val="20"/>
                <w:lang w:val="it-IT"/>
              </w:rPr>
            </w:pPr>
          </w:p>
        </w:tc>
        <w:tc>
          <w:tcPr>
            <w:tcW w:w="1124" w:type="dxa"/>
            <w:vAlign w:val="center"/>
          </w:tcPr>
          <w:p w:rsidR="008E3C45" w:rsidRPr="00BE00EF" w:rsidRDefault="008E3C45" w:rsidP="009B4517">
            <w:pPr>
              <w:pStyle w:val="T2"/>
              <w:spacing w:after="0"/>
              <w:ind w:left="0" w:right="0"/>
              <w:rPr>
                <w:b w:val="0"/>
                <w:sz w:val="18"/>
                <w:szCs w:val="18"/>
              </w:rPr>
            </w:pPr>
          </w:p>
        </w:tc>
        <w:tc>
          <w:tcPr>
            <w:tcW w:w="2238" w:type="dxa"/>
            <w:vAlign w:val="center"/>
          </w:tcPr>
          <w:p w:rsidR="008E3C45" w:rsidRPr="00C46726" w:rsidRDefault="008E3C45" w:rsidP="009B4517">
            <w:pPr>
              <w:pStyle w:val="T2"/>
              <w:spacing w:after="0"/>
              <w:ind w:left="0" w:right="0"/>
              <w:rPr>
                <w:b w:val="0"/>
                <w:sz w:val="16"/>
                <w:lang w:val="en-US"/>
              </w:rPr>
            </w:pPr>
          </w:p>
        </w:tc>
      </w:tr>
    </w:tbl>
    <w:p w:rsidR="008E3C45" w:rsidRDefault="00016C1C" w:rsidP="008E3C45">
      <w:pPr>
        <w:pStyle w:val="T1"/>
        <w:spacing w:after="120"/>
        <w:rPr>
          <w:sz w:val="22"/>
        </w:rPr>
      </w:pPr>
      <w:r w:rsidRPr="00016C1C">
        <w:rPr>
          <w:noProof/>
          <w:lang w:val="en-US" w:eastAsia="zh-CN"/>
        </w:rPr>
        <w:pict>
          <v:shapetype id="_x0000_t202" coordsize="21600,21600" o:spt="202" path="m,l,21600r21600,l21600,xe">
            <v:stroke joinstyle="miter"/>
            <v:path gradientshapeok="t" o:connecttype="rect"/>
          </v:shapetype>
          <v:shape id="Text Box 36" o:spid="_x0000_s1026" type="#_x0000_t202" style="position:absolute;left:0;text-align:left;margin-left:-4.95pt;margin-top:16.2pt;width:468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E55&#10;S92EAgAAEgUAAA4AAAAAAAAAAAAAAAAALgIAAGRycy9lMm9Eb2MueG1sUEsBAi0AFAAGAAgAAAAh&#10;AEmj/+PeAAAACQEAAA8AAAAAAAAAAAAAAAAA3gQAAGRycy9kb3ducmV2LnhtbFBLBQYAAAAABAAE&#10;APMAAADpBQAAAAA=&#10;" o:allowincell="f" stroked="f">
            <v:textbox>
              <w:txbxContent>
                <w:p w:rsidR="00B52511" w:rsidRPr="00AF318A" w:rsidRDefault="00B52511" w:rsidP="008E3C45">
                  <w:pPr>
                    <w:jc w:val="center"/>
                    <w:rPr>
                      <w:b/>
                    </w:rPr>
                  </w:pPr>
                  <w:r w:rsidRPr="00AF318A">
                    <w:rPr>
                      <w:b/>
                    </w:rPr>
                    <w:t>Abstract</w:t>
                  </w:r>
                </w:p>
                <w:p w:rsidR="00B52511" w:rsidRDefault="00B52511" w:rsidP="008E3C45"/>
                <w:p w:rsidR="00B52511" w:rsidRPr="00B14E93" w:rsidRDefault="00B52511" w:rsidP="008E3C45">
                  <w:r w:rsidRPr="00B14E93">
                    <w:t xml:space="preserve">This document contains proposed resolutions </w:t>
                  </w:r>
                  <w:r>
                    <w:t>for some of</w:t>
                  </w:r>
                  <w:r w:rsidRPr="00B14E93">
                    <w:t xml:space="preserve"> SB0 comments </w:t>
                  </w:r>
                  <w:r>
                    <w:t>in the</w:t>
                  </w:r>
                  <w:r w:rsidRPr="00B14E93">
                    <w:t xml:space="preserve"> </w:t>
                  </w:r>
                  <w:r>
                    <w:rPr>
                      <w:rFonts w:hint="eastAsia"/>
                      <w:lang w:eastAsia="zh-CN"/>
                    </w:rPr>
                    <w:t>VHT PHY</w:t>
                  </w:r>
                  <w:r>
                    <w:t>.</w:t>
                  </w:r>
                </w:p>
                <w:p w:rsidR="00B52511" w:rsidRPr="00B14E93" w:rsidRDefault="00B52511" w:rsidP="008E3C45"/>
                <w:p w:rsidR="00B52511" w:rsidRDefault="00B52511" w:rsidP="008E3C45">
                  <w:r w:rsidRPr="00B14E93">
                    <w:t xml:space="preserve">R0: </w:t>
                  </w:r>
                  <w:r>
                    <w:t xml:space="preserve">Proposed resolutions for </w:t>
                  </w:r>
                  <w:r w:rsidRPr="00B14E93">
                    <w:t>CIDs: 5</w:t>
                  </w:r>
                  <w:r>
                    <w:rPr>
                      <w:rFonts w:hint="eastAsia"/>
                      <w:lang w:eastAsia="zh-CN"/>
                    </w:rPr>
                    <w:t>938, 6264, 6265, 6266, 6267, 6296, 6675, 6678</w:t>
                  </w:r>
                </w:p>
                <w:p w:rsidR="00B52511" w:rsidRDefault="00B52511" w:rsidP="00DB15EA">
                  <w:r>
                    <w:t xml:space="preserve"> </w:t>
                  </w:r>
                </w:p>
              </w:txbxContent>
            </v:textbox>
          </v:shape>
        </w:pict>
      </w:r>
    </w:p>
    <w:p w:rsidR="008E3C45" w:rsidRDefault="008E3C45" w:rsidP="008E3C45">
      <w:pPr>
        <w:pStyle w:val="1"/>
      </w:pPr>
      <w:r>
        <w:br w:type="page"/>
      </w:r>
    </w:p>
    <w:p w:rsidR="008E3C45" w:rsidRDefault="008E3C45" w:rsidP="008E3C45"/>
    <w:p w:rsidR="008E3C45" w:rsidRDefault="008E3C45" w:rsidP="008E3C45"/>
    <w:p w:rsidR="00002A9C" w:rsidRDefault="00002A9C" w:rsidP="008E3C45">
      <w:pPr>
        <w:rPr>
          <w:b/>
          <w:lang w:eastAsia="zh-CN"/>
        </w:rPr>
      </w:pPr>
      <w:r>
        <w:rPr>
          <w:rFonts w:hint="eastAsia"/>
          <w:b/>
          <w:lang w:eastAsia="zh-CN"/>
        </w:rPr>
        <w:t>CID 5938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jc w:val="right"/>
              <w:rPr>
                <w:sz w:val="24"/>
                <w:szCs w:val="24"/>
                <w:lang w:eastAsia="en-GB"/>
              </w:rPr>
            </w:pPr>
            <w:r>
              <w:rPr>
                <w:rFonts w:ascii="Arial" w:hAnsi="Arial" w:cs="Arial"/>
                <w:sz w:val="20"/>
              </w:rPr>
              <w:t>5938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jc w:val="right"/>
              <w:rPr>
                <w:sz w:val="24"/>
                <w:szCs w:val="24"/>
                <w:lang w:eastAsia="en-GB"/>
              </w:rPr>
            </w:pPr>
            <w:r>
              <w:rPr>
                <w:rFonts w:ascii="Arial" w:hAnsi="Arial" w:cs="Arial"/>
                <w:sz w:val="20"/>
              </w:rPr>
              <w:t>2539.42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22.3.11.2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2B10B7" w:rsidRDefault="006E22A8" w:rsidP="00B52511">
            <w:pPr>
              <w:rPr>
                <w:sz w:val="24"/>
                <w:szCs w:val="24"/>
                <w:lang w:val="en-US" w:eastAsia="en-GB"/>
              </w:rPr>
            </w:pPr>
            <w:r>
              <w:rPr>
                <w:rFonts w:ascii="Arial" w:hAnsi="Arial" w:cs="Arial"/>
                <w:sz w:val="20"/>
              </w:rPr>
              <w:t xml:space="preserve">"The </w:t>
            </w:r>
            <w:proofErr w:type="spellStart"/>
            <w:r>
              <w:rPr>
                <w:rFonts w:ascii="Arial" w:hAnsi="Arial" w:cs="Arial"/>
                <w:sz w:val="20"/>
              </w:rPr>
              <w:t>beamformee</w:t>
            </w:r>
            <w:proofErr w:type="spellEnd"/>
            <w:r>
              <w:rPr>
                <w:rFonts w:ascii="Arial" w:hAnsi="Arial" w:cs="Arial"/>
                <w:sz w:val="20"/>
              </w:rPr>
              <w:t xml:space="preserve"> decides the tone grouping value to be used in the </w:t>
            </w:r>
            <w:proofErr w:type="spellStart"/>
            <w:r>
              <w:rPr>
                <w:rFonts w:ascii="Arial" w:hAnsi="Arial" w:cs="Arial"/>
                <w:sz w:val="20"/>
              </w:rPr>
              <w:t>beamforming</w:t>
            </w:r>
            <w:proofErr w:type="spellEnd"/>
            <w:r>
              <w:rPr>
                <w:rFonts w:ascii="Arial" w:hAnsi="Arial" w:cs="Arial"/>
                <w:sz w:val="20"/>
              </w:rPr>
              <w:t xml:space="preserve"> feedback matrix V. A STA with dot11VHTSUBeamformerOptionImplemented equal to true shall support all tone grouping values and Codebook Information values."</w:t>
            </w:r>
            <w:r>
              <w:rPr>
                <w:rFonts w:ascii="Arial" w:hAnsi="Arial" w:cs="Arial"/>
                <w:sz w:val="20"/>
              </w:rPr>
              <w:br/>
            </w:r>
            <w:r>
              <w:rPr>
                <w:rFonts w:ascii="Arial" w:hAnsi="Arial" w:cs="Arial"/>
                <w:sz w:val="20"/>
              </w:rPr>
              <w:br/>
              <w:t>The first sentence is a transmit requirement, while the second is a receive requirement.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2B10B7" w:rsidRDefault="006E22A8" w:rsidP="00B52511">
            <w:pPr>
              <w:rPr>
                <w:sz w:val="24"/>
                <w:szCs w:val="24"/>
                <w:lang w:val="en-US" w:eastAsia="en-GB"/>
              </w:rPr>
            </w:pPr>
            <w:r>
              <w:rPr>
                <w:rFonts w:ascii="Arial" w:hAnsi="Arial" w:cs="Arial"/>
                <w:sz w:val="20"/>
              </w:rPr>
              <w:t>Clarify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r>
              <w:rPr>
                <w:rFonts w:ascii="Arial" w:hAnsi="Arial" w:cs="Arial" w:hint="eastAsia"/>
                <w:color w:val="000000"/>
                <w:sz w:val="20"/>
                <w:lang w:eastAsia="zh-CN"/>
              </w:rPr>
              <w:t>GEN</w:t>
            </w:r>
          </w:p>
        </w:tc>
      </w:tr>
    </w:tbl>
    <w:p w:rsidR="006E22A8" w:rsidRDefault="006E22A8" w:rsidP="008E3C45">
      <w:pPr>
        <w:rPr>
          <w:b/>
          <w:lang w:eastAsia="zh-CN"/>
        </w:rPr>
      </w:pPr>
    </w:p>
    <w:p w:rsidR="0076431C" w:rsidRDefault="00AF0865" w:rsidP="008E3C45">
      <w:pPr>
        <w:rPr>
          <w:b/>
          <w:lang w:eastAsia="zh-CN"/>
        </w:rPr>
      </w:pPr>
      <w:r>
        <w:rPr>
          <w:rFonts w:hint="eastAsia"/>
          <w:b/>
          <w:lang w:eastAsia="zh-CN"/>
        </w:rPr>
        <w:t>Referred content:</w:t>
      </w:r>
      <w:r w:rsidR="0076431C">
        <w:rPr>
          <w:rFonts w:hint="eastAsia"/>
          <w:b/>
          <w:lang w:eastAsia="zh-CN"/>
        </w:rPr>
        <w:t xml:space="preserve"> </w:t>
      </w:r>
    </w:p>
    <w:p w:rsidR="00AF0865" w:rsidRPr="00A177EF" w:rsidRDefault="00AF0865" w:rsidP="008E3C45">
      <w:pPr>
        <w:rPr>
          <w:rFonts w:ascii="TimesNewRomanPSMT" w:hAnsi="TimesNewRomanPSMT" w:cs="TimesNewRomanPSMT"/>
          <w:i/>
          <w:sz w:val="20"/>
          <w:lang w:val="en-US"/>
        </w:rPr>
      </w:pPr>
      <w:r w:rsidRPr="00A177EF">
        <w:rPr>
          <w:rFonts w:ascii="TimesNewRomanPSMT" w:hAnsi="TimesNewRomanPSMT" w:cs="TimesNewRomanPSMT"/>
          <w:i/>
          <w:sz w:val="20"/>
          <w:lang w:val="en-US"/>
        </w:rPr>
        <w:t xml:space="preserve">“The </w:t>
      </w:r>
      <w:proofErr w:type="spellStart"/>
      <w:r w:rsidRPr="00A177EF">
        <w:rPr>
          <w:rFonts w:ascii="TimesNewRomanPSMT" w:hAnsi="TimesNewRomanPSMT" w:cs="TimesNewRomanPSMT"/>
          <w:i/>
          <w:sz w:val="20"/>
          <w:lang w:val="en-US"/>
        </w:rPr>
        <w:t>beamformee</w:t>
      </w:r>
      <w:proofErr w:type="spellEnd"/>
      <w:r w:rsidRPr="00A177EF">
        <w:rPr>
          <w:rFonts w:ascii="TimesNewRomanPSMT" w:hAnsi="TimesNewRomanPSMT" w:cs="TimesNewRomanPSMT"/>
          <w:i/>
          <w:sz w:val="20"/>
          <w:lang w:val="en-US"/>
        </w:rPr>
        <w:t xml:space="preserve"> decides the tone grouping value to be used in the </w:t>
      </w:r>
      <w:proofErr w:type="spellStart"/>
      <w:r w:rsidRPr="00A177EF">
        <w:rPr>
          <w:rFonts w:ascii="TimesNewRomanPSMT" w:hAnsi="TimesNewRomanPSMT" w:cs="TimesNewRomanPSMT"/>
          <w:i/>
          <w:sz w:val="20"/>
          <w:lang w:val="en-US"/>
        </w:rPr>
        <w:t>beamforming</w:t>
      </w:r>
      <w:proofErr w:type="spellEnd"/>
      <w:r w:rsidRPr="00A177EF">
        <w:rPr>
          <w:rFonts w:ascii="TimesNewRomanPSMT" w:hAnsi="TimesNewRomanPSMT" w:cs="TimesNewRomanPSMT"/>
          <w:i/>
          <w:sz w:val="20"/>
          <w:lang w:val="en-US"/>
        </w:rPr>
        <w:t xml:space="preserve"> feedback matrix V. A STA with dot11VHTSUBeamformerOptionImplemented equal to true shall support all tone grouping values and Codebook Information values.”</w:t>
      </w:r>
      <w:r w:rsidRPr="00A177EF">
        <w:rPr>
          <w:rFonts w:ascii="TimesNewRomanPSMT" w:hAnsi="TimesNewRomanPSMT" w:cs="TimesNewRomanPSMT" w:hint="eastAsia"/>
          <w:i/>
          <w:sz w:val="20"/>
          <w:lang w:val="en-US"/>
        </w:rPr>
        <w:t xml:space="preserve"> </w:t>
      </w:r>
    </w:p>
    <w:p w:rsidR="00002A9C" w:rsidRDefault="00002A9C" w:rsidP="008E3C45">
      <w:pPr>
        <w:rPr>
          <w:b/>
          <w:lang w:eastAsia="zh-CN"/>
        </w:rPr>
      </w:pPr>
    </w:p>
    <w:p w:rsidR="002D525A" w:rsidRDefault="002D525A" w:rsidP="002D525A">
      <w:pPr>
        <w:rPr>
          <w:b/>
          <w:lang w:eastAsia="zh-CN"/>
        </w:rPr>
      </w:pPr>
      <w:r>
        <w:rPr>
          <w:rFonts w:hint="eastAsia"/>
          <w:b/>
          <w:lang w:eastAsia="zh-CN"/>
        </w:rPr>
        <w:t>Discussion</w:t>
      </w:r>
    </w:p>
    <w:p w:rsidR="00AF0865" w:rsidRDefault="00AF0865" w:rsidP="008E3C45">
      <w:pPr>
        <w:rPr>
          <w:lang w:eastAsia="zh-CN"/>
        </w:rPr>
      </w:pPr>
      <w:r>
        <w:rPr>
          <w:rFonts w:hint="eastAsia"/>
          <w:lang w:eastAsia="zh-CN"/>
        </w:rPr>
        <w:t xml:space="preserve">As the </w:t>
      </w:r>
      <w:proofErr w:type="spellStart"/>
      <w:r>
        <w:rPr>
          <w:rFonts w:hint="eastAsia"/>
          <w:lang w:eastAsia="zh-CN"/>
        </w:rPr>
        <w:t>commentor</w:t>
      </w:r>
      <w:proofErr w:type="spellEnd"/>
      <w:r>
        <w:rPr>
          <w:rFonts w:hint="eastAsia"/>
          <w:lang w:eastAsia="zh-CN"/>
        </w:rPr>
        <w:t xml:space="preserve"> pointed out, the referred content includes transmit </w:t>
      </w:r>
      <w:proofErr w:type="spellStart"/>
      <w:r>
        <w:rPr>
          <w:lang w:eastAsia="zh-CN"/>
        </w:rPr>
        <w:t>behavior</w:t>
      </w:r>
      <w:proofErr w:type="spellEnd"/>
      <w:r>
        <w:rPr>
          <w:lang w:eastAsia="zh-CN"/>
        </w:rPr>
        <w:t xml:space="preserve"> </w:t>
      </w:r>
      <w:r>
        <w:rPr>
          <w:rFonts w:hint="eastAsia"/>
          <w:lang w:eastAsia="zh-CN"/>
        </w:rPr>
        <w:t xml:space="preserve">requirement and </w:t>
      </w:r>
      <w:proofErr w:type="spellStart"/>
      <w:r>
        <w:rPr>
          <w:rFonts w:hint="eastAsia"/>
          <w:lang w:eastAsia="zh-CN"/>
        </w:rPr>
        <w:t>reveive</w:t>
      </w:r>
      <w:proofErr w:type="spellEnd"/>
      <w:r>
        <w:rPr>
          <w:rFonts w:hint="eastAsia"/>
          <w:lang w:eastAsia="zh-CN"/>
        </w:rPr>
        <w:t xml:space="preserve"> capability requirement. </w:t>
      </w:r>
      <w:r>
        <w:rPr>
          <w:lang w:eastAsia="zh-CN"/>
        </w:rPr>
        <w:t>I</w:t>
      </w:r>
      <w:r>
        <w:rPr>
          <w:rFonts w:hint="eastAsia"/>
          <w:lang w:eastAsia="zh-CN"/>
        </w:rPr>
        <w:t>t</w:t>
      </w:r>
      <w:r>
        <w:rPr>
          <w:lang w:eastAsia="zh-CN"/>
        </w:rPr>
        <w:t>’</w:t>
      </w:r>
      <w:r>
        <w:rPr>
          <w:rFonts w:hint="eastAsia"/>
          <w:lang w:eastAsia="zh-CN"/>
        </w:rPr>
        <w:t xml:space="preserve">s an accepted way to describe the protocol </w:t>
      </w:r>
      <w:r w:rsidR="00A177EF">
        <w:rPr>
          <w:lang w:eastAsia="zh-CN"/>
        </w:rPr>
        <w:t>behaviour</w:t>
      </w:r>
      <w:r w:rsidR="00A177EF">
        <w:rPr>
          <w:rFonts w:hint="eastAsia"/>
          <w:lang w:eastAsia="zh-CN"/>
        </w:rPr>
        <w:t xml:space="preserve"> of</w:t>
      </w:r>
      <w:r w:rsidR="0076431C">
        <w:rPr>
          <w:rFonts w:hint="eastAsia"/>
          <w:lang w:eastAsia="zh-CN"/>
        </w:rPr>
        <w:t xml:space="preserve"> </w:t>
      </w:r>
      <w:proofErr w:type="spellStart"/>
      <w:proofErr w:type="gramStart"/>
      <w:r>
        <w:rPr>
          <w:rFonts w:hint="eastAsia"/>
          <w:lang w:eastAsia="zh-CN"/>
        </w:rPr>
        <w:t>tx</w:t>
      </w:r>
      <w:proofErr w:type="spellEnd"/>
      <w:proofErr w:type="gramEnd"/>
      <w:r>
        <w:rPr>
          <w:rFonts w:hint="eastAsia"/>
          <w:lang w:eastAsia="zh-CN"/>
        </w:rPr>
        <w:t xml:space="preserve"> </w:t>
      </w:r>
      <w:r w:rsidR="00A177EF">
        <w:rPr>
          <w:rFonts w:hint="eastAsia"/>
          <w:lang w:eastAsia="zh-CN"/>
        </w:rPr>
        <w:t xml:space="preserve">side </w:t>
      </w:r>
      <w:r>
        <w:rPr>
          <w:rFonts w:hint="eastAsia"/>
          <w:lang w:eastAsia="zh-CN"/>
        </w:rPr>
        <w:t xml:space="preserve">and </w:t>
      </w:r>
      <w:r w:rsidR="0076431C">
        <w:rPr>
          <w:rFonts w:hint="eastAsia"/>
          <w:lang w:eastAsia="zh-CN"/>
        </w:rPr>
        <w:t xml:space="preserve">the </w:t>
      </w:r>
      <w:r w:rsidR="00A177EF">
        <w:rPr>
          <w:rFonts w:hint="eastAsia"/>
          <w:lang w:eastAsia="zh-CN"/>
        </w:rPr>
        <w:t xml:space="preserve">capability </w:t>
      </w:r>
      <w:r w:rsidR="00A177EF">
        <w:rPr>
          <w:lang w:eastAsia="zh-CN"/>
        </w:rPr>
        <w:t>requirement</w:t>
      </w:r>
      <w:r w:rsidR="00A177EF">
        <w:rPr>
          <w:rFonts w:hint="eastAsia"/>
          <w:lang w:eastAsia="zh-CN"/>
        </w:rPr>
        <w:t xml:space="preserve"> of the </w:t>
      </w:r>
      <w:proofErr w:type="spellStart"/>
      <w:r>
        <w:rPr>
          <w:rFonts w:hint="eastAsia"/>
          <w:lang w:eastAsia="zh-CN"/>
        </w:rPr>
        <w:t>rx</w:t>
      </w:r>
      <w:proofErr w:type="spellEnd"/>
      <w:r w:rsidR="00A177EF">
        <w:rPr>
          <w:rFonts w:hint="eastAsia"/>
          <w:lang w:eastAsia="zh-CN"/>
        </w:rPr>
        <w:t xml:space="preserve"> side.</w:t>
      </w:r>
      <w:r w:rsidR="0076431C">
        <w:rPr>
          <w:rFonts w:hint="eastAsia"/>
          <w:lang w:eastAsia="zh-CN"/>
        </w:rPr>
        <w:t xml:space="preserve"> A similar case is that a transmitting STA decides whether to send RTS or not, </w:t>
      </w:r>
      <w:r>
        <w:rPr>
          <w:rFonts w:hint="eastAsia"/>
          <w:lang w:eastAsia="zh-CN"/>
        </w:rPr>
        <w:t>while the receiving STA must support receiving RTS.</w:t>
      </w:r>
    </w:p>
    <w:p w:rsidR="00AF0865" w:rsidRDefault="00AF0865" w:rsidP="008E3C45">
      <w:pPr>
        <w:rPr>
          <w:lang w:eastAsia="zh-CN"/>
        </w:rPr>
      </w:pPr>
    </w:p>
    <w:p w:rsidR="00AF0865" w:rsidRDefault="00AF0865" w:rsidP="00AF0865">
      <w:pPr>
        <w:rPr>
          <w:b/>
        </w:rPr>
      </w:pPr>
      <w:r w:rsidRPr="00262FA4">
        <w:rPr>
          <w:b/>
          <w:highlight w:val="green"/>
        </w:rPr>
        <w:t>Proposed resolution:</w:t>
      </w:r>
    </w:p>
    <w:p w:rsidR="004D561A" w:rsidRDefault="00AF0865" w:rsidP="00AF0865">
      <w:pPr>
        <w:rPr>
          <w:lang w:eastAsia="zh-CN"/>
        </w:rPr>
      </w:pPr>
      <w:r>
        <w:rPr>
          <w:rFonts w:hint="eastAsia"/>
          <w:lang w:eastAsia="zh-CN"/>
        </w:rPr>
        <w:t>Re</w:t>
      </w:r>
      <w:r w:rsidR="004D561A">
        <w:rPr>
          <w:rFonts w:hint="eastAsia"/>
          <w:lang w:eastAsia="zh-CN"/>
        </w:rPr>
        <w:t>vised</w:t>
      </w:r>
    </w:p>
    <w:p w:rsidR="004D561A" w:rsidRDefault="004D561A" w:rsidP="00AF0865">
      <w:pPr>
        <w:rPr>
          <w:lang w:eastAsia="zh-CN"/>
        </w:rPr>
      </w:pPr>
    </w:p>
    <w:p w:rsidR="00AF0865" w:rsidRDefault="004D561A" w:rsidP="00AF0865">
      <w:pPr>
        <w:rPr>
          <w:lang w:eastAsia="zh-CN"/>
        </w:rPr>
      </w:pPr>
      <w:r>
        <w:rPr>
          <w:rFonts w:hint="eastAsia"/>
          <w:lang w:eastAsia="zh-CN"/>
        </w:rPr>
        <w:t xml:space="preserve">Replace </w:t>
      </w:r>
      <w:r>
        <w:rPr>
          <w:lang w:eastAsia="zh-CN"/>
        </w:rPr>
        <w:t>“</w:t>
      </w:r>
      <w:r>
        <w:rPr>
          <w:rFonts w:hint="eastAsia"/>
          <w:lang w:eastAsia="zh-CN"/>
        </w:rPr>
        <w:t>A STA with</w:t>
      </w:r>
      <w:r w:rsidR="00AF0865">
        <w:t xml:space="preserve"> </w:t>
      </w:r>
      <w:r>
        <w:rPr>
          <w:rFonts w:ascii="Arial" w:hAnsi="Arial" w:cs="Arial"/>
          <w:sz w:val="20"/>
        </w:rPr>
        <w:t>dot11VHTSUBeamformerOptionImplemented equal to true shall support all tone grouping values and Codebook Information values</w:t>
      </w:r>
      <w:r>
        <w:rPr>
          <w:rFonts w:ascii="Arial" w:hAnsi="Arial" w:cs="Arial"/>
          <w:sz w:val="20"/>
          <w:lang w:eastAsia="zh-CN"/>
        </w:rPr>
        <w:t>”</w:t>
      </w:r>
      <w:r>
        <w:rPr>
          <w:rFonts w:ascii="Arial" w:hAnsi="Arial" w:cs="Arial" w:hint="eastAsia"/>
          <w:sz w:val="20"/>
          <w:lang w:eastAsia="zh-CN"/>
        </w:rPr>
        <w:t xml:space="preserve"> with </w:t>
      </w:r>
      <w:r>
        <w:rPr>
          <w:rFonts w:ascii="Arial" w:hAnsi="Arial" w:cs="Arial"/>
          <w:sz w:val="20"/>
          <w:lang w:eastAsia="zh-CN"/>
        </w:rPr>
        <w:t>“</w:t>
      </w:r>
      <w:r w:rsidRPr="000D12E3">
        <w:rPr>
          <w:rFonts w:ascii="Arial" w:hAnsi="Arial" w:cs="Arial" w:hint="eastAsia"/>
          <w:color w:val="0070C0"/>
          <w:sz w:val="20"/>
          <w:u w:val="single"/>
          <w:lang w:eastAsia="zh-CN"/>
        </w:rPr>
        <w:t xml:space="preserve">A </w:t>
      </w:r>
      <w:proofErr w:type="spellStart"/>
      <w:r w:rsidRPr="000D12E3">
        <w:rPr>
          <w:rFonts w:ascii="Arial" w:hAnsi="Arial" w:cs="Arial" w:hint="eastAsia"/>
          <w:color w:val="0070C0"/>
          <w:sz w:val="20"/>
          <w:u w:val="single"/>
          <w:lang w:eastAsia="zh-CN"/>
        </w:rPr>
        <w:t>beamformer</w:t>
      </w:r>
      <w:proofErr w:type="spellEnd"/>
      <w:r w:rsidRPr="000D12E3">
        <w:rPr>
          <w:rFonts w:ascii="Arial" w:hAnsi="Arial" w:cs="Arial" w:hint="eastAsia"/>
          <w:color w:val="0070C0"/>
          <w:sz w:val="20"/>
          <w:u w:val="single"/>
          <w:lang w:eastAsia="zh-CN"/>
        </w:rPr>
        <w:t xml:space="preserve"> </w:t>
      </w:r>
      <w:r w:rsidRPr="000D12E3">
        <w:rPr>
          <w:rFonts w:ascii="Arial" w:hAnsi="Arial" w:cs="Arial"/>
          <w:color w:val="0070C0"/>
          <w:sz w:val="20"/>
          <w:u w:val="single"/>
        </w:rPr>
        <w:t>shall support all tone grouping values and Codebook Information values</w:t>
      </w:r>
      <w:r>
        <w:rPr>
          <w:rFonts w:ascii="Arial" w:hAnsi="Arial" w:cs="Arial"/>
          <w:sz w:val="20"/>
          <w:lang w:eastAsia="zh-CN"/>
        </w:rPr>
        <w:t>”</w:t>
      </w:r>
      <w:r>
        <w:rPr>
          <w:rFonts w:ascii="Arial" w:hAnsi="Arial" w:cs="Arial" w:hint="eastAsia"/>
          <w:sz w:val="20"/>
          <w:lang w:eastAsia="zh-CN"/>
        </w:rPr>
        <w:t>.</w:t>
      </w:r>
    </w:p>
    <w:p w:rsidR="00AF0865" w:rsidRDefault="00AF0865" w:rsidP="008E3C45">
      <w:pPr>
        <w:rPr>
          <w:lang w:eastAsia="zh-CN"/>
        </w:rPr>
      </w:pPr>
    </w:p>
    <w:p w:rsidR="00A25BCD" w:rsidRDefault="00A25BCD" w:rsidP="008E3C45">
      <w:pPr>
        <w:rPr>
          <w:lang w:eastAsia="zh-CN"/>
        </w:rPr>
      </w:pPr>
      <w:r>
        <w:rPr>
          <w:rFonts w:hint="eastAsia"/>
          <w:lang w:eastAsia="zh-CN"/>
        </w:rPr>
        <w:t>And delete the note at 2539.46 of D4.0.</w:t>
      </w:r>
    </w:p>
    <w:p w:rsidR="006E22A8" w:rsidRPr="00AF0865" w:rsidRDefault="006E22A8" w:rsidP="008E3C45">
      <w:pPr>
        <w:rPr>
          <w:lang w:eastAsia="zh-CN"/>
        </w:rPr>
      </w:pPr>
    </w:p>
    <w:p w:rsidR="00002A9C" w:rsidRDefault="00AF0865" w:rsidP="008E3C45">
      <w:pPr>
        <w:rPr>
          <w:b/>
          <w:lang w:eastAsia="zh-CN"/>
        </w:rPr>
      </w:pPr>
      <w:r>
        <w:rPr>
          <w:rFonts w:hint="eastAsia"/>
          <w:b/>
          <w:lang w:eastAsia="zh-CN"/>
        </w:rPr>
        <w:t>CID 6264/</w:t>
      </w:r>
      <w:r w:rsidR="001C0D18">
        <w:rPr>
          <w:rFonts w:hint="eastAsia"/>
          <w:b/>
          <w:lang w:eastAsia="zh-CN"/>
        </w:rPr>
        <w:t>6266</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6264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2552.09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22.3.18.2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It says "compliant with the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Change to "compliant with the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6266</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2553.20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22.3.18.3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It says "compliant with the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Change to "compliant with the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6E22A8" w:rsidRDefault="006E22A8" w:rsidP="008E3C45">
      <w:pPr>
        <w:rPr>
          <w:b/>
          <w:lang w:eastAsia="zh-CN"/>
        </w:rPr>
      </w:pPr>
    </w:p>
    <w:p w:rsidR="00291662" w:rsidRDefault="00934E6C" w:rsidP="00934E6C">
      <w:pPr>
        <w:autoSpaceDE w:val="0"/>
        <w:autoSpaceDN w:val="0"/>
        <w:adjustRightInd w:val="0"/>
        <w:rPr>
          <w:b/>
          <w:lang w:eastAsia="zh-CN"/>
        </w:rPr>
      </w:pPr>
      <w:r>
        <w:rPr>
          <w:rFonts w:hint="eastAsia"/>
          <w:b/>
          <w:lang w:eastAsia="zh-CN"/>
        </w:rPr>
        <w:t xml:space="preserve">Referred content: </w:t>
      </w:r>
    </w:p>
    <w:p w:rsidR="00AF0865" w:rsidRPr="00A177EF" w:rsidRDefault="00934E6C" w:rsidP="00291662">
      <w:pPr>
        <w:autoSpaceDE w:val="0"/>
        <w:autoSpaceDN w:val="0"/>
        <w:adjustRightInd w:val="0"/>
        <w:rPr>
          <w:rFonts w:ascii="TimesNewRomanPSMT" w:hAnsi="TimesNewRomanPSMT" w:cs="TimesNewRomanPSMT"/>
          <w:i/>
          <w:sz w:val="20"/>
          <w:lang w:val="en-US"/>
        </w:rPr>
      </w:pPr>
      <w:r w:rsidRPr="00A177EF">
        <w:rPr>
          <w:rFonts w:ascii="TimesNewRomanPSMT" w:hAnsi="TimesNewRomanPSMT" w:cs="TimesNewRomanPSMT"/>
          <w:i/>
          <w:sz w:val="20"/>
          <w:lang w:val="en-US"/>
        </w:rPr>
        <w:t>“</w:t>
      </w:r>
      <w:r w:rsidRPr="00934E6C">
        <w:rPr>
          <w:rFonts w:ascii="TimesNewRomanPSMT" w:hAnsi="TimesNewRomanPSMT" w:cs="TimesNewRomanPSMT"/>
          <w:i/>
          <w:sz w:val="20"/>
          <w:lang w:val="en-US"/>
        </w:rPr>
        <w:t>The interfering signal in the adjacent channel shall be a signal compliant with the OFDM</w:t>
      </w:r>
      <w:r>
        <w:rPr>
          <w:rFonts w:ascii="TimesNewRomanPSMT" w:hAnsi="TimesNewRomanPSMT" w:cs="TimesNewRomanPSMT" w:hint="eastAsia"/>
          <w:i/>
          <w:sz w:val="20"/>
          <w:lang w:val="en-US"/>
        </w:rPr>
        <w:t xml:space="preserve"> </w:t>
      </w:r>
      <w:r w:rsidRPr="00934E6C">
        <w:rPr>
          <w:rFonts w:ascii="TimesNewRomanPSMT" w:hAnsi="TimesNewRomanPSMT" w:cs="TimesNewRomanPSMT"/>
          <w:i/>
          <w:sz w:val="20"/>
          <w:lang w:val="en-US"/>
        </w:rPr>
        <w:t>PHY,</w:t>
      </w:r>
      <w:r w:rsidRPr="00934E6C">
        <w:rPr>
          <w:rFonts w:ascii="TimesNewRomanPSMT" w:hAnsi="TimesNewRomanPSMT" w:cs="TimesNewRomanPSMT" w:hint="eastAsia"/>
          <w:i/>
          <w:sz w:val="20"/>
          <w:lang w:val="en-US"/>
        </w:rPr>
        <w:t xml:space="preserve"> </w:t>
      </w:r>
      <w:r w:rsidRPr="00934E6C">
        <w:rPr>
          <w:rFonts w:ascii="TimesNewRomanPSMT" w:hAnsi="TimesNewRomanPSMT" w:cs="TimesNewRomanPSMT"/>
          <w:i/>
          <w:sz w:val="20"/>
          <w:lang w:val="en-US"/>
        </w:rPr>
        <w:t>unsynchronized with the signal in the channel under test</w:t>
      </w:r>
      <w:r>
        <w:rPr>
          <w:rFonts w:ascii="TimesNewRomanPSMT" w:hAnsi="TimesNewRomanPSMT" w:cs="TimesNewRomanPSMT" w:hint="eastAsia"/>
          <w:i/>
          <w:sz w:val="20"/>
          <w:lang w:val="en-US"/>
        </w:rPr>
        <w:t>,</w:t>
      </w:r>
      <w:r w:rsidRPr="00934E6C">
        <w:rPr>
          <w:rFonts w:ascii="TimesNewRomanPSMT" w:hAnsi="TimesNewRomanPSMT" w:cs="TimesNewRomanPSMT"/>
          <w:i/>
          <w:sz w:val="20"/>
          <w:lang w:val="en-US"/>
        </w:rPr>
        <w:t xml:space="preserve"> and shall have a minimum duty cycle of 50%. Fo</w:t>
      </w:r>
      <w:r>
        <w:rPr>
          <w:rFonts w:ascii="TimesNewRomanPSMT" w:hAnsi="TimesNewRomanPSMT" w:cs="TimesNewRomanPSMT" w:hint="eastAsia"/>
          <w:i/>
          <w:sz w:val="20"/>
          <w:lang w:val="en-US"/>
        </w:rPr>
        <w:t xml:space="preserve">r </w:t>
      </w:r>
      <w:r w:rsidRPr="00934E6C">
        <w:rPr>
          <w:rFonts w:ascii="TimesNewRomanPSMT" w:hAnsi="TimesNewRomanPSMT" w:cs="TimesNewRomanPSMT"/>
          <w:i/>
          <w:sz w:val="20"/>
          <w:lang w:val="en-US"/>
        </w:rPr>
        <w:t>a conforming OFDM PHY, the corresponding rejection shall be no less than specified in Table 22-26</w:t>
      </w:r>
      <w:r w:rsidR="00291662">
        <w:rPr>
          <w:rFonts w:ascii="TimesNewRomanPSMT" w:hAnsi="TimesNewRomanPSMT" w:cs="TimesNewRomanPSMT" w:hint="eastAsia"/>
          <w:i/>
          <w:sz w:val="20"/>
          <w:lang w:val="en-US"/>
        </w:rPr>
        <w:t xml:space="preserve"> </w:t>
      </w:r>
      <w:r w:rsidRPr="00934E6C">
        <w:rPr>
          <w:rFonts w:ascii="TimesNewRomanPSMT" w:hAnsi="TimesNewRomanPSMT" w:cs="TimesNewRomanPSMT"/>
          <w:i/>
          <w:sz w:val="20"/>
          <w:lang w:val="en-US"/>
        </w:rPr>
        <w:t>(Minimum required adjacent and nonadjacent channel rejection levels).</w:t>
      </w:r>
      <w:r w:rsidRPr="00A177EF">
        <w:rPr>
          <w:rFonts w:ascii="TimesNewRomanPSMT" w:hAnsi="TimesNewRomanPSMT" w:cs="TimesNewRomanPSMT"/>
          <w:i/>
          <w:sz w:val="20"/>
          <w:lang w:val="en-US"/>
        </w:rPr>
        <w:t>”</w:t>
      </w:r>
    </w:p>
    <w:p w:rsidR="00291662" w:rsidRDefault="00291662" w:rsidP="00291662">
      <w:pPr>
        <w:rPr>
          <w:b/>
          <w:lang w:eastAsia="zh-CN"/>
        </w:rPr>
      </w:pPr>
    </w:p>
    <w:p w:rsidR="00934E6C" w:rsidRDefault="00934E6C" w:rsidP="008E3C45">
      <w:pPr>
        <w:rPr>
          <w:b/>
          <w:lang w:eastAsia="zh-CN"/>
        </w:rPr>
      </w:pPr>
      <w:r>
        <w:rPr>
          <w:rFonts w:hint="eastAsia"/>
          <w:b/>
          <w:lang w:eastAsia="zh-CN"/>
        </w:rPr>
        <w:lastRenderedPageBreak/>
        <w:t>Discussion</w:t>
      </w:r>
    </w:p>
    <w:p w:rsidR="00934E6C" w:rsidRPr="00934E6C" w:rsidRDefault="00894FA1" w:rsidP="008E3C45">
      <w:pPr>
        <w:rPr>
          <w:lang w:eastAsia="zh-CN"/>
        </w:rPr>
      </w:pPr>
      <w:r>
        <w:rPr>
          <w:rFonts w:hint="eastAsia"/>
          <w:lang w:eastAsia="zh-CN"/>
        </w:rPr>
        <w:t xml:space="preserve">The interfering signal in the adjacent channel or nonadjacent channel is intended to be </w:t>
      </w:r>
      <w:r w:rsidR="00A177EF">
        <w:rPr>
          <w:rFonts w:hint="eastAsia"/>
          <w:lang w:eastAsia="zh-CN"/>
        </w:rPr>
        <w:t>taken</w:t>
      </w:r>
      <w:r>
        <w:rPr>
          <w:rFonts w:hint="eastAsia"/>
          <w:lang w:eastAsia="zh-CN"/>
        </w:rPr>
        <w:t xml:space="preserve"> as if it</w:t>
      </w:r>
      <w:r>
        <w:rPr>
          <w:lang w:eastAsia="zh-CN"/>
        </w:rPr>
        <w:t>’</w:t>
      </w:r>
      <w:r>
        <w:rPr>
          <w:rFonts w:hint="eastAsia"/>
          <w:lang w:eastAsia="zh-CN"/>
        </w:rPr>
        <w:t xml:space="preserve">s an OFDM PHY signal. </w:t>
      </w:r>
      <w:r w:rsidR="00934E6C">
        <w:rPr>
          <w:rFonts w:hint="eastAsia"/>
          <w:lang w:eastAsia="zh-CN"/>
        </w:rPr>
        <w:t xml:space="preserve"> </w:t>
      </w:r>
      <w:r w:rsidR="00A177EF">
        <w:rPr>
          <w:rFonts w:hint="eastAsia"/>
          <w:lang w:eastAsia="zh-CN"/>
        </w:rPr>
        <w:t xml:space="preserve">And the </w:t>
      </w:r>
      <w:r w:rsidR="00A177EF">
        <w:rPr>
          <w:lang w:eastAsia="zh-CN"/>
        </w:rPr>
        <w:t>same</w:t>
      </w:r>
      <w:r w:rsidR="00A177EF">
        <w:rPr>
          <w:rFonts w:hint="eastAsia"/>
          <w:lang w:eastAsia="zh-CN"/>
        </w:rPr>
        <w:t xml:space="preserve"> description applies to HT PHY as well.</w:t>
      </w:r>
    </w:p>
    <w:p w:rsidR="00934E6C" w:rsidRDefault="00934E6C" w:rsidP="008E3C45">
      <w:pPr>
        <w:rPr>
          <w:b/>
          <w:lang w:eastAsia="zh-CN"/>
        </w:rPr>
      </w:pPr>
    </w:p>
    <w:p w:rsidR="00934E6C" w:rsidRDefault="00934E6C" w:rsidP="00934E6C">
      <w:pPr>
        <w:rPr>
          <w:b/>
        </w:rPr>
      </w:pPr>
      <w:r w:rsidRPr="00262FA4">
        <w:rPr>
          <w:b/>
          <w:highlight w:val="green"/>
        </w:rPr>
        <w:t>Proposed resolution:</w:t>
      </w:r>
    </w:p>
    <w:p w:rsidR="00934E6C" w:rsidRDefault="00894FA1" w:rsidP="00934E6C">
      <w:r>
        <w:rPr>
          <w:rFonts w:hint="eastAsia"/>
          <w:lang w:eastAsia="zh-CN"/>
        </w:rPr>
        <w:t>Rejected</w:t>
      </w:r>
      <w:r w:rsidR="00934E6C">
        <w:t xml:space="preserve"> </w:t>
      </w:r>
    </w:p>
    <w:p w:rsidR="00934E6C" w:rsidRDefault="00934E6C" w:rsidP="00934E6C">
      <w:pPr>
        <w:rPr>
          <w:lang w:eastAsia="zh-CN"/>
        </w:rPr>
      </w:pPr>
      <w:r>
        <w:t xml:space="preserve"> </w:t>
      </w:r>
    </w:p>
    <w:p w:rsidR="001C0D18" w:rsidRDefault="001C0D18" w:rsidP="00934E6C">
      <w:pPr>
        <w:rPr>
          <w:lang w:eastAsia="zh-CN"/>
        </w:rPr>
      </w:pPr>
    </w:p>
    <w:p w:rsidR="001C0D18" w:rsidRDefault="001C0D18" w:rsidP="001C0D18">
      <w:pPr>
        <w:rPr>
          <w:b/>
          <w:lang w:eastAsia="zh-CN"/>
        </w:rPr>
      </w:pPr>
      <w:r>
        <w:rPr>
          <w:rFonts w:hint="eastAsia"/>
          <w:b/>
          <w:lang w:eastAsia="zh-CN"/>
        </w:rPr>
        <w:t>CID 6265/6267</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1C0D1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Owning Ad-hoc</w:t>
            </w:r>
          </w:p>
        </w:tc>
      </w:tr>
      <w:tr w:rsidR="001C0D1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lang w:eastAsia="zh-CN"/>
              </w:rPr>
            </w:pPr>
            <w:r>
              <w:rPr>
                <w:rFonts w:ascii="Arial" w:hAnsi="Arial" w:cs="Arial"/>
                <w:sz w:val="20"/>
              </w:rPr>
              <w:t>6265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rPr>
            </w:pPr>
            <w:r>
              <w:rPr>
                <w:rFonts w:ascii="Arial" w:hAnsi="Arial" w:cs="Arial"/>
                <w:sz w:val="20"/>
              </w:rPr>
              <w:t>2552.10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1C0D18" w:rsidRDefault="001C0D18" w:rsidP="00B52511">
            <w:pPr>
              <w:rPr>
                <w:rFonts w:ascii="Arial" w:hAnsi="Arial" w:cs="Arial"/>
                <w:sz w:val="20"/>
              </w:rPr>
            </w:pPr>
            <w:r>
              <w:rPr>
                <w:rFonts w:ascii="Arial" w:hAnsi="Arial" w:cs="Arial"/>
                <w:sz w:val="20"/>
              </w:rPr>
              <w:t>22.3.18.2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C0D18" w:rsidRPr="00EE583F" w:rsidRDefault="001C0D1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It says "For a conforming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Change to "For a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r w:rsidR="001C0D1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lang w:eastAsia="zh-CN"/>
              </w:rPr>
            </w:pPr>
            <w:r>
              <w:rPr>
                <w:rFonts w:ascii="Arial" w:hAnsi="Arial" w:cs="Arial"/>
                <w:sz w:val="20"/>
              </w:rPr>
              <w:t>6267</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rPr>
            </w:pPr>
            <w:r>
              <w:rPr>
                <w:rFonts w:ascii="Arial" w:hAnsi="Arial" w:cs="Arial"/>
                <w:sz w:val="20"/>
              </w:rPr>
              <w:t>2553.21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1C0D18" w:rsidRDefault="001C0D18" w:rsidP="00B52511">
            <w:pPr>
              <w:rPr>
                <w:rFonts w:ascii="Arial" w:hAnsi="Arial" w:cs="Arial"/>
                <w:sz w:val="20"/>
              </w:rPr>
            </w:pPr>
            <w:r>
              <w:rPr>
                <w:rFonts w:ascii="Arial" w:hAnsi="Arial" w:cs="Arial"/>
                <w:sz w:val="20"/>
              </w:rPr>
              <w:t>22.3.18.3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C0D18" w:rsidRPr="00EE583F" w:rsidRDefault="001C0D1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It says "For a conforming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Change to "For a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1C0D18" w:rsidRDefault="001C0D18" w:rsidP="001C0D18">
      <w:pPr>
        <w:rPr>
          <w:b/>
          <w:lang w:eastAsia="zh-CN"/>
        </w:rPr>
      </w:pPr>
    </w:p>
    <w:p w:rsidR="001C0D18" w:rsidRDefault="001C0D18" w:rsidP="001C0D18">
      <w:pPr>
        <w:autoSpaceDE w:val="0"/>
        <w:autoSpaceDN w:val="0"/>
        <w:adjustRightInd w:val="0"/>
        <w:rPr>
          <w:b/>
          <w:lang w:eastAsia="zh-CN"/>
        </w:rPr>
      </w:pPr>
      <w:r>
        <w:rPr>
          <w:rFonts w:hint="eastAsia"/>
          <w:b/>
          <w:lang w:eastAsia="zh-CN"/>
        </w:rPr>
        <w:t xml:space="preserve">Referred content: </w:t>
      </w:r>
    </w:p>
    <w:p w:rsidR="001C0D18" w:rsidRDefault="001C0D18" w:rsidP="001C0D18">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 “</w:t>
      </w:r>
      <w:r w:rsidRPr="00291662">
        <w:rPr>
          <w:rFonts w:ascii="TimesNewRomanPSMT" w:hAnsi="TimesNewRomanPSMT" w:cs="TimesNewRomanPSMT"/>
          <w:i/>
          <w:sz w:val="20"/>
          <w:lang w:val="en-US"/>
        </w:rPr>
        <w:t>The interfering signal in the nonadjacent channel shall be a signal compliant with the OFDM PHY,</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unsynchronized with the signal in the channel under test, and shall have a minimum duty cycle of 50%. For</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a conforming OFDM</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PHY, the corresponding rejection shall be no less than specified in Table 22-26</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(Minimum required adjacent and nonadjacent channel rejection levels).</w:t>
      </w:r>
      <w:r>
        <w:rPr>
          <w:rFonts w:ascii="TimesNewRomanPSMT" w:hAnsi="TimesNewRomanPSMT" w:cs="TimesNewRomanPSMT"/>
          <w:sz w:val="20"/>
          <w:lang w:val="en-US" w:eastAsia="zh-CN"/>
        </w:rPr>
        <w:t>”</w:t>
      </w:r>
    </w:p>
    <w:p w:rsidR="001C0D18" w:rsidRDefault="001C0D18" w:rsidP="001C0D18">
      <w:pPr>
        <w:rPr>
          <w:b/>
          <w:lang w:eastAsia="zh-CN"/>
        </w:rPr>
      </w:pPr>
    </w:p>
    <w:p w:rsidR="001C0D18" w:rsidRDefault="001C0D18" w:rsidP="001C0D18">
      <w:pPr>
        <w:rPr>
          <w:b/>
          <w:lang w:eastAsia="zh-CN"/>
        </w:rPr>
      </w:pPr>
      <w:r>
        <w:rPr>
          <w:rFonts w:hint="eastAsia"/>
          <w:b/>
          <w:lang w:eastAsia="zh-CN"/>
        </w:rPr>
        <w:t>Discussion</w:t>
      </w:r>
    </w:p>
    <w:p w:rsidR="006520D4" w:rsidRDefault="006520D4" w:rsidP="006520D4">
      <w:pPr>
        <w:rPr>
          <w:lang w:eastAsia="zh-CN"/>
        </w:rPr>
      </w:pPr>
      <w:r>
        <w:rPr>
          <w:rFonts w:hint="eastAsia"/>
          <w:lang w:eastAsia="zh-CN"/>
        </w:rPr>
        <w:t xml:space="preserve">The approved </w:t>
      </w:r>
      <w:r>
        <w:rPr>
          <w:lang w:eastAsia="zh-CN"/>
        </w:rPr>
        <w:t>solution</w:t>
      </w:r>
      <w:r>
        <w:rPr>
          <w:rFonts w:hint="eastAsia"/>
          <w:lang w:eastAsia="zh-CN"/>
        </w:rPr>
        <w:t xml:space="preserve"> to a c</w:t>
      </w:r>
      <w:r w:rsidR="001C0D18">
        <w:rPr>
          <w:rFonts w:hint="eastAsia"/>
          <w:lang w:eastAsia="zh-CN"/>
        </w:rPr>
        <w:t xml:space="preserve">omment </w:t>
      </w:r>
      <w:r>
        <w:rPr>
          <w:rFonts w:hint="eastAsia"/>
          <w:lang w:eastAsia="zh-CN"/>
        </w:rPr>
        <w:t xml:space="preserve">(CID 6257) has covered the same comment of CID 6265 and CID 6267. And the approved resolution stated </w:t>
      </w:r>
      <w:r>
        <w:rPr>
          <w:lang w:eastAsia="zh-CN"/>
        </w:rPr>
        <w:t>“</w:t>
      </w:r>
      <w:r w:rsidRPr="006A6475">
        <w:rPr>
          <w:i/>
          <w:lang w:eastAsia="zh-CN"/>
        </w:rPr>
        <w:t>Change "For a conforming OFDM PHY, the" to "The" at the</w:t>
      </w:r>
      <w:r w:rsidR="006A6475">
        <w:rPr>
          <w:rFonts w:hint="eastAsia"/>
          <w:i/>
          <w:lang w:eastAsia="zh-CN"/>
        </w:rPr>
        <w:t xml:space="preserve"> </w:t>
      </w:r>
      <w:r w:rsidRPr="006A6475">
        <w:rPr>
          <w:i/>
          <w:lang w:eastAsia="zh-CN"/>
        </w:rPr>
        <w:t>locations:</w:t>
      </w:r>
      <w:r w:rsidRPr="006A6475">
        <w:rPr>
          <w:rFonts w:hint="eastAsia"/>
          <w:i/>
          <w:lang w:eastAsia="zh-CN"/>
        </w:rPr>
        <w:t xml:space="preserve"> </w:t>
      </w:r>
      <w:r w:rsidRPr="006A6475">
        <w:rPr>
          <w:i/>
          <w:lang w:eastAsia="zh-CN"/>
        </w:rPr>
        <w:t>2367.42, 2368.6, 2552.12, 2553.23</w:t>
      </w:r>
      <w:r>
        <w:rPr>
          <w:lang w:eastAsia="zh-CN"/>
        </w:rPr>
        <w:t>”</w:t>
      </w:r>
    </w:p>
    <w:p w:rsidR="001C0D18" w:rsidRPr="00934E6C" w:rsidRDefault="006520D4" w:rsidP="001C0D18">
      <w:pPr>
        <w:rPr>
          <w:lang w:eastAsia="zh-CN"/>
        </w:rPr>
      </w:pPr>
      <w:r>
        <w:rPr>
          <w:rFonts w:hint="eastAsia"/>
          <w:lang w:eastAsia="zh-CN"/>
        </w:rPr>
        <w:t xml:space="preserve">Although agreed with the </w:t>
      </w:r>
      <w:proofErr w:type="spellStart"/>
      <w:r>
        <w:rPr>
          <w:rFonts w:hint="eastAsia"/>
          <w:lang w:eastAsia="zh-CN"/>
        </w:rPr>
        <w:t>commentor</w:t>
      </w:r>
      <w:r>
        <w:rPr>
          <w:lang w:eastAsia="zh-CN"/>
        </w:rPr>
        <w:t>’</w:t>
      </w:r>
      <w:r>
        <w:rPr>
          <w:rFonts w:hint="eastAsia"/>
          <w:lang w:eastAsia="zh-CN"/>
        </w:rPr>
        <w:t>s</w:t>
      </w:r>
      <w:proofErr w:type="spellEnd"/>
      <w:r>
        <w:rPr>
          <w:rFonts w:hint="eastAsia"/>
          <w:lang w:eastAsia="zh-CN"/>
        </w:rPr>
        <w:t xml:space="preserve"> intention, to avoid redundant </w:t>
      </w:r>
      <w:r>
        <w:rPr>
          <w:lang w:eastAsia="zh-CN"/>
        </w:rPr>
        <w:t>modification</w:t>
      </w:r>
      <w:r>
        <w:rPr>
          <w:rFonts w:hint="eastAsia"/>
          <w:lang w:eastAsia="zh-CN"/>
        </w:rPr>
        <w:t xml:space="preserve"> to </w:t>
      </w:r>
      <w:r>
        <w:rPr>
          <w:lang w:eastAsia="zh-CN"/>
        </w:rPr>
        <w:t>the</w:t>
      </w:r>
      <w:r>
        <w:rPr>
          <w:rFonts w:hint="eastAsia"/>
          <w:lang w:eastAsia="zh-CN"/>
        </w:rPr>
        <w:t xml:space="preserve"> spec draft, there</w:t>
      </w:r>
      <w:r>
        <w:rPr>
          <w:lang w:eastAsia="zh-CN"/>
        </w:rPr>
        <w:t>’</w:t>
      </w:r>
      <w:r>
        <w:rPr>
          <w:rFonts w:hint="eastAsia"/>
          <w:lang w:eastAsia="zh-CN"/>
        </w:rPr>
        <w:t>s no need for additional resolution to these two comments</w:t>
      </w:r>
      <w:r w:rsidR="001C0D18">
        <w:rPr>
          <w:rFonts w:hint="eastAsia"/>
          <w:lang w:eastAsia="zh-CN"/>
        </w:rPr>
        <w:t>.</w:t>
      </w:r>
    </w:p>
    <w:p w:rsidR="001C0D18" w:rsidRDefault="001C0D18" w:rsidP="001C0D18">
      <w:pPr>
        <w:rPr>
          <w:b/>
          <w:lang w:eastAsia="zh-CN"/>
        </w:rPr>
      </w:pPr>
    </w:p>
    <w:p w:rsidR="001C0D18" w:rsidRDefault="001C0D18" w:rsidP="001C0D18">
      <w:pPr>
        <w:rPr>
          <w:b/>
        </w:rPr>
      </w:pPr>
      <w:r w:rsidRPr="00262FA4">
        <w:rPr>
          <w:b/>
          <w:highlight w:val="green"/>
        </w:rPr>
        <w:t>Proposed resolution:</w:t>
      </w:r>
    </w:p>
    <w:p w:rsidR="001C0D18" w:rsidRDefault="00A3020B" w:rsidP="001C0D18">
      <w:pPr>
        <w:rPr>
          <w:lang w:eastAsia="zh-CN"/>
        </w:rPr>
      </w:pPr>
      <w:r>
        <w:rPr>
          <w:rFonts w:hint="eastAsia"/>
          <w:lang w:eastAsia="zh-CN"/>
        </w:rPr>
        <w:t>Revised</w:t>
      </w:r>
    </w:p>
    <w:p w:rsidR="00A3020B" w:rsidRDefault="00A3020B" w:rsidP="001C0D18">
      <w:pPr>
        <w:rPr>
          <w:lang w:eastAsia="zh-CN"/>
        </w:rPr>
      </w:pPr>
    </w:p>
    <w:p w:rsidR="00A3020B" w:rsidRDefault="00A3020B" w:rsidP="001C0D18">
      <w:pPr>
        <w:rPr>
          <w:lang w:eastAsia="zh-CN"/>
        </w:rPr>
      </w:pPr>
      <w:r>
        <w:rPr>
          <w:rFonts w:hint="eastAsia"/>
          <w:lang w:eastAsia="zh-CN"/>
        </w:rPr>
        <w:t xml:space="preserve">Apply </w:t>
      </w:r>
      <w:r w:rsidR="00FE0B33">
        <w:rPr>
          <w:rFonts w:hint="eastAsia"/>
          <w:lang w:eastAsia="zh-CN"/>
        </w:rPr>
        <w:t xml:space="preserve">the </w:t>
      </w:r>
      <w:r>
        <w:rPr>
          <w:rFonts w:hint="eastAsia"/>
          <w:lang w:eastAsia="zh-CN"/>
        </w:rPr>
        <w:t>same resolution as CID 6257.</w:t>
      </w:r>
    </w:p>
    <w:p w:rsidR="001C0D18" w:rsidRDefault="001C0D18" w:rsidP="001C0D18">
      <w:pPr>
        <w:rPr>
          <w:b/>
          <w:lang w:eastAsia="zh-CN"/>
        </w:rPr>
      </w:pPr>
    </w:p>
    <w:p w:rsidR="006E22A8" w:rsidRDefault="006E22A8" w:rsidP="00934E6C">
      <w:pPr>
        <w:rPr>
          <w:lang w:eastAsia="zh-CN"/>
        </w:rPr>
      </w:pPr>
    </w:p>
    <w:p w:rsidR="0094769B" w:rsidRDefault="0094769B" w:rsidP="0094769B">
      <w:pPr>
        <w:rPr>
          <w:b/>
          <w:lang w:eastAsia="zh-CN"/>
        </w:rPr>
      </w:pPr>
      <w:r>
        <w:rPr>
          <w:rFonts w:hint="eastAsia"/>
          <w:b/>
          <w:lang w:eastAsia="zh-CN"/>
        </w:rPr>
        <w:t>CID 6296</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6296</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2502.01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22.3.8.3.3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F67FAA" w:rsidP="00B52511">
            <w:pPr>
              <w:rPr>
                <w:sz w:val="24"/>
                <w:szCs w:val="24"/>
                <w:lang w:eastAsia="en-GB"/>
              </w:rPr>
            </w:pPr>
            <w:r>
              <w:rPr>
                <w:rFonts w:ascii="Arial" w:hAnsi="Arial" w:cs="Arial"/>
                <w:sz w:val="20"/>
              </w:rPr>
              <w:t>S</w:t>
            </w:r>
            <w:r w:rsidR="006E22A8">
              <w:rPr>
                <w:rFonts w:ascii="Arial" w:hAnsi="Arial" w:cs="Arial"/>
                <w:sz w:val="20"/>
              </w:rPr>
              <w:t>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If STBC is set in VHT-SIG-A then GID needs to indicate SU and the SU NSTS needs to be even -- there should at least be a NOTE to that effect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Add a NOTE to that effect</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94769B" w:rsidRDefault="0094769B" w:rsidP="0094769B">
      <w:pPr>
        <w:rPr>
          <w:b/>
          <w:lang w:eastAsia="zh-CN"/>
        </w:rPr>
      </w:pPr>
    </w:p>
    <w:p w:rsidR="0094769B" w:rsidRDefault="0094769B" w:rsidP="0094769B">
      <w:pPr>
        <w:autoSpaceDE w:val="0"/>
        <w:autoSpaceDN w:val="0"/>
        <w:adjustRightInd w:val="0"/>
        <w:rPr>
          <w:b/>
          <w:lang w:eastAsia="zh-CN"/>
        </w:rPr>
      </w:pPr>
      <w:r>
        <w:rPr>
          <w:rFonts w:hint="eastAsia"/>
          <w:b/>
          <w:lang w:eastAsia="zh-CN"/>
        </w:rPr>
        <w:t xml:space="preserve">Referred content: </w:t>
      </w:r>
    </w:p>
    <w:p w:rsidR="0094769B" w:rsidRPr="00A177EF" w:rsidRDefault="00A177EF" w:rsidP="0094769B">
      <w:pPr>
        <w:rPr>
          <w:lang w:eastAsia="zh-CN"/>
        </w:rPr>
      </w:pPr>
      <w:r w:rsidRPr="00A177EF">
        <w:rPr>
          <w:rFonts w:hint="eastAsia"/>
          <w:lang w:eastAsia="zh-CN"/>
        </w:rPr>
        <w:t>Table 22-12</w:t>
      </w:r>
    </w:p>
    <w:p w:rsidR="00A177EF" w:rsidRDefault="00A177EF" w:rsidP="0094769B">
      <w:pPr>
        <w:rPr>
          <w:b/>
          <w:lang w:eastAsia="zh-CN"/>
        </w:rPr>
      </w:pPr>
    </w:p>
    <w:p w:rsidR="0094769B" w:rsidRDefault="0094769B" w:rsidP="0094769B">
      <w:pPr>
        <w:rPr>
          <w:b/>
          <w:lang w:eastAsia="zh-CN"/>
        </w:rPr>
      </w:pPr>
      <w:r>
        <w:rPr>
          <w:rFonts w:hint="eastAsia"/>
          <w:b/>
          <w:lang w:eastAsia="zh-CN"/>
        </w:rPr>
        <w:t>Discussion</w:t>
      </w:r>
    </w:p>
    <w:p w:rsidR="006D2EBF" w:rsidRDefault="0094769B" w:rsidP="0094769B">
      <w:pPr>
        <w:rPr>
          <w:lang w:eastAsia="zh-CN"/>
        </w:rPr>
      </w:pPr>
      <w:r>
        <w:rPr>
          <w:rFonts w:hint="eastAsia"/>
          <w:lang w:eastAsia="zh-CN"/>
        </w:rPr>
        <w:t xml:space="preserve">The table 22-12 provides a general description for </w:t>
      </w:r>
      <w:r w:rsidR="006A6475">
        <w:rPr>
          <w:rFonts w:hint="eastAsia"/>
          <w:lang w:eastAsia="zh-CN"/>
        </w:rPr>
        <w:t xml:space="preserve">the meaning of the value of </w:t>
      </w:r>
      <w:r>
        <w:rPr>
          <w:rFonts w:hint="eastAsia"/>
          <w:lang w:eastAsia="zh-CN"/>
        </w:rPr>
        <w:t xml:space="preserve">each field of the VHT-SIG-A. Detailed implementation restriction </w:t>
      </w:r>
      <w:r w:rsidR="00EC2D13">
        <w:rPr>
          <w:rFonts w:hint="eastAsia"/>
          <w:lang w:eastAsia="zh-CN"/>
        </w:rPr>
        <w:t xml:space="preserve">of particular field values </w:t>
      </w:r>
      <w:r>
        <w:rPr>
          <w:rFonts w:hint="eastAsia"/>
          <w:lang w:eastAsia="zh-CN"/>
        </w:rPr>
        <w:t xml:space="preserve">is described </w:t>
      </w:r>
      <w:r w:rsidR="00EC2D13">
        <w:rPr>
          <w:rFonts w:hint="eastAsia"/>
          <w:lang w:eastAsia="zh-CN"/>
        </w:rPr>
        <w:t xml:space="preserve">in corresponding function description section. </w:t>
      </w:r>
      <w:r w:rsidR="006D2EBF">
        <w:rPr>
          <w:lang w:eastAsia="zh-CN"/>
        </w:rPr>
        <w:t>For</w:t>
      </w:r>
      <w:r w:rsidR="006D2EBF">
        <w:rPr>
          <w:rFonts w:hint="eastAsia"/>
          <w:lang w:eastAsia="zh-CN"/>
        </w:rPr>
        <w:t xml:space="preserve"> example, in </w:t>
      </w:r>
      <w:r w:rsidR="006D2EBF" w:rsidRPr="006D2EBF">
        <w:rPr>
          <w:rFonts w:hint="eastAsia"/>
          <w:i/>
          <w:lang w:eastAsia="zh-CN"/>
        </w:rPr>
        <w:t>22.3.10.9.4 Space-time block coding</w:t>
      </w:r>
      <w:r w:rsidR="006A6475">
        <w:rPr>
          <w:rFonts w:hint="eastAsia"/>
          <w:lang w:eastAsia="zh-CN"/>
        </w:rPr>
        <w:t xml:space="preserve"> </w:t>
      </w:r>
      <w:proofErr w:type="spellStart"/>
      <w:r w:rsidR="006A6475">
        <w:rPr>
          <w:rFonts w:hint="eastAsia"/>
          <w:lang w:eastAsia="zh-CN"/>
        </w:rPr>
        <w:t>subclause</w:t>
      </w:r>
      <w:proofErr w:type="spellEnd"/>
      <w:r w:rsidR="006A6475">
        <w:rPr>
          <w:rFonts w:hint="eastAsia"/>
          <w:lang w:eastAsia="zh-CN"/>
        </w:rPr>
        <w:t>, the spec draft</w:t>
      </w:r>
      <w:r w:rsidR="006D2EBF">
        <w:rPr>
          <w:rFonts w:hint="eastAsia"/>
          <w:lang w:eastAsia="zh-CN"/>
        </w:rPr>
        <w:t xml:space="preserve"> has stated that the spec only defines STBC for VHT SU PPDUs. </w:t>
      </w:r>
    </w:p>
    <w:p w:rsidR="006D2EBF" w:rsidRDefault="006D2EBF" w:rsidP="006D2EBF">
      <w:pPr>
        <w:rPr>
          <w:lang w:eastAsia="zh-CN"/>
        </w:rPr>
      </w:pPr>
      <w:r>
        <w:rPr>
          <w:rFonts w:hint="eastAsia"/>
          <w:lang w:eastAsia="zh-CN"/>
        </w:rPr>
        <w:t>Meanwhile, the spec also provide</w:t>
      </w:r>
      <w:r w:rsidR="00F67FAA">
        <w:rPr>
          <w:rFonts w:hint="eastAsia"/>
          <w:lang w:eastAsia="zh-CN"/>
        </w:rPr>
        <w:t>s</w:t>
      </w:r>
      <w:r>
        <w:rPr>
          <w:rFonts w:hint="eastAsia"/>
          <w:lang w:eastAsia="zh-CN"/>
        </w:rPr>
        <w:t xml:space="preserve"> notes as below to remind the fact that STBC is only defined for SU PPDUs:  </w:t>
      </w:r>
    </w:p>
    <w:p w:rsidR="005F3EBE" w:rsidRDefault="005F3EBE" w:rsidP="006D2EBF">
      <w:pPr>
        <w:rPr>
          <w:lang w:eastAsia="zh-CN"/>
        </w:rPr>
      </w:pPr>
      <w:r>
        <w:rPr>
          <w:lang w:eastAsia="zh-CN"/>
        </w:rPr>
        <w:lastRenderedPageBreak/>
        <w:t>“</w:t>
      </w:r>
      <w:r w:rsidRPr="001D798B">
        <w:rPr>
          <w:rFonts w:ascii="TimesNewRomanPSMT" w:hAnsi="TimesNewRomanPSMT" w:cs="TimesNewRomanPSMT"/>
          <w:i/>
          <w:sz w:val="20"/>
          <w:lang w:val="en-US"/>
        </w:rPr>
        <w:t>Note that the</w:t>
      </w:r>
      <w:r w:rsidRPr="001D798B">
        <w:rPr>
          <w:rFonts w:ascii="TimesNewRomanPSMT" w:hAnsi="TimesNewRomanPSMT" w:cs="TimesNewRomanPSMT" w:hint="eastAsia"/>
          <w:i/>
          <w:sz w:val="20"/>
          <w:lang w:val="en-US" w:eastAsia="zh-CN"/>
        </w:rPr>
        <w:t xml:space="preserve"> </w:t>
      </w:r>
      <w:r w:rsidRPr="001D798B">
        <w:rPr>
          <w:rFonts w:ascii="TimesNewRomanPSMT" w:hAnsi="TimesNewRomanPSMT" w:cs="TimesNewRomanPSMT"/>
          <w:i/>
          <w:sz w:val="20"/>
          <w:lang w:val="en-US"/>
        </w:rPr>
        <w:t xml:space="preserve">mapping of the STBC field, the NSTS/Partial AID field, the SU/MU[0] Coding field, the SU VHT-MCS/MU[1-3] Coding field, and the </w:t>
      </w:r>
      <w:proofErr w:type="spellStart"/>
      <w:r w:rsidRPr="001D798B">
        <w:rPr>
          <w:rFonts w:ascii="TimesNewRomanPSMT" w:hAnsi="TimesNewRomanPSMT" w:cs="TimesNewRomanPSMT"/>
          <w:i/>
          <w:sz w:val="20"/>
          <w:lang w:val="en-US"/>
        </w:rPr>
        <w:t>Beamformed</w:t>
      </w:r>
      <w:proofErr w:type="spellEnd"/>
      <w:r w:rsidRPr="001D798B">
        <w:rPr>
          <w:rFonts w:ascii="TimesNewRomanPSMT" w:hAnsi="TimesNewRomanPSMT" w:cs="TimesNewRomanPSMT"/>
          <w:i/>
          <w:sz w:val="20"/>
          <w:lang w:val="en-US"/>
        </w:rPr>
        <w:t xml:space="preserve"> field is different for VHT SU and MU PPDUs.</w:t>
      </w:r>
      <w:r>
        <w:rPr>
          <w:lang w:eastAsia="zh-CN"/>
        </w:rPr>
        <w:t>”</w:t>
      </w:r>
    </w:p>
    <w:p w:rsidR="00476581" w:rsidRDefault="00476581" w:rsidP="006D2EBF">
      <w:pPr>
        <w:rPr>
          <w:lang w:eastAsia="zh-CN"/>
        </w:rPr>
      </w:pPr>
    </w:p>
    <w:p w:rsidR="00476581" w:rsidRDefault="00476581" w:rsidP="006D2EBF">
      <w:pPr>
        <w:rPr>
          <w:lang w:eastAsia="zh-CN"/>
        </w:rPr>
      </w:pPr>
      <w:proofErr w:type="spellStart"/>
      <w:r>
        <w:rPr>
          <w:rFonts w:hint="eastAsia"/>
          <w:lang w:eastAsia="zh-CN"/>
        </w:rPr>
        <w:t>Further more</w:t>
      </w:r>
      <w:proofErr w:type="spellEnd"/>
      <w:r>
        <w:rPr>
          <w:rFonts w:hint="eastAsia"/>
          <w:lang w:eastAsia="zh-CN"/>
        </w:rPr>
        <w:t xml:space="preserve">, </w:t>
      </w:r>
      <w:r w:rsidR="00A177EF">
        <w:rPr>
          <w:rFonts w:hint="eastAsia"/>
          <w:lang w:eastAsia="zh-CN"/>
        </w:rPr>
        <w:t>in</w:t>
      </w:r>
      <w:r>
        <w:rPr>
          <w:lang w:eastAsia="zh-CN"/>
        </w:rPr>
        <w:t xml:space="preserve"> </w:t>
      </w:r>
      <w:r>
        <w:rPr>
          <w:rFonts w:hint="eastAsia"/>
          <w:lang w:eastAsia="zh-CN"/>
        </w:rPr>
        <w:t>T</w:t>
      </w:r>
      <w:r>
        <w:rPr>
          <w:lang w:eastAsia="zh-CN"/>
        </w:rPr>
        <w:t xml:space="preserve">able </w:t>
      </w:r>
      <w:r>
        <w:rPr>
          <w:rFonts w:hint="eastAsia"/>
          <w:lang w:eastAsia="zh-CN"/>
        </w:rPr>
        <w:t>22-</w:t>
      </w:r>
      <w:proofErr w:type="gramStart"/>
      <w:r>
        <w:rPr>
          <w:rFonts w:hint="eastAsia"/>
          <w:lang w:eastAsia="zh-CN"/>
        </w:rPr>
        <w:t>20</w:t>
      </w:r>
      <w:r w:rsidR="00A177EF">
        <w:rPr>
          <w:rFonts w:hint="eastAsia"/>
          <w:lang w:eastAsia="zh-CN"/>
        </w:rPr>
        <w:t>,</w:t>
      </w:r>
      <w:proofErr w:type="gramEnd"/>
      <w:r w:rsidR="00A177EF">
        <w:rPr>
          <w:rFonts w:hint="eastAsia"/>
          <w:lang w:eastAsia="zh-CN"/>
        </w:rPr>
        <w:t xml:space="preserve"> the </w:t>
      </w:r>
      <w:proofErr w:type="spellStart"/>
      <w:r w:rsidR="00A177EF">
        <w:rPr>
          <w:rFonts w:hint="eastAsia"/>
          <w:lang w:eastAsia="zh-CN"/>
        </w:rPr>
        <w:t>Nsts</w:t>
      </w:r>
      <w:proofErr w:type="spellEnd"/>
      <w:r w:rsidR="00A177EF">
        <w:rPr>
          <w:rFonts w:hint="eastAsia"/>
          <w:lang w:eastAsia="zh-CN"/>
        </w:rPr>
        <w:t xml:space="preserve"> for STBC is defined as</w:t>
      </w:r>
      <w:r>
        <w:rPr>
          <w:rFonts w:hint="eastAsia"/>
          <w:lang w:eastAsia="zh-CN"/>
        </w:rPr>
        <w:t xml:space="preserve"> even. </w:t>
      </w:r>
    </w:p>
    <w:p w:rsidR="006D2EBF" w:rsidRDefault="006D2EBF" w:rsidP="006D2EBF">
      <w:pPr>
        <w:rPr>
          <w:lang w:eastAsia="zh-CN"/>
        </w:rPr>
      </w:pPr>
    </w:p>
    <w:p w:rsidR="006D2EBF" w:rsidRPr="00934E6C" w:rsidRDefault="006A6475" w:rsidP="006D2EBF">
      <w:pPr>
        <w:rPr>
          <w:lang w:eastAsia="zh-CN"/>
        </w:rPr>
      </w:pPr>
      <w:r>
        <w:rPr>
          <w:rFonts w:hint="eastAsia"/>
          <w:lang w:eastAsia="zh-CN"/>
        </w:rPr>
        <w:t xml:space="preserve">But I agreed with the </w:t>
      </w:r>
      <w:proofErr w:type="spellStart"/>
      <w:r>
        <w:rPr>
          <w:rFonts w:hint="eastAsia"/>
          <w:lang w:eastAsia="zh-CN"/>
        </w:rPr>
        <w:t>commentor</w:t>
      </w:r>
      <w:proofErr w:type="spellEnd"/>
      <w:r>
        <w:rPr>
          <w:rFonts w:hint="eastAsia"/>
          <w:lang w:eastAsia="zh-CN"/>
        </w:rPr>
        <w:t xml:space="preserve"> that to provide a reference link in the Description column will provide convenience to the reader to seek for corresponding function description sections</w:t>
      </w:r>
      <w:r w:rsidR="006D2EBF">
        <w:rPr>
          <w:rFonts w:hint="eastAsia"/>
          <w:lang w:eastAsia="zh-CN"/>
        </w:rPr>
        <w:t>.</w:t>
      </w:r>
    </w:p>
    <w:p w:rsidR="0094769B" w:rsidRDefault="0094769B" w:rsidP="0094769B">
      <w:pPr>
        <w:rPr>
          <w:b/>
          <w:lang w:eastAsia="zh-CN"/>
        </w:rPr>
      </w:pPr>
    </w:p>
    <w:p w:rsidR="0094769B" w:rsidRDefault="0094769B" w:rsidP="0094769B">
      <w:pPr>
        <w:rPr>
          <w:b/>
        </w:rPr>
      </w:pPr>
      <w:r w:rsidRPr="00262FA4">
        <w:rPr>
          <w:b/>
          <w:highlight w:val="green"/>
        </w:rPr>
        <w:t>Proposed resolution:</w:t>
      </w:r>
    </w:p>
    <w:p w:rsidR="0094769B" w:rsidRDefault="006A6475" w:rsidP="0094769B">
      <w:r>
        <w:rPr>
          <w:rFonts w:hint="eastAsia"/>
          <w:lang w:eastAsia="zh-CN"/>
        </w:rPr>
        <w:t>Revise</w:t>
      </w:r>
      <w:r w:rsidR="0094769B">
        <w:rPr>
          <w:rFonts w:hint="eastAsia"/>
          <w:lang w:eastAsia="zh-CN"/>
        </w:rPr>
        <w:t>d</w:t>
      </w:r>
      <w:r w:rsidR="0094769B">
        <w:t xml:space="preserve"> </w:t>
      </w:r>
    </w:p>
    <w:p w:rsidR="0094769B" w:rsidRDefault="0094769B" w:rsidP="00934E6C">
      <w:pPr>
        <w:rPr>
          <w:lang w:eastAsia="zh-CN"/>
        </w:rPr>
      </w:pPr>
    </w:p>
    <w:p w:rsidR="006A6475" w:rsidRDefault="006A6475" w:rsidP="006A6475">
      <w:pPr>
        <w:rPr>
          <w:i/>
          <w:lang w:eastAsia="zh-CN"/>
        </w:rPr>
      </w:pPr>
      <w:r w:rsidRPr="001B7FE7">
        <w:rPr>
          <w:rFonts w:hint="eastAsia"/>
          <w:i/>
          <w:highlight w:val="yellow"/>
          <w:lang w:eastAsia="zh-CN"/>
        </w:rPr>
        <w:t xml:space="preserve">Please 802.11revmc tech editor to </w:t>
      </w:r>
      <w:r>
        <w:rPr>
          <w:rFonts w:hint="eastAsia"/>
          <w:i/>
          <w:highlight w:val="yellow"/>
          <w:lang w:eastAsia="zh-CN"/>
        </w:rPr>
        <w:t xml:space="preserve">modify the </w:t>
      </w:r>
      <w:proofErr w:type="spellStart"/>
      <w:r>
        <w:rPr>
          <w:rFonts w:hint="eastAsia"/>
          <w:i/>
          <w:highlight w:val="yellow"/>
          <w:lang w:eastAsia="zh-CN"/>
        </w:rPr>
        <w:t>Descritpion</w:t>
      </w:r>
      <w:proofErr w:type="spellEnd"/>
      <w:r>
        <w:rPr>
          <w:rFonts w:hint="eastAsia"/>
          <w:i/>
          <w:highlight w:val="yellow"/>
          <w:lang w:eastAsia="zh-CN"/>
        </w:rPr>
        <w:t xml:space="preserve"> column of the STBC field of VHT-SIG-A1part in Table 22-12 as below:</w:t>
      </w:r>
    </w:p>
    <w:p w:rsidR="006A6475" w:rsidRDefault="006A6475" w:rsidP="006A6475">
      <w:pPr>
        <w:rPr>
          <w:i/>
          <w:lang w:eastAsia="zh-CN"/>
        </w:rPr>
      </w:pPr>
    </w:p>
    <w:p w:rsidR="006A6475" w:rsidRDefault="006A6475" w:rsidP="006A64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For a VHT SU PPDU:</w:t>
      </w:r>
    </w:p>
    <w:p w:rsidR="006A6475" w:rsidRDefault="006A6475" w:rsidP="006A64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 xml:space="preserve">Set to 1 if space time block coding </w:t>
      </w:r>
      <w:r w:rsidR="00EF7F30">
        <w:rPr>
          <w:rFonts w:ascii="TimesNewRomanPSMT" w:hAnsi="TimesNewRomanPSMT" w:cs="TimesNewRomanPSMT" w:hint="eastAsia"/>
          <w:color w:val="0070C0"/>
          <w:sz w:val="18"/>
          <w:szCs w:val="18"/>
          <w:u w:val="single"/>
          <w:lang w:val="en-US"/>
        </w:rPr>
        <w:t>(</w:t>
      </w:r>
      <w:r w:rsidR="00EF7F30">
        <w:rPr>
          <w:rFonts w:ascii="TimesNewRomanPSMT" w:hAnsi="TimesNewRomanPSMT" w:cs="TimesNewRomanPSMT" w:hint="eastAsia"/>
          <w:color w:val="0070C0"/>
          <w:sz w:val="18"/>
          <w:szCs w:val="18"/>
          <w:u w:val="single"/>
          <w:lang w:val="en-US" w:eastAsia="zh-CN"/>
        </w:rPr>
        <w:t>see</w:t>
      </w:r>
      <w:r w:rsidRPr="006A6475">
        <w:rPr>
          <w:rFonts w:ascii="TimesNewRomanPSMT" w:hAnsi="TimesNewRomanPSMT" w:cs="TimesNewRomanPSMT" w:hint="eastAsia"/>
          <w:color w:val="0070C0"/>
          <w:sz w:val="18"/>
          <w:szCs w:val="18"/>
          <w:u w:val="single"/>
          <w:lang w:val="en-US"/>
        </w:rPr>
        <w:t xml:space="preserve"> 22.3.10.9.4 Space-time block coding)</w:t>
      </w:r>
      <w:r>
        <w:rPr>
          <w:rFonts w:ascii="TimesNewRomanPSMT" w:hAnsi="TimesNewRomanPSMT" w:cs="TimesNewRomanPSMT" w:hint="eastAsia"/>
          <w:sz w:val="18"/>
          <w:szCs w:val="18"/>
          <w:lang w:val="en-US"/>
        </w:rPr>
        <w:t xml:space="preserve"> </w:t>
      </w:r>
      <w:r>
        <w:rPr>
          <w:rFonts w:ascii="TimesNewRomanPSMT" w:hAnsi="TimesNewRomanPSMT" w:cs="TimesNewRomanPSMT"/>
          <w:sz w:val="18"/>
          <w:szCs w:val="18"/>
          <w:lang w:val="en-US"/>
        </w:rPr>
        <w:t>is used and set to 0</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otherwise.</w:t>
      </w:r>
    </w:p>
    <w:p w:rsidR="006A6475" w:rsidRDefault="006A6475" w:rsidP="006A64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For a VHT MU PPDU:</w:t>
      </w:r>
    </w:p>
    <w:p w:rsidR="006A6475" w:rsidRPr="001B7FE7" w:rsidRDefault="006A6475" w:rsidP="006A6475">
      <w:pPr>
        <w:rPr>
          <w:i/>
          <w:lang w:eastAsia="zh-CN"/>
        </w:rPr>
      </w:pP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Set to 0.</w:t>
      </w:r>
    </w:p>
    <w:p w:rsidR="006E22A8" w:rsidRDefault="006E22A8" w:rsidP="00934E6C">
      <w:pPr>
        <w:rPr>
          <w:lang w:eastAsia="zh-CN"/>
        </w:rPr>
      </w:pPr>
    </w:p>
    <w:p w:rsidR="006A6475" w:rsidRDefault="006A6475" w:rsidP="00934E6C">
      <w:pPr>
        <w:rPr>
          <w:lang w:eastAsia="zh-CN"/>
        </w:rPr>
      </w:pPr>
    </w:p>
    <w:p w:rsidR="006E22A8" w:rsidRDefault="006E22A8" w:rsidP="00934E6C">
      <w:pPr>
        <w:rPr>
          <w:lang w:eastAsia="zh-CN"/>
        </w:rPr>
      </w:pPr>
    </w:p>
    <w:p w:rsidR="00476581" w:rsidRDefault="00476581" w:rsidP="00476581">
      <w:pPr>
        <w:rPr>
          <w:b/>
          <w:lang w:eastAsia="zh-CN"/>
        </w:rPr>
      </w:pPr>
      <w:r>
        <w:rPr>
          <w:rFonts w:hint="eastAsia"/>
          <w:b/>
          <w:lang w:eastAsia="zh-CN"/>
        </w:rPr>
        <w:t>CID 6675</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6675</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2455.00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"The Clause 20 (High Throughput (HT) PHY specification) PHY TXVECTOR and RXVECTOR contain additional parameters related to the operation of the Clause 20 (High Throughput (HT) PHY specification) PHY modes of operation as described in 20.2 (HT PHY service interface). In certain modes of operation, the DATARATE parameter is replaced by a MCS value. The mapping from Clause 20 (High Throughput (HT) PHY specification) MCS to data rate is defined in 20.5 (Parameters for HT MCSs)." needs to be extended to VHT.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As it says in the comment</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6E22A8" w:rsidRDefault="006E22A8" w:rsidP="00476581">
      <w:pPr>
        <w:rPr>
          <w:b/>
          <w:lang w:eastAsia="zh-CN"/>
        </w:rPr>
      </w:pPr>
    </w:p>
    <w:p w:rsidR="00476581" w:rsidRDefault="00476581" w:rsidP="00476581">
      <w:pPr>
        <w:autoSpaceDE w:val="0"/>
        <w:autoSpaceDN w:val="0"/>
        <w:adjustRightInd w:val="0"/>
        <w:rPr>
          <w:b/>
          <w:lang w:eastAsia="zh-CN"/>
        </w:rPr>
      </w:pPr>
      <w:r>
        <w:rPr>
          <w:rFonts w:hint="eastAsia"/>
          <w:b/>
          <w:lang w:eastAsia="zh-CN"/>
        </w:rPr>
        <w:t xml:space="preserve">Referred content: </w:t>
      </w:r>
    </w:p>
    <w:p w:rsidR="009311BD" w:rsidRPr="009311BD" w:rsidRDefault="00476581" w:rsidP="00476581">
      <w:pPr>
        <w:autoSpaceDE w:val="0"/>
        <w:autoSpaceDN w:val="0"/>
        <w:adjustRightInd w:val="0"/>
        <w:rPr>
          <w:rFonts w:ascii="Arial-BoldMT" w:hAnsi="Arial-BoldMT" w:cs="Arial-BoldMT"/>
          <w:bCs/>
          <w:sz w:val="20"/>
          <w:lang w:val="en-US" w:eastAsia="zh-CN"/>
        </w:rPr>
      </w:pPr>
      <w:r w:rsidRPr="009311BD">
        <w:rPr>
          <w:rFonts w:ascii="TimesNewRomanPSMT" w:hAnsi="TimesNewRomanPSMT" w:cs="TimesNewRomanPSMT"/>
          <w:i/>
          <w:sz w:val="20"/>
          <w:lang w:val="en-US"/>
        </w:rPr>
        <w:t>“</w:t>
      </w:r>
      <w:r w:rsidR="009311BD" w:rsidRPr="009311BD">
        <w:rPr>
          <w:rFonts w:ascii="Arial-BoldMT" w:hAnsi="Arial-BoldMT" w:cs="Arial-BoldMT"/>
          <w:bCs/>
          <w:sz w:val="20"/>
          <w:lang w:val="en-US"/>
        </w:rPr>
        <w:t>7.3.4.4 Vector descriptions</w:t>
      </w:r>
    </w:p>
    <w:p w:rsidR="009311BD" w:rsidRDefault="009311BD" w:rsidP="00476581">
      <w:pPr>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w:t>
      </w:r>
    </w:p>
    <w:p w:rsidR="00476581" w:rsidRPr="00A177EF" w:rsidRDefault="00476581" w:rsidP="00476581">
      <w:pPr>
        <w:autoSpaceDE w:val="0"/>
        <w:autoSpaceDN w:val="0"/>
        <w:adjustRightInd w:val="0"/>
        <w:rPr>
          <w:rFonts w:ascii="TimesNewRomanPSMT" w:hAnsi="TimesNewRomanPSMT" w:cs="TimesNewRomanPSMT"/>
          <w:i/>
          <w:sz w:val="20"/>
          <w:lang w:val="en-US"/>
        </w:rPr>
      </w:pPr>
      <w:r w:rsidRPr="00476581">
        <w:rPr>
          <w:rFonts w:ascii="TimesNewRomanPSMT" w:hAnsi="TimesNewRomanPSMT" w:cs="TimesNewRomanPSMT"/>
          <w:i/>
          <w:sz w:val="20"/>
          <w:lang w:val="en-US"/>
        </w:rPr>
        <w:t>The Clause 20 (High Throughput (HT) PHY specification) PHY TXVECTOR and RXVECTOR contain additional parameters related to the operation of the Clause 20 (High Throughput (HT) PHY specification) PHY modes of operation as described in 20.2 (HT PHY service interface). In certain modes of operation, the DATARATE parameter is replaced by a MCS value. The mapping from Clause 20 (High Throughput (HT) PHY specification) MCS to data rate is defined in 20.5 (Parameters for HT MCSs).</w:t>
      </w:r>
      <w:r w:rsidRPr="00A177EF">
        <w:rPr>
          <w:rFonts w:ascii="TimesNewRomanPSMT" w:hAnsi="TimesNewRomanPSMT" w:cs="TimesNewRomanPSMT"/>
          <w:i/>
          <w:sz w:val="20"/>
          <w:lang w:val="en-US"/>
        </w:rPr>
        <w:t>”</w:t>
      </w:r>
    </w:p>
    <w:p w:rsidR="00476581" w:rsidRDefault="00476581" w:rsidP="00476581">
      <w:pPr>
        <w:rPr>
          <w:b/>
          <w:lang w:eastAsia="zh-CN"/>
        </w:rPr>
      </w:pPr>
    </w:p>
    <w:p w:rsidR="00476581" w:rsidRDefault="00476581" w:rsidP="00476581">
      <w:pPr>
        <w:rPr>
          <w:b/>
          <w:lang w:eastAsia="zh-CN"/>
        </w:rPr>
      </w:pPr>
      <w:r>
        <w:rPr>
          <w:rFonts w:hint="eastAsia"/>
          <w:b/>
          <w:lang w:eastAsia="zh-CN"/>
        </w:rPr>
        <w:t>Discussion</w:t>
      </w:r>
    </w:p>
    <w:p w:rsidR="00934E6C" w:rsidRPr="009311BD" w:rsidRDefault="009311BD" w:rsidP="00476581">
      <w:pPr>
        <w:rPr>
          <w:i/>
          <w:lang w:eastAsia="zh-CN"/>
        </w:rPr>
      </w:pPr>
      <w:r>
        <w:rPr>
          <w:rFonts w:hint="eastAsia"/>
          <w:lang w:eastAsia="zh-CN"/>
        </w:rPr>
        <w:t xml:space="preserve">The commenter is correct that VHT defines MCS in the similar way as HT as in </w:t>
      </w:r>
      <w:proofErr w:type="spellStart"/>
      <w:r>
        <w:rPr>
          <w:rFonts w:hint="eastAsia"/>
          <w:lang w:eastAsia="zh-CN"/>
        </w:rPr>
        <w:t>subclause</w:t>
      </w:r>
      <w:proofErr w:type="spellEnd"/>
      <w:r>
        <w:rPr>
          <w:rFonts w:hint="eastAsia"/>
          <w:lang w:eastAsia="zh-CN"/>
        </w:rPr>
        <w:t xml:space="preserve"> 22.5 </w:t>
      </w:r>
      <w:r w:rsidRPr="009311BD">
        <w:rPr>
          <w:rFonts w:hint="eastAsia"/>
          <w:i/>
          <w:lang w:eastAsia="zh-CN"/>
        </w:rPr>
        <w:t>Parameters for VHT-</w:t>
      </w:r>
      <w:proofErr w:type="spellStart"/>
      <w:r w:rsidRPr="009311BD">
        <w:rPr>
          <w:rFonts w:hint="eastAsia"/>
          <w:i/>
          <w:lang w:eastAsia="zh-CN"/>
        </w:rPr>
        <w:t>MCSs</w:t>
      </w:r>
      <w:r w:rsidR="00476581" w:rsidRPr="006D2EBF">
        <w:rPr>
          <w:rFonts w:hint="eastAsia"/>
          <w:i/>
          <w:lang w:eastAsia="zh-CN"/>
        </w:rPr>
        <w:t>.</w:t>
      </w:r>
      <w:r w:rsidRPr="009311BD">
        <w:rPr>
          <w:rFonts w:hint="eastAsia"/>
          <w:lang w:eastAsia="zh-CN"/>
        </w:rPr>
        <w:t>It</w:t>
      </w:r>
      <w:r w:rsidRPr="009311BD">
        <w:rPr>
          <w:lang w:eastAsia="zh-CN"/>
        </w:rPr>
        <w:t>’</w:t>
      </w:r>
      <w:r w:rsidRPr="009311BD">
        <w:rPr>
          <w:rFonts w:hint="eastAsia"/>
          <w:lang w:eastAsia="zh-CN"/>
        </w:rPr>
        <w:t>s</w:t>
      </w:r>
      <w:proofErr w:type="spellEnd"/>
      <w:r w:rsidRPr="009311BD">
        <w:rPr>
          <w:rFonts w:hint="eastAsia"/>
          <w:lang w:eastAsia="zh-CN"/>
        </w:rPr>
        <w:t xml:space="preserve"> </w:t>
      </w:r>
      <w:r w:rsidR="001B7FE7">
        <w:rPr>
          <w:rFonts w:hint="eastAsia"/>
          <w:lang w:eastAsia="zh-CN"/>
        </w:rPr>
        <w:t xml:space="preserve">reasonable </w:t>
      </w:r>
      <w:r w:rsidRPr="009311BD">
        <w:rPr>
          <w:rFonts w:hint="eastAsia"/>
          <w:lang w:eastAsia="zh-CN"/>
        </w:rPr>
        <w:t xml:space="preserve">to modify the </w:t>
      </w:r>
      <w:r w:rsidR="001B7FE7">
        <w:rPr>
          <w:rFonts w:hint="eastAsia"/>
          <w:lang w:eastAsia="zh-CN"/>
        </w:rPr>
        <w:t xml:space="preserve">corresponding </w:t>
      </w:r>
      <w:r w:rsidRPr="009311BD">
        <w:rPr>
          <w:rFonts w:hint="eastAsia"/>
          <w:lang w:eastAsia="zh-CN"/>
        </w:rPr>
        <w:t>description in 7.3.4.4 to reflect</w:t>
      </w:r>
      <w:r w:rsidR="001B7FE7">
        <w:rPr>
          <w:rFonts w:hint="eastAsia"/>
          <w:lang w:eastAsia="zh-CN"/>
        </w:rPr>
        <w:t xml:space="preserve"> VHT</w:t>
      </w:r>
      <w:r w:rsidR="001B7FE7">
        <w:rPr>
          <w:lang w:eastAsia="zh-CN"/>
        </w:rPr>
        <w:t>’</w:t>
      </w:r>
      <w:r w:rsidR="001B7FE7">
        <w:rPr>
          <w:rFonts w:hint="eastAsia"/>
          <w:lang w:eastAsia="zh-CN"/>
        </w:rPr>
        <w:t>s MCS definition.</w:t>
      </w:r>
      <w:r w:rsidRPr="009311BD">
        <w:rPr>
          <w:rFonts w:hint="eastAsia"/>
          <w:i/>
          <w:lang w:eastAsia="zh-CN"/>
        </w:rPr>
        <w:t xml:space="preserve"> </w:t>
      </w:r>
    </w:p>
    <w:p w:rsidR="00C27848" w:rsidRDefault="00C27848" w:rsidP="00476581">
      <w:pPr>
        <w:rPr>
          <w:i/>
          <w:lang w:eastAsia="zh-CN"/>
        </w:rPr>
      </w:pPr>
    </w:p>
    <w:p w:rsidR="00C27848" w:rsidRDefault="00C27848" w:rsidP="00C27848">
      <w:pPr>
        <w:rPr>
          <w:b/>
        </w:rPr>
      </w:pPr>
      <w:r w:rsidRPr="00262FA4">
        <w:rPr>
          <w:b/>
          <w:highlight w:val="green"/>
        </w:rPr>
        <w:lastRenderedPageBreak/>
        <w:t>Proposed resolution:</w:t>
      </w:r>
    </w:p>
    <w:p w:rsidR="001B7FE7" w:rsidRDefault="001B7FE7" w:rsidP="00C27848">
      <w:pPr>
        <w:rPr>
          <w:lang w:eastAsia="zh-CN"/>
        </w:rPr>
      </w:pPr>
      <w:r>
        <w:rPr>
          <w:rFonts w:hint="eastAsia"/>
          <w:lang w:eastAsia="zh-CN"/>
        </w:rPr>
        <w:t>Revised</w:t>
      </w:r>
    </w:p>
    <w:p w:rsidR="001B7FE7" w:rsidRDefault="001B7FE7" w:rsidP="00C27848">
      <w:pPr>
        <w:rPr>
          <w:lang w:eastAsia="zh-CN"/>
        </w:rPr>
      </w:pPr>
    </w:p>
    <w:p w:rsidR="00FD6AAC" w:rsidRDefault="00FD6AAC" w:rsidP="00C27848">
      <w:pPr>
        <w:rPr>
          <w:lang w:eastAsia="zh-CN"/>
        </w:rPr>
      </w:pPr>
      <w:r w:rsidRPr="001B7FE7">
        <w:rPr>
          <w:rFonts w:hint="eastAsia"/>
          <w:i/>
          <w:highlight w:val="yellow"/>
          <w:lang w:eastAsia="zh-CN"/>
        </w:rPr>
        <w:t xml:space="preserve">Please 802.11revmc tech editor to </w:t>
      </w:r>
      <w:r>
        <w:rPr>
          <w:rFonts w:hint="eastAsia"/>
          <w:i/>
          <w:highlight w:val="yellow"/>
          <w:lang w:eastAsia="zh-CN"/>
        </w:rPr>
        <w:t xml:space="preserve">modify the last </w:t>
      </w:r>
      <w:r w:rsidRPr="001B7FE7">
        <w:rPr>
          <w:rFonts w:hint="eastAsia"/>
          <w:i/>
          <w:highlight w:val="yellow"/>
          <w:lang w:eastAsia="zh-CN"/>
        </w:rPr>
        <w:t xml:space="preserve">paragraph of </w:t>
      </w:r>
      <w:proofErr w:type="spellStart"/>
      <w:r w:rsidRPr="001B7FE7">
        <w:rPr>
          <w:rFonts w:hint="eastAsia"/>
          <w:i/>
          <w:highlight w:val="yellow"/>
          <w:lang w:eastAsia="zh-CN"/>
        </w:rPr>
        <w:t>subcla</w:t>
      </w:r>
      <w:r>
        <w:rPr>
          <w:rFonts w:hint="eastAsia"/>
          <w:i/>
          <w:highlight w:val="yellow"/>
          <w:lang w:eastAsia="zh-CN"/>
        </w:rPr>
        <w:t>use</w:t>
      </w:r>
      <w:proofErr w:type="spellEnd"/>
      <w:r>
        <w:rPr>
          <w:rFonts w:hint="eastAsia"/>
          <w:i/>
          <w:highlight w:val="yellow"/>
          <w:lang w:eastAsia="zh-CN"/>
        </w:rPr>
        <w:t xml:space="preserve"> 7.3.4.4 Vector descriptions in page 54</w:t>
      </w:r>
      <w:r w:rsidR="008A732F">
        <w:rPr>
          <w:rFonts w:hint="eastAsia"/>
          <w:i/>
          <w:highlight w:val="yellow"/>
          <w:lang w:eastAsia="zh-CN"/>
        </w:rPr>
        <w:t>6</w:t>
      </w:r>
      <w:r>
        <w:rPr>
          <w:rFonts w:hint="eastAsia"/>
          <w:i/>
          <w:highlight w:val="yellow"/>
          <w:lang w:eastAsia="zh-CN"/>
        </w:rPr>
        <w:t>, line 22 as below</w:t>
      </w:r>
      <w:r w:rsidRPr="001B7FE7">
        <w:rPr>
          <w:rFonts w:hint="eastAsia"/>
          <w:i/>
          <w:highlight w:val="yellow"/>
          <w:lang w:eastAsia="zh-CN"/>
        </w:rPr>
        <w:t>:</w:t>
      </w:r>
    </w:p>
    <w:p w:rsidR="00FD6AAC" w:rsidRDefault="00FD6AAC" w:rsidP="00C27848">
      <w:pPr>
        <w:rPr>
          <w:lang w:eastAsia="zh-CN"/>
        </w:rPr>
      </w:pPr>
    </w:p>
    <w:p w:rsidR="00FD6AAC" w:rsidRDefault="00FD6AAC" w:rsidP="00C27848">
      <w:pPr>
        <w:rPr>
          <w:lang w:eastAsia="zh-CN"/>
        </w:rPr>
      </w:pPr>
      <w:r>
        <w:rPr>
          <w:rFonts w:ascii="TimesNewRomanPSMT" w:eastAsia="TimesNewRomanPSMT" w:cs="TimesNewRomanPSMT"/>
          <w:color w:val="000000"/>
          <w:sz w:val="20"/>
          <w:lang w:val="en-US"/>
        </w:rPr>
        <w:t xml:space="preserve">The Clause 20 (High Throughput (HT) PHY specification) PHY TXVECTOR and RXVECTOR contain additional parameters related to the operation of the Clause 20 (High Throughput (HT) PHY specification) PHY modes of operation as described in 20.2 (HT PHY service interface). In certain modes of operation, the DATARATE parameter is replaced by </w:t>
      </w:r>
      <w:r w:rsidRPr="00FD6AAC">
        <w:rPr>
          <w:rFonts w:ascii="TimesNewRomanPSMT" w:eastAsia="TimesNewRomanPSMT" w:cs="TimesNewRomanPSMT" w:hint="eastAsia"/>
          <w:strike/>
          <w:color w:val="FF0000"/>
          <w:sz w:val="20"/>
          <w:lang w:val="en-US" w:eastAsia="zh-CN"/>
        </w:rPr>
        <w:t xml:space="preserve">a </w:t>
      </w:r>
      <w:r>
        <w:rPr>
          <w:rFonts w:ascii="TimesNewRomanPSMT" w:eastAsia="TimesNewRomanPSMT" w:cs="TimesNewRomanPSMT"/>
          <w:color w:val="000000"/>
          <w:sz w:val="20"/>
          <w:lang w:val="en-US"/>
        </w:rPr>
        <w:t>MCS</w:t>
      </w:r>
      <w:r w:rsidRPr="00FD6AAC">
        <w:rPr>
          <w:rFonts w:ascii="TimesNewRomanPSMT" w:eastAsia="TimesNewRomanPSMT" w:cs="TimesNewRomanPSMT"/>
          <w:color w:val="0070C0"/>
          <w:sz w:val="20"/>
          <w:u w:val="single"/>
          <w:lang w:val="en-US"/>
        </w:rPr>
        <w:t>, CH_BANDWIDTH and GI_TYPE</w:t>
      </w:r>
      <w:r>
        <w:rPr>
          <w:rFonts w:ascii="TimesNewRomanPSMT" w:eastAsia="TimesNewRomanPSMT" w:cs="TimesNewRomanPSMT"/>
          <w:color w:val="000000"/>
          <w:sz w:val="20"/>
          <w:lang w:val="en-US"/>
        </w:rPr>
        <w:t xml:space="preserve"> value</w:t>
      </w:r>
      <w:r w:rsidRPr="00D17F4E">
        <w:rPr>
          <w:rFonts w:ascii="TimesNewRomanPSMT" w:eastAsia="TimesNewRomanPSMT" w:cs="TimesNewRomanPSMT"/>
          <w:color w:val="0070C0"/>
          <w:sz w:val="20"/>
          <w:u w:val="single"/>
          <w:lang w:val="en-US"/>
        </w:rPr>
        <w:t>s</w:t>
      </w:r>
      <w:r>
        <w:rPr>
          <w:rFonts w:ascii="TimesNewRomanPSMT" w:eastAsia="TimesNewRomanPSMT" w:cs="TimesNewRomanPSMT"/>
          <w:color w:val="000000"/>
          <w:sz w:val="20"/>
          <w:lang w:val="en-US"/>
        </w:rPr>
        <w:t xml:space="preserve">. The mapping from </w:t>
      </w:r>
      <w:r w:rsidRPr="00714C57">
        <w:rPr>
          <w:rFonts w:ascii="TimesNewRomanPSMT" w:eastAsia="TimesNewRomanPSMT" w:cs="TimesNewRomanPSMT" w:hint="eastAsia"/>
          <w:strike/>
          <w:color w:val="FF0000"/>
          <w:sz w:val="20"/>
          <w:lang w:val="en-US" w:eastAsia="zh-CN"/>
        </w:rPr>
        <w:t>Clause 20 (High Throughput (HT) PHY specification) parameters</w:t>
      </w:r>
      <w:r>
        <w:rPr>
          <w:rFonts w:ascii="TimesNewRomanPSMT" w:eastAsia="TimesNewRomanPSMT" w:cs="TimesNewRomanPSMT" w:hint="eastAsia"/>
          <w:color w:val="000000"/>
          <w:sz w:val="20"/>
          <w:lang w:val="en-US" w:eastAsia="zh-CN"/>
        </w:rPr>
        <w:t xml:space="preserve"> </w:t>
      </w:r>
      <w:r w:rsidR="00714C57" w:rsidRPr="00714C57">
        <w:rPr>
          <w:rFonts w:ascii="TimesNewRomanPSMT" w:eastAsia="TimesNewRomanPSMT" w:cs="TimesNewRomanPSMT" w:hint="eastAsia"/>
          <w:color w:val="0070C0"/>
          <w:sz w:val="20"/>
          <w:u w:val="single"/>
          <w:lang w:val="en-US" w:eastAsia="zh-CN"/>
        </w:rPr>
        <w:t>these values</w:t>
      </w:r>
      <w:r w:rsidR="00714C57">
        <w:rPr>
          <w:rFonts w:ascii="TimesNewRomanPSMT" w:eastAsia="TimesNewRomanPSMT" w:cs="TimesNewRomanPSMT" w:hint="eastAsia"/>
          <w:color w:val="000000"/>
          <w:sz w:val="20"/>
          <w:lang w:val="en-US" w:eastAsia="zh-CN"/>
        </w:rPr>
        <w:t xml:space="preserve"> </w:t>
      </w:r>
      <w:r>
        <w:rPr>
          <w:rFonts w:ascii="TimesNewRomanPSMT" w:eastAsia="TimesNewRomanPSMT" w:cs="TimesNewRomanPSMT"/>
          <w:color w:val="000000"/>
          <w:sz w:val="20"/>
          <w:lang w:val="en-US"/>
        </w:rPr>
        <w:t>to data rate is defined in 20.5 (Parameters for HT MCSs).</w:t>
      </w:r>
    </w:p>
    <w:p w:rsidR="00FD6AAC" w:rsidRDefault="00FD6AAC" w:rsidP="00C27848">
      <w:pPr>
        <w:rPr>
          <w:lang w:eastAsia="zh-CN"/>
        </w:rPr>
      </w:pPr>
    </w:p>
    <w:p w:rsidR="00FD6AAC" w:rsidRDefault="00FD6AAC" w:rsidP="00C27848">
      <w:pPr>
        <w:rPr>
          <w:lang w:eastAsia="zh-CN"/>
        </w:rPr>
      </w:pPr>
    </w:p>
    <w:p w:rsidR="00C27848" w:rsidRPr="001B7FE7" w:rsidRDefault="001B7FE7" w:rsidP="00C27848">
      <w:pPr>
        <w:rPr>
          <w:i/>
          <w:lang w:eastAsia="zh-CN"/>
        </w:rPr>
      </w:pPr>
      <w:r w:rsidRPr="001B7FE7">
        <w:rPr>
          <w:rFonts w:hint="eastAsia"/>
          <w:i/>
          <w:highlight w:val="yellow"/>
          <w:lang w:eastAsia="zh-CN"/>
        </w:rPr>
        <w:t xml:space="preserve">Please 802.11revmc tech editor to </w:t>
      </w:r>
      <w:r>
        <w:rPr>
          <w:rFonts w:hint="eastAsia"/>
          <w:i/>
          <w:highlight w:val="yellow"/>
          <w:lang w:eastAsia="zh-CN"/>
        </w:rPr>
        <w:t>add a new paragraph as below to</w:t>
      </w:r>
      <w:r w:rsidRPr="001B7FE7">
        <w:rPr>
          <w:rFonts w:hint="eastAsia"/>
          <w:i/>
          <w:highlight w:val="yellow"/>
          <w:lang w:eastAsia="zh-CN"/>
        </w:rPr>
        <w:t xml:space="preserve"> the </w:t>
      </w:r>
      <w:r>
        <w:rPr>
          <w:rFonts w:hint="eastAsia"/>
          <w:i/>
          <w:highlight w:val="yellow"/>
          <w:lang w:eastAsia="zh-CN"/>
        </w:rPr>
        <w:t xml:space="preserve">end of the </w:t>
      </w:r>
      <w:r w:rsidRPr="001B7FE7">
        <w:rPr>
          <w:rFonts w:hint="eastAsia"/>
          <w:i/>
          <w:highlight w:val="yellow"/>
          <w:lang w:eastAsia="zh-CN"/>
        </w:rPr>
        <w:t xml:space="preserve">last paragraph of </w:t>
      </w:r>
      <w:proofErr w:type="spellStart"/>
      <w:r w:rsidRPr="001B7FE7">
        <w:rPr>
          <w:rFonts w:hint="eastAsia"/>
          <w:i/>
          <w:highlight w:val="yellow"/>
          <w:lang w:eastAsia="zh-CN"/>
        </w:rPr>
        <w:t>subcla</w:t>
      </w:r>
      <w:r>
        <w:rPr>
          <w:rFonts w:hint="eastAsia"/>
          <w:i/>
          <w:highlight w:val="yellow"/>
          <w:lang w:eastAsia="zh-CN"/>
        </w:rPr>
        <w:t>use</w:t>
      </w:r>
      <w:proofErr w:type="spellEnd"/>
      <w:r>
        <w:rPr>
          <w:rFonts w:hint="eastAsia"/>
          <w:i/>
          <w:highlight w:val="yellow"/>
          <w:lang w:eastAsia="zh-CN"/>
        </w:rPr>
        <w:t xml:space="preserve"> 7.3.4.4 Vector descriptions</w:t>
      </w:r>
      <w:r w:rsidR="00BF0CA7">
        <w:rPr>
          <w:rFonts w:hint="eastAsia"/>
          <w:i/>
          <w:highlight w:val="yellow"/>
          <w:lang w:eastAsia="zh-CN"/>
        </w:rPr>
        <w:t xml:space="preserve"> in page 546, line 28 as below</w:t>
      </w:r>
      <w:r w:rsidRPr="001B7FE7">
        <w:rPr>
          <w:rFonts w:hint="eastAsia"/>
          <w:i/>
          <w:highlight w:val="yellow"/>
          <w:lang w:eastAsia="zh-CN"/>
        </w:rPr>
        <w:t>:</w:t>
      </w:r>
    </w:p>
    <w:p w:rsidR="001B7FE7" w:rsidRDefault="001B7FE7" w:rsidP="00C27848">
      <w:pPr>
        <w:rPr>
          <w:lang w:eastAsia="zh-CN"/>
        </w:rPr>
      </w:pPr>
    </w:p>
    <w:p w:rsidR="001B7FE7" w:rsidRPr="00466BAD" w:rsidRDefault="001B7FE7" w:rsidP="00C27848">
      <w:pPr>
        <w:rPr>
          <w:rFonts w:ascii="TimesNewRomanPSMT" w:hAnsi="TimesNewRomanPSMT" w:cs="TimesNewRomanPSMT"/>
          <w:color w:val="0070C0"/>
          <w:sz w:val="20"/>
          <w:u w:val="single"/>
          <w:lang w:val="en-US" w:eastAsia="zh-CN"/>
        </w:rPr>
      </w:pPr>
      <w:r w:rsidRPr="00FE0B33">
        <w:rPr>
          <w:rFonts w:ascii="TimesNewRomanPSMT" w:hAnsi="TimesNewRomanPSMT" w:cs="TimesNewRomanPSMT"/>
          <w:color w:val="0070C0"/>
          <w:sz w:val="20"/>
          <w:u w:val="single"/>
          <w:lang w:val="en-US"/>
        </w:rPr>
        <w:t>The Clause 2</w:t>
      </w:r>
      <w:r w:rsidRPr="00FE0B33">
        <w:rPr>
          <w:rFonts w:ascii="TimesNewRomanPSMT" w:hAnsi="TimesNewRomanPSMT" w:cs="TimesNewRomanPSMT" w:hint="eastAsia"/>
          <w:color w:val="0070C0"/>
          <w:sz w:val="20"/>
          <w:u w:val="single"/>
          <w:lang w:val="en-US" w:eastAsia="zh-CN"/>
        </w:rPr>
        <w:t>2</w:t>
      </w:r>
      <w:r w:rsidRPr="00FE0B33">
        <w:rPr>
          <w:rFonts w:ascii="TimesNewRomanPSMT" w:hAnsi="TimesNewRomanPSMT" w:cs="TimesNewRomanPSMT"/>
          <w:color w:val="0070C0"/>
          <w:sz w:val="20"/>
          <w:u w:val="single"/>
          <w:lang w:val="en-US"/>
        </w:rPr>
        <w:t xml:space="preserve"> (</w:t>
      </w:r>
      <w:r w:rsidRPr="00FE0B33">
        <w:rPr>
          <w:rFonts w:ascii="TimesNewRomanPSMT" w:hAnsi="TimesNewRomanPSMT" w:cs="TimesNewRomanPSMT" w:hint="eastAsia"/>
          <w:color w:val="0070C0"/>
          <w:sz w:val="20"/>
          <w:u w:val="single"/>
          <w:lang w:val="en-US" w:eastAsia="zh-CN"/>
        </w:rPr>
        <w:t xml:space="preserve">Very </w:t>
      </w:r>
      <w:r w:rsidRPr="00FE0B33">
        <w:rPr>
          <w:rFonts w:ascii="TimesNewRomanPSMT" w:hAnsi="TimesNewRomanPSMT" w:cs="TimesNewRomanPSMT"/>
          <w:color w:val="0070C0"/>
          <w:sz w:val="20"/>
          <w:u w:val="single"/>
          <w:lang w:val="en-US"/>
        </w:rPr>
        <w:t>High Throughput (</w:t>
      </w:r>
      <w:r w:rsidRPr="00FE0B33">
        <w:rPr>
          <w:rFonts w:ascii="TimesNewRomanPSMT" w:hAnsi="TimesNewRomanPSMT" w:cs="TimesNewRomanPSMT" w:hint="eastAsia"/>
          <w:color w:val="0070C0"/>
          <w:sz w:val="20"/>
          <w:u w:val="single"/>
          <w:lang w:val="en-US" w:eastAsia="zh-CN"/>
        </w:rPr>
        <w:t>V</w:t>
      </w:r>
      <w:r w:rsidRPr="00FE0B33">
        <w:rPr>
          <w:rFonts w:ascii="TimesNewRomanPSMT" w:hAnsi="TimesNewRomanPSMT" w:cs="TimesNewRomanPSMT"/>
          <w:color w:val="0070C0"/>
          <w:sz w:val="20"/>
          <w:u w:val="single"/>
          <w:lang w:val="en-US"/>
        </w:rPr>
        <w:t>HT) PHY specification) PHY TXVECTOR and RXVECTOR contain additional parameters related to the operation of the Clause 2</w:t>
      </w:r>
      <w:r w:rsidRPr="00FE0B33">
        <w:rPr>
          <w:rFonts w:ascii="TimesNewRomanPSMT" w:hAnsi="TimesNewRomanPSMT" w:cs="TimesNewRomanPSMT" w:hint="eastAsia"/>
          <w:color w:val="0070C0"/>
          <w:sz w:val="20"/>
          <w:u w:val="single"/>
          <w:lang w:val="en-US" w:eastAsia="zh-CN"/>
        </w:rPr>
        <w:t>2</w:t>
      </w:r>
      <w:r w:rsidRPr="00FE0B33">
        <w:rPr>
          <w:rFonts w:ascii="TimesNewRomanPSMT" w:hAnsi="TimesNewRomanPSMT" w:cs="TimesNewRomanPSMT"/>
          <w:color w:val="0070C0"/>
          <w:sz w:val="20"/>
          <w:u w:val="single"/>
          <w:lang w:val="en-US"/>
        </w:rPr>
        <w:t xml:space="preserve"> (</w:t>
      </w:r>
      <w:r w:rsidRPr="00FE0B33">
        <w:rPr>
          <w:rFonts w:ascii="TimesNewRomanPSMT" w:hAnsi="TimesNewRomanPSMT" w:cs="TimesNewRomanPSMT" w:hint="eastAsia"/>
          <w:color w:val="0070C0"/>
          <w:sz w:val="20"/>
          <w:u w:val="single"/>
          <w:lang w:val="en-US" w:eastAsia="zh-CN"/>
        </w:rPr>
        <w:t xml:space="preserve">Very </w:t>
      </w:r>
      <w:r w:rsidRPr="00FE0B33">
        <w:rPr>
          <w:rFonts w:ascii="TimesNewRomanPSMT" w:hAnsi="TimesNewRomanPSMT" w:cs="TimesNewRomanPSMT"/>
          <w:color w:val="0070C0"/>
          <w:sz w:val="20"/>
          <w:u w:val="single"/>
          <w:lang w:val="en-US"/>
        </w:rPr>
        <w:t>High Throughput (</w:t>
      </w:r>
      <w:r w:rsidRPr="00FE0B33">
        <w:rPr>
          <w:rFonts w:ascii="TimesNewRomanPSMT" w:hAnsi="TimesNewRomanPSMT" w:cs="TimesNewRomanPSMT" w:hint="eastAsia"/>
          <w:color w:val="0070C0"/>
          <w:sz w:val="20"/>
          <w:u w:val="single"/>
          <w:lang w:val="en-US" w:eastAsia="zh-CN"/>
        </w:rPr>
        <w:t>V</w:t>
      </w:r>
      <w:r w:rsidRPr="00FE0B33">
        <w:rPr>
          <w:rFonts w:ascii="TimesNewRomanPSMT" w:hAnsi="TimesNewRomanPSMT" w:cs="TimesNewRomanPSMT"/>
          <w:color w:val="0070C0"/>
          <w:sz w:val="20"/>
          <w:u w:val="single"/>
          <w:lang w:val="en-US"/>
        </w:rPr>
        <w:t>HT) PHY specification) PHY modes of operation as described in 2</w:t>
      </w:r>
      <w:r w:rsidRPr="00FE0B33">
        <w:rPr>
          <w:rFonts w:ascii="TimesNewRomanPSMT" w:hAnsi="TimesNewRomanPSMT" w:cs="TimesNewRomanPSMT" w:hint="eastAsia"/>
          <w:color w:val="0070C0"/>
          <w:sz w:val="20"/>
          <w:u w:val="single"/>
          <w:lang w:val="en-US" w:eastAsia="zh-CN"/>
        </w:rPr>
        <w:t>2</w:t>
      </w:r>
      <w:r w:rsidRPr="00FE0B33">
        <w:rPr>
          <w:rFonts w:ascii="TimesNewRomanPSMT" w:hAnsi="TimesNewRomanPSMT" w:cs="TimesNewRomanPSMT"/>
          <w:color w:val="0070C0"/>
          <w:sz w:val="20"/>
          <w:u w:val="single"/>
          <w:lang w:val="en-US"/>
        </w:rPr>
        <w:t>.2 (</w:t>
      </w:r>
      <w:r w:rsidR="00253F67" w:rsidRPr="00FE0B33">
        <w:rPr>
          <w:rFonts w:ascii="TimesNewRomanPSMT" w:hAnsi="TimesNewRomanPSMT" w:cs="TimesNewRomanPSMT" w:hint="eastAsia"/>
          <w:color w:val="0070C0"/>
          <w:sz w:val="20"/>
          <w:u w:val="single"/>
          <w:lang w:val="en-US" w:eastAsia="zh-CN"/>
        </w:rPr>
        <w:t>V</w:t>
      </w:r>
      <w:r w:rsidRPr="00FE0B33">
        <w:rPr>
          <w:rFonts w:ascii="TimesNewRomanPSMT" w:hAnsi="TimesNewRomanPSMT" w:cs="TimesNewRomanPSMT"/>
          <w:color w:val="0070C0"/>
          <w:sz w:val="20"/>
          <w:u w:val="single"/>
          <w:lang w:val="en-US"/>
        </w:rPr>
        <w:t xml:space="preserve">HT PHY service interface). In certain modes of operation, the DATARATE parameter is replaced by </w:t>
      </w:r>
      <w:r w:rsidR="00FD6AAC" w:rsidRPr="00FD6AAC">
        <w:rPr>
          <w:rFonts w:ascii="TimesNewRomanPSMT" w:hAnsi="TimesNewRomanPSMT" w:cs="TimesNewRomanPSMT"/>
          <w:color w:val="0070C0"/>
          <w:sz w:val="20"/>
          <w:u w:val="single"/>
          <w:lang w:val="en-US"/>
        </w:rPr>
        <w:t>MCS, CH_BANDWIDTH, NUM_STS, STBC and GI_TYPE</w:t>
      </w:r>
      <w:r w:rsidR="00FD6AAC" w:rsidRPr="00FD6AAC">
        <w:rPr>
          <w:rFonts w:ascii="TimesNewRomanPSMT" w:hAnsi="TimesNewRomanPSMT" w:cs="TimesNewRomanPSMT" w:hint="eastAsia"/>
          <w:color w:val="0070C0"/>
          <w:sz w:val="20"/>
          <w:u w:val="single"/>
          <w:lang w:val="en-US"/>
        </w:rPr>
        <w:t xml:space="preserve"> values</w:t>
      </w:r>
      <w:r w:rsidRPr="00FE0B33">
        <w:rPr>
          <w:rFonts w:ascii="TimesNewRomanPSMT" w:hAnsi="TimesNewRomanPSMT" w:cs="TimesNewRomanPSMT"/>
          <w:color w:val="0070C0"/>
          <w:sz w:val="20"/>
          <w:u w:val="single"/>
          <w:lang w:val="en-US"/>
        </w:rPr>
        <w:t xml:space="preserve">. The mapping from </w:t>
      </w:r>
      <w:r w:rsidR="00714C57">
        <w:rPr>
          <w:rFonts w:ascii="TimesNewRomanPSMT" w:hAnsi="TimesNewRomanPSMT" w:cs="TimesNewRomanPSMT" w:hint="eastAsia"/>
          <w:color w:val="0070C0"/>
          <w:sz w:val="20"/>
          <w:u w:val="single"/>
          <w:lang w:val="en-US" w:eastAsia="zh-CN"/>
        </w:rPr>
        <w:t>these values</w:t>
      </w:r>
      <w:r w:rsidR="0075492B" w:rsidRPr="00FE0B33">
        <w:rPr>
          <w:rFonts w:ascii="TimesNewRomanPSMT" w:hAnsi="TimesNewRomanPSMT" w:cs="TimesNewRomanPSMT" w:hint="eastAsia"/>
          <w:color w:val="0070C0"/>
          <w:sz w:val="20"/>
          <w:u w:val="single"/>
          <w:lang w:val="en-US" w:eastAsia="zh-CN"/>
        </w:rPr>
        <w:t xml:space="preserve"> </w:t>
      </w:r>
      <w:r w:rsidRPr="00FE0B33">
        <w:rPr>
          <w:rFonts w:ascii="TimesNewRomanPSMT" w:hAnsi="TimesNewRomanPSMT" w:cs="TimesNewRomanPSMT"/>
          <w:color w:val="0070C0"/>
          <w:sz w:val="20"/>
          <w:u w:val="single"/>
          <w:lang w:val="en-US"/>
        </w:rPr>
        <w:t>to data rate is defined in 2</w:t>
      </w:r>
      <w:r w:rsidR="00253F67" w:rsidRPr="00FE0B33">
        <w:rPr>
          <w:rFonts w:ascii="TimesNewRomanPSMT" w:hAnsi="TimesNewRomanPSMT" w:cs="TimesNewRomanPSMT" w:hint="eastAsia"/>
          <w:color w:val="0070C0"/>
          <w:sz w:val="20"/>
          <w:u w:val="single"/>
          <w:lang w:val="en-US" w:eastAsia="zh-CN"/>
        </w:rPr>
        <w:t>2</w:t>
      </w:r>
      <w:r w:rsidRPr="00FE0B33">
        <w:rPr>
          <w:rFonts w:ascii="TimesNewRomanPSMT" w:hAnsi="TimesNewRomanPSMT" w:cs="TimesNewRomanPSMT"/>
          <w:color w:val="0070C0"/>
          <w:sz w:val="20"/>
          <w:u w:val="single"/>
          <w:lang w:val="en-US"/>
        </w:rPr>
        <w:t xml:space="preserve">.5 (Parameters for </w:t>
      </w:r>
      <w:r w:rsidR="00253F67" w:rsidRPr="00FE0B33">
        <w:rPr>
          <w:rFonts w:ascii="TimesNewRomanPSMT" w:hAnsi="TimesNewRomanPSMT" w:cs="TimesNewRomanPSMT" w:hint="eastAsia"/>
          <w:color w:val="0070C0"/>
          <w:sz w:val="20"/>
          <w:u w:val="single"/>
          <w:lang w:val="en-US" w:eastAsia="zh-CN"/>
        </w:rPr>
        <w:t>V</w:t>
      </w:r>
      <w:r w:rsidRPr="00FE0B33">
        <w:rPr>
          <w:rFonts w:ascii="TimesNewRomanPSMT" w:hAnsi="TimesNewRomanPSMT" w:cs="TimesNewRomanPSMT"/>
          <w:color w:val="0070C0"/>
          <w:sz w:val="20"/>
          <w:u w:val="single"/>
          <w:lang w:val="en-US"/>
        </w:rPr>
        <w:t>HT MCSs)</w:t>
      </w:r>
      <w:r w:rsidR="00466BAD">
        <w:rPr>
          <w:rFonts w:ascii="TimesNewRomanPSMT" w:hAnsi="TimesNewRomanPSMT" w:cs="TimesNewRomanPSMT" w:hint="eastAsia"/>
          <w:color w:val="0070C0"/>
          <w:sz w:val="20"/>
          <w:u w:val="single"/>
          <w:lang w:val="en-US"/>
        </w:rPr>
        <w:t xml:space="preserve">, </w:t>
      </w:r>
      <w:r w:rsidR="00466BAD" w:rsidRPr="00466BAD">
        <w:rPr>
          <w:rFonts w:ascii="TimesNewRomanPSMT" w:hAnsi="TimesNewRomanPSMT" w:cs="TimesNewRomanPSMT"/>
          <w:color w:val="0070C0"/>
          <w:sz w:val="20"/>
          <w:u w:val="single"/>
          <w:lang w:val="en-US"/>
        </w:rPr>
        <w:t>where VHT-MCS is MCS and N</w:t>
      </w:r>
      <w:r w:rsidR="00466BAD" w:rsidRPr="009013CF">
        <w:rPr>
          <w:rFonts w:ascii="TimesNewRomanPSMT" w:hAnsi="TimesNewRomanPSMT" w:cs="TimesNewRomanPSMT"/>
          <w:color w:val="0070C0"/>
          <w:sz w:val="20"/>
          <w:u w:val="single"/>
          <w:vertAlign w:val="subscript"/>
          <w:lang w:val="en-US"/>
        </w:rPr>
        <w:t>SS</w:t>
      </w:r>
      <w:r w:rsidR="00466BAD" w:rsidRPr="00466BAD">
        <w:rPr>
          <w:rFonts w:ascii="TimesNewRomanPSMT" w:hAnsi="TimesNewRomanPSMT" w:cs="TimesNewRomanPSMT"/>
          <w:color w:val="0070C0"/>
          <w:sz w:val="20"/>
          <w:u w:val="single"/>
          <w:lang w:val="en-US"/>
        </w:rPr>
        <w:t xml:space="preserve"> is NUM_STS / (STBC + 1)</w:t>
      </w:r>
      <w:r w:rsidR="00466BAD">
        <w:rPr>
          <w:rFonts w:ascii="TimesNewRomanPSMT" w:hAnsi="TimesNewRomanPSMT" w:cs="TimesNewRomanPSMT" w:hint="eastAsia"/>
          <w:color w:val="0070C0"/>
          <w:sz w:val="20"/>
          <w:u w:val="single"/>
          <w:lang w:val="en-US" w:eastAsia="zh-CN"/>
        </w:rPr>
        <w:t>.</w:t>
      </w:r>
    </w:p>
    <w:p w:rsidR="006E22A8" w:rsidRDefault="006E22A8" w:rsidP="00476581">
      <w:pPr>
        <w:rPr>
          <w:b/>
          <w:lang w:eastAsia="zh-CN"/>
        </w:rPr>
      </w:pPr>
    </w:p>
    <w:p w:rsidR="00C76861" w:rsidRDefault="00C76861" w:rsidP="00476581">
      <w:pPr>
        <w:rPr>
          <w:b/>
          <w:lang w:eastAsia="zh-CN"/>
        </w:rPr>
      </w:pPr>
    </w:p>
    <w:p w:rsidR="006E22A8" w:rsidRDefault="006E22A8" w:rsidP="00476581">
      <w:pPr>
        <w:rPr>
          <w:b/>
          <w:lang w:eastAsia="zh-CN"/>
        </w:rPr>
      </w:pPr>
    </w:p>
    <w:p w:rsidR="00C27848" w:rsidRDefault="00C27848" w:rsidP="00C27848">
      <w:pPr>
        <w:rPr>
          <w:b/>
          <w:lang w:eastAsia="zh-CN"/>
        </w:rPr>
      </w:pPr>
      <w:r>
        <w:rPr>
          <w:rFonts w:hint="eastAsia"/>
          <w:b/>
          <w:lang w:eastAsia="zh-CN"/>
        </w:rPr>
        <w:t>CID 6678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6678</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2455.00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 xml:space="preserve">"Table 22-2--- PPDU format as a function of CH_BANDWIDTH parameter" only talks of </w:t>
            </w:r>
            <w:proofErr w:type="spellStart"/>
            <w:r>
              <w:rPr>
                <w:rFonts w:ascii="Arial" w:hAnsi="Arial" w:cs="Arial"/>
                <w:sz w:val="20"/>
              </w:rPr>
              <w:t>CBW_n</w:t>
            </w:r>
            <w:proofErr w:type="spellEnd"/>
            <w:r>
              <w:rPr>
                <w:rFonts w:ascii="Arial" w:hAnsi="Arial" w:cs="Arial"/>
                <w:sz w:val="20"/>
              </w:rPr>
              <w:t xml:space="preserve"> even for HT formats, but the CBW for HT formats is </w:t>
            </w:r>
            <w:proofErr w:type="spellStart"/>
            <w:r>
              <w:rPr>
                <w:rFonts w:ascii="Arial" w:hAnsi="Arial" w:cs="Arial"/>
                <w:sz w:val="20"/>
              </w:rPr>
              <w:t>HT_CBW_n</w:t>
            </w:r>
            <w:proofErr w:type="spellEnd"/>
            <w:r>
              <w:rPr>
                <w:rFonts w:ascii="Arial" w:hAnsi="Arial" w:cs="Arial"/>
                <w:sz w:val="20"/>
              </w:rPr>
              <w: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Use the correct terminology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6E22A8" w:rsidRDefault="006E22A8" w:rsidP="006E22A8"/>
    <w:p w:rsidR="006E22A8" w:rsidRDefault="006E22A8" w:rsidP="00C27848">
      <w:pPr>
        <w:rPr>
          <w:b/>
          <w:lang w:eastAsia="zh-CN"/>
        </w:rPr>
      </w:pPr>
    </w:p>
    <w:p w:rsidR="00C27848" w:rsidRDefault="00C27848" w:rsidP="00C27848">
      <w:pPr>
        <w:autoSpaceDE w:val="0"/>
        <w:autoSpaceDN w:val="0"/>
        <w:adjustRightInd w:val="0"/>
        <w:rPr>
          <w:b/>
          <w:lang w:eastAsia="zh-CN"/>
        </w:rPr>
      </w:pPr>
      <w:r>
        <w:rPr>
          <w:rFonts w:hint="eastAsia"/>
          <w:b/>
          <w:lang w:eastAsia="zh-CN"/>
        </w:rPr>
        <w:t xml:space="preserve">Referred content: </w:t>
      </w:r>
    </w:p>
    <w:p w:rsidR="00C27848" w:rsidRDefault="00C27848" w:rsidP="00C27848">
      <w:pPr>
        <w:autoSpaceDE w:val="0"/>
        <w:autoSpaceDN w:val="0"/>
        <w:adjustRightInd w:val="0"/>
        <w:rPr>
          <w:rFonts w:ascii="TimesNewRomanPSMT" w:hAnsi="TimesNewRomanPSMT" w:cs="TimesNewRomanPSMT"/>
          <w:sz w:val="20"/>
          <w:lang w:val="en-US" w:eastAsia="zh-CN"/>
        </w:rPr>
      </w:pPr>
      <w:r>
        <w:rPr>
          <w:b/>
          <w:lang w:eastAsia="zh-CN"/>
        </w:rPr>
        <w:t>“</w:t>
      </w:r>
      <w:r>
        <w:rPr>
          <w:rFonts w:ascii="Arial" w:hAnsi="Arial" w:cs="Arial"/>
          <w:sz w:val="20"/>
        </w:rPr>
        <w:t xml:space="preserve">Table </w:t>
      </w:r>
      <w:r w:rsidRPr="00C27848">
        <w:rPr>
          <w:rFonts w:ascii="TimesNewRomanPSMT" w:hAnsi="TimesNewRomanPSMT" w:cs="TimesNewRomanPSMT"/>
          <w:i/>
          <w:sz w:val="20"/>
          <w:lang w:val="en-US"/>
        </w:rPr>
        <w:t>22-2--- PPDU format as a function of CH_BANDWIDTH parameter</w:t>
      </w:r>
      <w:r>
        <w:rPr>
          <w:rFonts w:ascii="TimesNewRomanPSMT" w:hAnsi="TimesNewRomanPSMT" w:cs="TimesNewRomanPSMT"/>
          <w:sz w:val="20"/>
          <w:lang w:val="en-US" w:eastAsia="zh-CN"/>
        </w:rPr>
        <w:t>”</w:t>
      </w:r>
    </w:p>
    <w:p w:rsidR="00C27848" w:rsidRDefault="00C27848" w:rsidP="00C27848">
      <w:pPr>
        <w:rPr>
          <w:b/>
          <w:lang w:eastAsia="zh-CN"/>
        </w:rPr>
      </w:pPr>
    </w:p>
    <w:p w:rsidR="00C27848" w:rsidRDefault="00C27848" w:rsidP="00C27848">
      <w:pPr>
        <w:rPr>
          <w:b/>
          <w:lang w:eastAsia="zh-CN"/>
        </w:rPr>
      </w:pPr>
      <w:r>
        <w:rPr>
          <w:rFonts w:hint="eastAsia"/>
          <w:b/>
          <w:lang w:eastAsia="zh-CN"/>
        </w:rPr>
        <w:t>Discussion</w:t>
      </w:r>
    </w:p>
    <w:p w:rsidR="00C27848" w:rsidRDefault="002A21C6" w:rsidP="00C27848">
      <w:pPr>
        <w:rPr>
          <w:i/>
          <w:lang w:eastAsia="zh-CN"/>
        </w:rPr>
      </w:pPr>
      <w:r>
        <w:rPr>
          <w:rFonts w:hint="eastAsia"/>
          <w:lang w:eastAsia="zh-CN"/>
        </w:rPr>
        <w:t xml:space="preserve">As the </w:t>
      </w:r>
      <w:proofErr w:type="spellStart"/>
      <w:r>
        <w:rPr>
          <w:rFonts w:hint="eastAsia"/>
          <w:lang w:eastAsia="zh-CN"/>
        </w:rPr>
        <w:t>commentor</w:t>
      </w:r>
      <w:proofErr w:type="spellEnd"/>
      <w:r>
        <w:rPr>
          <w:rFonts w:hint="eastAsia"/>
          <w:lang w:eastAsia="zh-CN"/>
        </w:rPr>
        <w:t xml:space="preserve"> pointed out, the value of the CH_BANDWIDTH parameter for a HT format PPDU is as defined in </w:t>
      </w:r>
      <w:r w:rsidRPr="001F2CDA">
        <w:rPr>
          <w:rFonts w:hint="eastAsia"/>
          <w:i/>
          <w:lang w:eastAsia="zh-CN"/>
        </w:rPr>
        <w:t>Table 20-1</w:t>
      </w:r>
      <w:r w:rsidR="001F2CDA" w:rsidRPr="001F2CDA">
        <w:rPr>
          <w:rFonts w:hint="eastAsia"/>
          <w:i/>
          <w:lang w:eastAsia="zh-CN"/>
        </w:rPr>
        <w:t>-- T</w:t>
      </w:r>
      <w:r w:rsidRPr="001F2CDA">
        <w:rPr>
          <w:rFonts w:hint="eastAsia"/>
          <w:i/>
          <w:lang w:eastAsia="zh-CN"/>
        </w:rPr>
        <w:t xml:space="preserve">XVETOR and </w:t>
      </w:r>
      <w:r w:rsidR="001F2CDA" w:rsidRPr="001F2CDA">
        <w:rPr>
          <w:rFonts w:hint="eastAsia"/>
          <w:i/>
          <w:lang w:eastAsia="zh-CN"/>
        </w:rPr>
        <w:t>RXVECTOR parameters</w:t>
      </w:r>
      <w:r w:rsidR="001F2CDA">
        <w:rPr>
          <w:rFonts w:hint="eastAsia"/>
          <w:lang w:eastAsia="zh-CN"/>
        </w:rPr>
        <w:t xml:space="preserve">. And in </w:t>
      </w:r>
      <w:proofErr w:type="spellStart"/>
      <w:r w:rsidR="001F2CDA">
        <w:rPr>
          <w:rFonts w:hint="eastAsia"/>
          <w:lang w:eastAsia="zh-CN"/>
        </w:rPr>
        <w:t>Revmc</w:t>
      </w:r>
      <w:proofErr w:type="spellEnd"/>
      <w:r w:rsidR="001F2CDA">
        <w:rPr>
          <w:rFonts w:hint="eastAsia"/>
          <w:lang w:eastAsia="zh-CN"/>
        </w:rPr>
        <w:t xml:space="preserve"> D4.3, a similar modification has made to </w:t>
      </w:r>
      <w:r w:rsidR="001F2CDA" w:rsidRPr="001F2CDA">
        <w:rPr>
          <w:rFonts w:hint="eastAsia"/>
          <w:i/>
          <w:lang w:eastAsia="zh-CN"/>
        </w:rPr>
        <w:t xml:space="preserve">Table 22-1 </w:t>
      </w:r>
      <w:r w:rsidR="001F2CDA" w:rsidRPr="001F2CDA">
        <w:rPr>
          <w:i/>
          <w:lang w:eastAsia="zh-CN"/>
        </w:rPr>
        <w:t>–</w:t>
      </w:r>
      <w:r w:rsidR="001F2CDA" w:rsidRPr="001F2CDA">
        <w:rPr>
          <w:rFonts w:hint="eastAsia"/>
          <w:i/>
          <w:lang w:eastAsia="zh-CN"/>
        </w:rPr>
        <w:t xml:space="preserve"> TXVETOR and </w:t>
      </w:r>
      <w:r w:rsidR="001F2CDA" w:rsidRPr="001F2CDA">
        <w:rPr>
          <w:rFonts w:hint="eastAsia"/>
          <w:lang w:eastAsia="zh-CN"/>
        </w:rPr>
        <w:t>RXVECTOR parameters</w:t>
      </w:r>
      <w:r w:rsidR="001F2CDA">
        <w:rPr>
          <w:rFonts w:hint="eastAsia"/>
          <w:lang w:eastAsia="zh-CN"/>
        </w:rPr>
        <w:t xml:space="preserve"> when referring CH_BANDWIDTH for HT_MF or HT_GF.</w:t>
      </w:r>
    </w:p>
    <w:p w:rsidR="00C27848" w:rsidRDefault="00C27848" w:rsidP="00C27848">
      <w:pPr>
        <w:rPr>
          <w:i/>
          <w:lang w:eastAsia="zh-CN"/>
        </w:rPr>
      </w:pPr>
    </w:p>
    <w:p w:rsidR="00C27848" w:rsidRDefault="00C27848" w:rsidP="00C27848">
      <w:pPr>
        <w:rPr>
          <w:b/>
        </w:rPr>
      </w:pPr>
      <w:r w:rsidRPr="00262FA4">
        <w:rPr>
          <w:b/>
          <w:highlight w:val="green"/>
        </w:rPr>
        <w:t>Proposed resolution:</w:t>
      </w:r>
    </w:p>
    <w:p w:rsidR="00C27848" w:rsidRDefault="001F2CDA" w:rsidP="00C27848">
      <w:r>
        <w:rPr>
          <w:rFonts w:hint="eastAsia"/>
          <w:lang w:eastAsia="zh-CN"/>
        </w:rPr>
        <w:t>Revise</w:t>
      </w:r>
      <w:r w:rsidR="00C27848">
        <w:rPr>
          <w:rFonts w:hint="eastAsia"/>
          <w:lang w:eastAsia="zh-CN"/>
        </w:rPr>
        <w:t>d</w:t>
      </w:r>
      <w:r w:rsidR="00C27848">
        <w:t xml:space="preserve"> </w:t>
      </w:r>
    </w:p>
    <w:p w:rsidR="00647C1E" w:rsidRDefault="00647C1E" w:rsidP="00647C1E">
      <w:pPr>
        <w:rPr>
          <w:rFonts w:ascii="Arial" w:hAnsi="Arial" w:cs="Arial"/>
          <w:sz w:val="20"/>
          <w:lang w:val="en-US" w:eastAsia="zh-CN"/>
        </w:rPr>
      </w:pPr>
    </w:p>
    <w:p w:rsidR="001F2CDA" w:rsidRPr="001B7FE7" w:rsidRDefault="001F2CDA" w:rsidP="001F2CDA">
      <w:pPr>
        <w:rPr>
          <w:i/>
          <w:lang w:eastAsia="zh-CN"/>
        </w:rPr>
      </w:pPr>
      <w:r w:rsidRPr="001B7FE7">
        <w:rPr>
          <w:rFonts w:hint="eastAsia"/>
          <w:i/>
          <w:highlight w:val="yellow"/>
          <w:lang w:eastAsia="zh-CN"/>
        </w:rPr>
        <w:t xml:space="preserve">Please 802.11revmc tech editor to </w:t>
      </w:r>
      <w:r>
        <w:rPr>
          <w:rFonts w:hint="eastAsia"/>
          <w:i/>
          <w:highlight w:val="yellow"/>
          <w:lang w:eastAsia="zh-CN"/>
        </w:rPr>
        <w:t xml:space="preserve">modify the CH_BANDWIDHT fields of the first two </w:t>
      </w:r>
      <w:proofErr w:type="spellStart"/>
      <w:r>
        <w:rPr>
          <w:rFonts w:hint="eastAsia"/>
          <w:i/>
          <w:highlight w:val="yellow"/>
          <w:lang w:eastAsia="zh-CN"/>
        </w:rPr>
        <w:t>raws</w:t>
      </w:r>
      <w:proofErr w:type="spellEnd"/>
      <w:r>
        <w:rPr>
          <w:rFonts w:hint="eastAsia"/>
          <w:i/>
          <w:highlight w:val="yellow"/>
          <w:lang w:eastAsia="zh-CN"/>
        </w:rPr>
        <w:t xml:space="preserve"> in Table 22-2 </w:t>
      </w:r>
      <w:r>
        <w:rPr>
          <w:i/>
          <w:highlight w:val="yellow"/>
          <w:lang w:eastAsia="zh-CN"/>
        </w:rPr>
        <w:t>–</w:t>
      </w:r>
      <w:r>
        <w:rPr>
          <w:rFonts w:hint="eastAsia"/>
          <w:i/>
          <w:highlight w:val="yellow"/>
          <w:lang w:eastAsia="zh-CN"/>
        </w:rPr>
        <w:t xml:space="preserve"> PPDU format as a </w:t>
      </w:r>
      <w:r>
        <w:rPr>
          <w:i/>
          <w:highlight w:val="yellow"/>
          <w:lang w:eastAsia="zh-CN"/>
        </w:rPr>
        <w:t>function</w:t>
      </w:r>
      <w:r>
        <w:rPr>
          <w:rFonts w:hint="eastAsia"/>
          <w:i/>
          <w:highlight w:val="yellow"/>
          <w:lang w:eastAsia="zh-CN"/>
        </w:rPr>
        <w:t xml:space="preserve"> of CH</w:t>
      </w:r>
      <w:r w:rsidR="007A48D4">
        <w:rPr>
          <w:rFonts w:hint="eastAsia"/>
          <w:i/>
          <w:highlight w:val="yellow"/>
          <w:lang w:eastAsia="zh-CN"/>
        </w:rPr>
        <w:t>_</w:t>
      </w:r>
      <w:r>
        <w:rPr>
          <w:rFonts w:hint="eastAsia"/>
          <w:i/>
          <w:highlight w:val="yellow"/>
          <w:lang w:eastAsia="zh-CN"/>
        </w:rPr>
        <w:t>BANDWIDTH parameter in page 2</w:t>
      </w:r>
      <w:r w:rsidR="0075492B">
        <w:rPr>
          <w:rFonts w:hint="eastAsia"/>
          <w:i/>
          <w:highlight w:val="yellow"/>
          <w:lang w:eastAsia="zh-CN"/>
        </w:rPr>
        <w:t>5</w:t>
      </w:r>
      <w:r>
        <w:rPr>
          <w:rFonts w:hint="eastAsia"/>
          <w:i/>
          <w:highlight w:val="yellow"/>
          <w:lang w:eastAsia="zh-CN"/>
        </w:rPr>
        <w:t>39, line 38</w:t>
      </w:r>
      <w:r w:rsidR="0075492B">
        <w:rPr>
          <w:rFonts w:hint="eastAsia"/>
          <w:i/>
          <w:highlight w:val="yellow"/>
          <w:lang w:eastAsia="zh-CN"/>
        </w:rPr>
        <w:t xml:space="preserve"> and line 45</w:t>
      </w:r>
      <w:r>
        <w:rPr>
          <w:rFonts w:hint="eastAsia"/>
          <w:i/>
          <w:highlight w:val="yellow"/>
          <w:lang w:eastAsia="zh-CN"/>
        </w:rPr>
        <w:t xml:space="preserve"> as </w:t>
      </w:r>
      <w:r w:rsidR="0075492B">
        <w:rPr>
          <w:rFonts w:hint="eastAsia"/>
          <w:i/>
          <w:highlight w:val="yellow"/>
          <w:lang w:eastAsia="zh-CN"/>
        </w:rPr>
        <w:t xml:space="preserve">shown </w:t>
      </w:r>
      <w:r>
        <w:rPr>
          <w:rFonts w:hint="eastAsia"/>
          <w:i/>
          <w:highlight w:val="yellow"/>
          <w:lang w:eastAsia="zh-CN"/>
        </w:rPr>
        <w:t>below:</w:t>
      </w:r>
    </w:p>
    <w:p w:rsidR="001F2CDA" w:rsidRDefault="001F2CDA" w:rsidP="00647C1E">
      <w:pPr>
        <w:rPr>
          <w:rFonts w:ascii="Arial" w:hAnsi="Arial" w:cs="Arial"/>
          <w:sz w:val="20"/>
          <w:lang w:eastAsia="zh-CN"/>
        </w:rPr>
      </w:pPr>
    </w:p>
    <w:p w:rsidR="007A48D4" w:rsidRDefault="007A48D4" w:rsidP="007A48D4">
      <w:pPr>
        <w:jc w:val="center"/>
        <w:rPr>
          <w:b/>
          <w:sz w:val="20"/>
          <w:lang w:eastAsia="zh-CN"/>
        </w:rPr>
      </w:pPr>
      <w:r w:rsidRPr="007A48D4">
        <w:rPr>
          <w:b/>
          <w:sz w:val="20"/>
          <w:lang w:eastAsia="zh-CN"/>
        </w:rPr>
        <w:t>Table 22-2 – PPDU format as a function of CH_BANWIDHT parameter</w:t>
      </w:r>
    </w:p>
    <w:p w:rsidR="007A48D4" w:rsidRPr="007A48D4" w:rsidRDefault="007A48D4" w:rsidP="007A48D4">
      <w:pPr>
        <w:jc w:val="center"/>
        <w:rPr>
          <w:b/>
          <w:sz w:val="20"/>
          <w:lang w:eastAsia="zh-CN"/>
        </w:rPr>
      </w:pPr>
    </w:p>
    <w:tbl>
      <w:tblPr>
        <w:tblStyle w:val="ad"/>
        <w:tblW w:w="8694" w:type="dxa"/>
        <w:jc w:val="center"/>
        <w:tblInd w:w="959" w:type="dxa"/>
        <w:tblLook w:val="04A0"/>
      </w:tblPr>
      <w:tblGrid>
        <w:gridCol w:w="1134"/>
        <w:gridCol w:w="1497"/>
        <w:gridCol w:w="1727"/>
        <w:gridCol w:w="4336"/>
      </w:tblGrid>
      <w:tr w:rsidR="001F2CDA" w:rsidRPr="00E34AF4" w:rsidTr="00E34AF4">
        <w:trPr>
          <w:jc w:val="center"/>
        </w:trPr>
        <w:tc>
          <w:tcPr>
            <w:tcW w:w="1134" w:type="dxa"/>
          </w:tcPr>
          <w:p w:rsidR="001F2CDA" w:rsidRPr="00E34AF4" w:rsidRDefault="001F2CDA" w:rsidP="00E34AF4">
            <w:pPr>
              <w:jc w:val="center"/>
              <w:rPr>
                <w:b/>
                <w:sz w:val="18"/>
                <w:szCs w:val="18"/>
                <w:lang w:eastAsia="zh-CN"/>
              </w:rPr>
            </w:pPr>
            <w:r w:rsidRPr="00E34AF4">
              <w:rPr>
                <w:b/>
                <w:sz w:val="18"/>
                <w:szCs w:val="18"/>
                <w:lang w:eastAsia="zh-CN"/>
              </w:rPr>
              <w:t>FORMAT</w:t>
            </w:r>
          </w:p>
        </w:tc>
        <w:tc>
          <w:tcPr>
            <w:tcW w:w="1497" w:type="dxa"/>
          </w:tcPr>
          <w:p w:rsidR="001F2CDA" w:rsidRPr="00E34AF4" w:rsidRDefault="001F2CDA" w:rsidP="00E34AF4">
            <w:pPr>
              <w:jc w:val="center"/>
              <w:rPr>
                <w:b/>
                <w:sz w:val="18"/>
                <w:szCs w:val="18"/>
                <w:lang w:eastAsia="zh-CN"/>
              </w:rPr>
            </w:pPr>
            <w:r w:rsidRPr="00E34AF4">
              <w:rPr>
                <w:b/>
                <w:sz w:val="18"/>
                <w:szCs w:val="18"/>
                <w:lang w:eastAsia="zh-CN"/>
              </w:rPr>
              <w:t>NON-HT-</w:t>
            </w:r>
            <w:r w:rsidRPr="00E34AF4">
              <w:rPr>
                <w:b/>
                <w:sz w:val="18"/>
                <w:szCs w:val="18"/>
                <w:lang w:eastAsia="zh-CN"/>
              </w:rPr>
              <w:lastRenderedPageBreak/>
              <w:t>MODULATION</w:t>
            </w:r>
          </w:p>
        </w:tc>
        <w:tc>
          <w:tcPr>
            <w:tcW w:w="1727" w:type="dxa"/>
          </w:tcPr>
          <w:p w:rsidR="001F2CDA" w:rsidRPr="00E34AF4" w:rsidRDefault="001F2CDA" w:rsidP="00E34AF4">
            <w:pPr>
              <w:jc w:val="center"/>
              <w:rPr>
                <w:b/>
                <w:sz w:val="18"/>
                <w:szCs w:val="18"/>
                <w:lang w:eastAsia="zh-CN"/>
              </w:rPr>
            </w:pPr>
            <w:r w:rsidRPr="00E34AF4">
              <w:rPr>
                <w:b/>
                <w:sz w:val="18"/>
                <w:szCs w:val="18"/>
                <w:lang w:eastAsia="zh-CN"/>
              </w:rPr>
              <w:lastRenderedPageBreak/>
              <w:t>CH_BANDWIDTH</w:t>
            </w:r>
          </w:p>
        </w:tc>
        <w:tc>
          <w:tcPr>
            <w:tcW w:w="4336" w:type="dxa"/>
          </w:tcPr>
          <w:p w:rsidR="001F2CDA" w:rsidRPr="00E34AF4" w:rsidRDefault="001F2CDA" w:rsidP="00E34AF4">
            <w:pPr>
              <w:jc w:val="center"/>
              <w:rPr>
                <w:b/>
                <w:sz w:val="18"/>
                <w:szCs w:val="18"/>
                <w:lang w:eastAsia="zh-CN"/>
              </w:rPr>
            </w:pPr>
            <w:r w:rsidRPr="00E34AF4">
              <w:rPr>
                <w:b/>
                <w:sz w:val="18"/>
                <w:szCs w:val="18"/>
                <w:lang w:eastAsia="zh-CN"/>
              </w:rPr>
              <w:t>PPDU format</w:t>
            </w:r>
          </w:p>
        </w:tc>
      </w:tr>
      <w:tr w:rsidR="001F2CDA" w:rsidRPr="001F2CDA" w:rsidTr="00E34AF4">
        <w:trPr>
          <w:jc w:val="center"/>
        </w:trPr>
        <w:tc>
          <w:tcPr>
            <w:tcW w:w="1134" w:type="dxa"/>
          </w:tcPr>
          <w:p w:rsidR="001F2CDA" w:rsidRPr="001F2CDA" w:rsidRDefault="001F2CDA" w:rsidP="00647C1E">
            <w:pPr>
              <w:rPr>
                <w:sz w:val="18"/>
                <w:szCs w:val="18"/>
                <w:lang w:eastAsia="zh-CN"/>
              </w:rPr>
            </w:pPr>
            <w:r w:rsidRPr="001F2CDA">
              <w:rPr>
                <w:sz w:val="18"/>
                <w:szCs w:val="18"/>
                <w:lang w:eastAsia="zh-CN"/>
              </w:rPr>
              <w:lastRenderedPageBreak/>
              <w:t>VHT,  HT_MF or HT_GF</w:t>
            </w:r>
          </w:p>
        </w:tc>
        <w:tc>
          <w:tcPr>
            <w:tcW w:w="1497" w:type="dxa"/>
          </w:tcPr>
          <w:p w:rsidR="001F2CDA" w:rsidRPr="001F2CDA" w:rsidRDefault="001F2CDA" w:rsidP="00647C1E">
            <w:pPr>
              <w:rPr>
                <w:sz w:val="18"/>
                <w:szCs w:val="18"/>
                <w:lang w:eastAsia="zh-CN"/>
              </w:rPr>
            </w:pPr>
            <w:r w:rsidRPr="001F2CDA">
              <w:rPr>
                <w:sz w:val="18"/>
                <w:szCs w:val="18"/>
                <w:lang w:eastAsia="zh-CN"/>
              </w:rPr>
              <w:t>N/A</w:t>
            </w:r>
          </w:p>
        </w:tc>
        <w:tc>
          <w:tcPr>
            <w:tcW w:w="1727" w:type="dxa"/>
          </w:tcPr>
          <w:p w:rsidR="001F2CDA" w:rsidRPr="00E34AF4" w:rsidRDefault="001F2CDA" w:rsidP="00647C1E">
            <w:pPr>
              <w:rPr>
                <w:color w:val="0070C0"/>
                <w:sz w:val="18"/>
                <w:szCs w:val="18"/>
                <w:u w:val="single"/>
                <w:lang w:eastAsia="zh-CN"/>
              </w:rPr>
            </w:pPr>
            <w:r w:rsidRPr="001F2CDA">
              <w:rPr>
                <w:sz w:val="18"/>
                <w:szCs w:val="18"/>
                <w:lang w:eastAsia="zh-CN"/>
              </w:rPr>
              <w:t>CBW20</w:t>
            </w:r>
            <w:r w:rsidR="00E34AF4">
              <w:rPr>
                <w:rFonts w:hint="eastAsia"/>
                <w:sz w:val="18"/>
                <w:szCs w:val="18"/>
                <w:lang w:eastAsia="zh-CN"/>
              </w:rPr>
              <w:t xml:space="preserve"> </w:t>
            </w:r>
            <w:r w:rsidR="00E34AF4" w:rsidRPr="00E34AF4">
              <w:rPr>
                <w:rFonts w:hint="eastAsia"/>
                <w:color w:val="0070C0"/>
                <w:sz w:val="18"/>
                <w:szCs w:val="18"/>
                <w:u w:val="single"/>
                <w:lang w:eastAsia="zh-CN"/>
              </w:rPr>
              <w:t>when FORMAT is VHT;</w:t>
            </w:r>
          </w:p>
          <w:p w:rsidR="00E34AF4" w:rsidRPr="001F2CDA" w:rsidRDefault="00E34AF4" w:rsidP="00647C1E">
            <w:pPr>
              <w:rPr>
                <w:sz w:val="18"/>
                <w:szCs w:val="18"/>
                <w:lang w:eastAsia="zh-CN"/>
              </w:rPr>
            </w:pPr>
            <w:r w:rsidRPr="00E34AF4">
              <w:rPr>
                <w:rFonts w:hint="eastAsia"/>
                <w:color w:val="0070C0"/>
                <w:sz w:val="18"/>
                <w:szCs w:val="18"/>
                <w:u w:val="single"/>
                <w:lang w:eastAsia="zh-CN"/>
              </w:rPr>
              <w:t>H</w:t>
            </w:r>
            <w:r w:rsidR="00BE1BC9">
              <w:rPr>
                <w:rFonts w:hint="eastAsia"/>
                <w:color w:val="0070C0"/>
                <w:sz w:val="18"/>
                <w:szCs w:val="18"/>
                <w:u w:val="single"/>
                <w:lang w:eastAsia="zh-CN"/>
              </w:rPr>
              <w:t>T</w:t>
            </w:r>
            <w:r w:rsidRPr="00E34AF4">
              <w:rPr>
                <w:rFonts w:hint="eastAsia"/>
                <w:color w:val="0070C0"/>
                <w:sz w:val="18"/>
                <w:szCs w:val="18"/>
                <w:u w:val="single"/>
                <w:lang w:eastAsia="zh-CN"/>
              </w:rPr>
              <w:t>_CB</w:t>
            </w:r>
            <w:r w:rsidR="00BE1BC9">
              <w:rPr>
                <w:rFonts w:hint="eastAsia"/>
                <w:color w:val="0070C0"/>
                <w:sz w:val="18"/>
                <w:szCs w:val="18"/>
                <w:u w:val="single"/>
                <w:lang w:eastAsia="zh-CN"/>
              </w:rPr>
              <w:t>W20 when FORMAT is HT_MF or H</w:t>
            </w:r>
            <w:r w:rsidRPr="00E34AF4">
              <w:rPr>
                <w:rFonts w:hint="eastAsia"/>
                <w:color w:val="0070C0"/>
                <w:sz w:val="18"/>
                <w:szCs w:val="18"/>
                <w:u w:val="single"/>
                <w:lang w:eastAsia="zh-CN"/>
              </w:rPr>
              <w:t>T_GF</w:t>
            </w:r>
          </w:p>
        </w:tc>
        <w:tc>
          <w:tcPr>
            <w:tcW w:w="4336" w:type="dxa"/>
          </w:tcPr>
          <w:p w:rsidR="001F2CDA" w:rsidRPr="001F2CDA" w:rsidRDefault="001F2CDA" w:rsidP="001F2CDA">
            <w:pPr>
              <w:autoSpaceDE w:val="0"/>
              <w:autoSpaceDN w:val="0"/>
              <w:adjustRightInd w:val="0"/>
              <w:rPr>
                <w:sz w:val="18"/>
                <w:szCs w:val="18"/>
                <w:lang w:val="en-US"/>
              </w:rPr>
            </w:pPr>
            <w:r w:rsidRPr="001F2CDA">
              <w:rPr>
                <w:sz w:val="18"/>
                <w:szCs w:val="18"/>
                <w:lang w:val="en-US"/>
              </w:rPr>
              <w:t>The STA transmits an HT-mixed PPDU (when</w:t>
            </w:r>
          </w:p>
          <w:p w:rsidR="001F2CDA" w:rsidRPr="001F2CDA" w:rsidRDefault="001F2CDA" w:rsidP="00E34AF4">
            <w:pPr>
              <w:autoSpaceDE w:val="0"/>
              <w:autoSpaceDN w:val="0"/>
              <w:adjustRightInd w:val="0"/>
              <w:rPr>
                <w:sz w:val="18"/>
                <w:szCs w:val="18"/>
                <w:lang w:eastAsia="zh-CN"/>
              </w:rPr>
            </w:pPr>
            <w:r w:rsidRPr="001F2CDA">
              <w:rPr>
                <w:sz w:val="18"/>
                <w:szCs w:val="18"/>
                <w:lang w:val="en-US"/>
              </w:rPr>
              <w:t>FORMAT is HT_MF) or HT-</w:t>
            </w:r>
            <w:proofErr w:type="spellStart"/>
            <w:r w:rsidRPr="001F2CDA">
              <w:rPr>
                <w:sz w:val="18"/>
                <w:szCs w:val="18"/>
                <w:lang w:val="en-US"/>
              </w:rPr>
              <w:t>greenfield</w:t>
            </w:r>
            <w:proofErr w:type="spellEnd"/>
            <w:r w:rsidRPr="001F2CDA">
              <w:rPr>
                <w:sz w:val="18"/>
                <w:szCs w:val="18"/>
                <w:lang w:val="en-US"/>
              </w:rPr>
              <w:t xml:space="preserve"> PPDU (when</w:t>
            </w:r>
            <w:r w:rsidR="00E34AF4">
              <w:rPr>
                <w:rFonts w:hint="eastAsia"/>
                <w:sz w:val="18"/>
                <w:szCs w:val="18"/>
                <w:lang w:val="en-US" w:eastAsia="zh-CN"/>
              </w:rPr>
              <w:t xml:space="preserve"> </w:t>
            </w:r>
            <w:r w:rsidRPr="001F2CDA">
              <w:rPr>
                <w:sz w:val="18"/>
                <w:szCs w:val="18"/>
                <w:lang w:val="en-US"/>
              </w:rPr>
              <w:t>FORMAT is HT_GF) or VHT PPDU (when FORMAT</w:t>
            </w:r>
            <w:r w:rsidR="00E34AF4">
              <w:rPr>
                <w:rFonts w:hint="eastAsia"/>
                <w:sz w:val="18"/>
                <w:szCs w:val="18"/>
                <w:lang w:val="en-US" w:eastAsia="zh-CN"/>
              </w:rPr>
              <w:t xml:space="preserve"> </w:t>
            </w:r>
            <w:r w:rsidRPr="001F2CDA">
              <w:rPr>
                <w:sz w:val="18"/>
                <w:szCs w:val="18"/>
                <w:lang w:val="en-US"/>
              </w:rPr>
              <w:t xml:space="preserve">is VHT) of 20 MHz </w:t>
            </w:r>
            <w:r w:rsidR="00E34AF4">
              <w:rPr>
                <w:rFonts w:hint="eastAsia"/>
                <w:sz w:val="18"/>
                <w:szCs w:val="18"/>
                <w:lang w:val="en-US" w:eastAsia="zh-CN"/>
              </w:rPr>
              <w:t>b</w:t>
            </w:r>
            <w:r w:rsidRPr="001F2CDA">
              <w:rPr>
                <w:sz w:val="18"/>
                <w:szCs w:val="18"/>
                <w:lang w:val="en-US"/>
              </w:rPr>
              <w:t>andwidth. If the operating</w:t>
            </w:r>
            <w:r w:rsidR="00E34AF4">
              <w:rPr>
                <w:rFonts w:hint="eastAsia"/>
                <w:sz w:val="18"/>
                <w:szCs w:val="18"/>
                <w:lang w:val="en-US" w:eastAsia="zh-CN"/>
              </w:rPr>
              <w:t xml:space="preserve"> </w:t>
            </w:r>
            <w:r w:rsidRPr="001F2CDA">
              <w:rPr>
                <w:sz w:val="18"/>
                <w:szCs w:val="18"/>
                <w:lang w:val="en-US"/>
              </w:rPr>
              <w:t>channel</w:t>
            </w:r>
            <w:r w:rsidR="00E34AF4">
              <w:rPr>
                <w:rFonts w:hint="eastAsia"/>
                <w:sz w:val="18"/>
                <w:szCs w:val="18"/>
                <w:lang w:val="en-US" w:eastAsia="zh-CN"/>
              </w:rPr>
              <w:t xml:space="preserve"> </w:t>
            </w:r>
            <w:r w:rsidRPr="001F2CDA">
              <w:rPr>
                <w:sz w:val="18"/>
                <w:szCs w:val="18"/>
                <w:lang w:val="en-US"/>
              </w:rPr>
              <w:t>width is wider than 20 MHz, then the transmission shall</w:t>
            </w:r>
            <w:r w:rsidR="00E34AF4">
              <w:rPr>
                <w:rFonts w:hint="eastAsia"/>
                <w:sz w:val="18"/>
                <w:szCs w:val="18"/>
                <w:lang w:val="en-US" w:eastAsia="zh-CN"/>
              </w:rPr>
              <w:t xml:space="preserve"> </w:t>
            </w:r>
            <w:r w:rsidRPr="001F2CDA">
              <w:rPr>
                <w:sz w:val="18"/>
                <w:szCs w:val="18"/>
                <w:lang w:val="en-US"/>
              </w:rPr>
              <w:t>use the primary 20 MHz channel.</w:t>
            </w:r>
          </w:p>
        </w:tc>
      </w:tr>
      <w:tr w:rsidR="00E34AF4" w:rsidRPr="001F2CDA" w:rsidTr="00E34AF4">
        <w:trPr>
          <w:jc w:val="center"/>
        </w:trPr>
        <w:tc>
          <w:tcPr>
            <w:tcW w:w="1134" w:type="dxa"/>
          </w:tcPr>
          <w:p w:rsidR="00E34AF4" w:rsidRPr="001F2CDA" w:rsidRDefault="00E34AF4" w:rsidP="00647C1E">
            <w:pPr>
              <w:rPr>
                <w:sz w:val="18"/>
                <w:szCs w:val="18"/>
                <w:lang w:eastAsia="zh-CN"/>
              </w:rPr>
            </w:pPr>
            <w:r w:rsidRPr="001F2CDA">
              <w:rPr>
                <w:sz w:val="18"/>
                <w:szCs w:val="18"/>
                <w:lang w:eastAsia="zh-CN"/>
              </w:rPr>
              <w:t>VHT, HT_MF or HT_GF</w:t>
            </w:r>
          </w:p>
        </w:tc>
        <w:tc>
          <w:tcPr>
            <w:tcW w:w="1497" w:type="dxa"/>
          </w:tcPr>
          <w:p w:rsidR="00E34AF4" w:rsidRPr="001F2CDA" w:rsidRDefault="00E34AF4" w:rsidP="00647C1E">
            <w:pPr>
              <w:rPr>
                <w:sz w:val="18"/>
                <w:szCs w:val="18"/>
                <w:lang w:eastAsia="zh-CN"/>
              </w:rPr>
            </w:pPr>
            <w:r w:rsidRPr="001F2CDA">
              <w:rPr>
                <w:sz w:val="18"/>
                <w:szCs w:val="18"/>
                <w:lang w:eastAsia="zh-CN"/>
              </w:rPr>
              <w:t>N/A</w:t>
            </w:r>
          </w:p>
        </w:tc>
        <w:tc>
          <w:tcPr>
            <w:tcW w:w="1727" w:type="dxa"/>
          </w:tcPr>
          <w:p w:rsidR="00E34AF4" w:rsidRPr="00E34AF4" w:rsidRDefault="00E34AF4" w:rsidP="00E942C2">
            <w:pPr>
              <w:rPr>
                <w:color w:val="0070C0"/>
                <w:sz w:val="18"/>
                <w:szCs w:val="18"/>
                <w:u w:val="single"/>
                <w:lang w:eastAsia="zh-CN"/>
              </w:rPr>
            </w:pPr>
            <w:r w:rsidRPr="001F2CDA">
              <w:rPr>
                <w:sz w:val="18"/>
                <w:szCs w:val="18"/>
                <w:lang w:eastAsia="zh-CN"/>
              </w:rPr>
              <w:t>CBW</w:t>
            </w:r>
            <w:r>
              <w:rPr>
                <w:rFonts w:hint="eastAsia"/>
                <w:sz w:val="18"/>
                <w:szCs w:val="18"/>
                <w:lang w:eastAsia="zh-CN"/>
              </w:rPr>
              <w:t>4</w:t>
            </w:r>
            <w:r w:rsidRPr="001F2CDA">
              <w:rPr>
                <w:sz w:val="18"/>
                <w:szCs w:val="18"/>
                <w:lang w:eastAsia="zh-CN"/>
              </w:rPr>
              <w:t>0</w:t>
            </w:r>
            <w:r>
              <w:rPr>
                <w:rFonts w:hint="eastAsia"/>
                <w:sz w:val="18"/>
                <w:szCs w:val="18"/>
                <w:lang w:eastAsia="zh-CN"/>
              </w:rPr>
              <w:t xml:space="preserve"> </w:t>
            </w:r>
            <w:r w:rsidRPr="00E34AF4">
              <w:rPr>
                <w:rFonts w:hint="eastAsia"/>
                <w:color w:val="0070C0"/>
                <w:sz w:val="18"/>
                <w:szCs w:val="18"/>
                <w:u w:val="single"/>
                <w:lang w:eastAsia="zh-CN"/>
              </w:rPr>
              <w:t>when FORMAT is VHT;</w:t>
            </w:r>
          </w:p>
          <w:p w:rsidR="00E34AF4" w:rsidRPr="001F2CDA" w:rsidRDefault="00E34AF4" w:rsidP="00E34AF4">
            <w:pPr>
              <w:rPr>
                <w:sz w:val="18"/>
                <w:szCs w:val="18"/>
                <w:lang w:eastAsia="zh-CN"/>
              </w:rPr>
            </w:pPr>
            <w:r w:rsidRPr="00E34AF4">
              <w:rPr>
                <w:rFonts w:hint="eastAsia"/>
                <w:color w:val="0070C0"/>
                <w:sz w:val="18"/>
                <w:szCs w:val="18"/>
                <w:u w:val="single"/>
                <w:lang w:eastAsia="zh-CN"/>
              </w:rPr>
              <w:t>H</w:t>
            </w:r>
            <w:r w:rsidR="00BE1BC9">
              <w:rPr>
                <w:rFonts w:hint="eastAsia"/>
                <w:color w:val="0070C0"/>
                <w:sz w:val="18"/>
                <w:szCs w:val="18"/>
                <w:u w:val="single"/>
                <w:lang w:eastAsia="zh-CN"/>
              </w:rPr>
              <w:t>T</w:t>
            </w:r>
            <w:r w:rsidRPr="00E34AF4">
              <w:rPr>
                <w:rFonts w:hint="eastAsia"/>
                <w:color w:val="0070C0"/>
                <w:sz w:val="18"/>
                <w:szCs w:val="18"/>
                <w:u w:val="single"/>
                <w:lang w:eastAsia="zh-CN"/>
              </w:rPr>
              <w:t>_CBW4</w:t>
            </w:r>
            <w:r w:rsidR="00BE1BC9">
              <w:rPr>
                <w:rFonts w:hint="eastAsia"/>
                <w:color w:val="0070C0"/>
                <w:sz w:val="18"/>
                <w:szCs w:val="18"/>
                <w:u w:val="single"/>
                <w:lang w:eastAsia="zh-CN"/>
              </w:rPr>
              <w:t>0 when FORMAT is HT_MF or H</w:t>
            </w:r>
            <w:r w:rsidRPr="00E34AF4">
              <w:rPr>
                <w:rFonts w:hint="eastAsia"/>
                <w:color w:val="0070C0"/>
                <w:sz w:val="18"/>
                <w:szCs w:val="18"/>
                <w:u w:val="single"/>
                <w:lang w:eastAsia="zh-CN"/>
              </w:rPr>
              <w:t>T_GF</w:t>
            </w:r>
          </w:p>
        </w:tc>
        <w:tc>
          <w:tcPr>
            <w:tcW w:w="4336" w:type="dxa"/>
          </w:tcPr>
          <w:p w:rsidR="00E34AF4" w:rsidRDefault="00E34AF4" w:rsidP="00E34AF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STA transmits an HT-mixed PPDU (when</w:t>
            </w:r>
          </w:p>
          <w:p w:rsidR="00E34AF4" w:rsidRDefault="00E34AF4" w:rsidP="00E34AF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FORMAT is HT_MF) or HT-</w:t>
            </w:r>
            <w:proofErr w:type="spellStart"/>
            <w:r>
              <w:rPr>
                <w:rFonts w:ascii="TimesNewRomanPSMT" w:hAnsi="TimesNewRomanPSMT" w:cs="TimesNewRomanPSMT"/>
                <w:sz w:val="18"/>
                <w:szCs w:val="18"/>
                <w:lang w:val="en-US"/>
              </w:rPr>
              <w:t>greenfield</w:t>
            </w:r>
            <w:proofErr w:type="spellEnd"/>
            <w:r>
              <w:rPr>
                <w:rFonts w:ascii="TimesNewRomanPSMT" w:hAnsi="TimesNewRomanPSMT" w:cs="TimesNewRomanPSMT"/>
                <w:sz w:val="18"/>
                <w:szCs w:val="18"/>
                <w:lang w:val="en-US"/>
              </w:rPr>
              <w:t xml:space="preserve"> PPDU (when</w:t>
            </w:r>
          </w:p>
          <w:p w:rsidR="00E34AF4" w:rsidRPr="001F2CDA" w:rsidRDefault="00E34AF4" w:rsidP="00E34AF4">
            <w:pPr>
              <w:autoSpaceDE w:val="0"/>
              <w:autoSpaceDN w:val="0"/>
              <w:adjustRightInd w:val="0"/>
              <w:rPr>
                <w:sz w:val="18"/>
                <w:szCs w:val="18"/>
                <w:lang w:eastAsia="zh-CN"/>
              </w:rPr>
            </w:pPr>
            <w:r>
              <w:rPr>
                <w:rFonts w:ascii="TimesNewRomanPSMT" w:hAnsi="TimesNewRomanPSMT" w:cs="TimesNewRomanPSMT"/>
                <w:sz w:val="18"/>
                <w:szCs w:val="18"/>
                <w:lang w:val="en-US"/>
              </w:rPr>
              <w:t>FORMAT is HT_GF) or VHT PPDU (when FORMAT</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is VHT) of 40 MHz bandwidth. If the operating channel</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width is wider than 40 MHz, then the transmission shall</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use the primary 40 MHz channel.</w:t>
            </w:r>
          </w:p>
        </w:tc>
      </w:tr>
      <w:tr w:rsidR="001F2CDA" w:rsidRPr="001F2CDA" w:rsidTr="00E34AF4">
        <w:trPr>
          <w:jc w:val="center"/>
        </w:trPr>
        <w:tc>
          <w:tcPr>
            <w:tcW w:w="1134" w:type="dxa"/>
          </w:tcPr>
          <w:p w:rsidR="001F2CDA" w:rsidRPr="001F2CDA" w:rsidRDefault="001F2CDA" w:rsidP="00647C1E">
            <w:pPr>
              <w:rPr>
                <w:sz w:val="18"/>
                <w:szCs w:val="18"/>
                <w:lang w:eastAsia="zh-CN"/>
              </w:rPr>
            </w:pPr>
            <w:r w:rsidRPr="001F2CDA">
              <w:rPr>
                <w:sz w:val="18"/>
                <w:szCs w:val="18"/>
                <w:lang w:eastAsia="zh-CN"/>
              </w:rPr>
              <w:t>…</w:t>
            </w:r>
          </w:p>
        </w:tc>
        <w:tc>
          <w:tcPr>
            <w:tcW w:w="1497" w:type="dxa"/>
          </w:tcPr>
          <w:p w:rsidR="001F2CDA" w:rsidRPr="001F2CDA" w:rsidRDefault="001F2CDA" w:rsidP="00647C1E">
            <w:pPr>
              <w:rPr>
                <w:sz w:val="18"/>
                <w:szCs w:val="18"/>
                <w:lang w:eastAsia="zh-CN"/>
              </w:rPr>
            </w:pPr>
            <w:r w:rsidRPr="001F2CDA">
              <w:rPr>
                <w:sz w:val="18"/>
                <w:szCs w:val="18"/>
                <w:lang w:eastAsia="zh-CN"/>
              </w:rPr>
              <w:t>…</w:t>
            </w:r>
          </w:p>
        </w:tc>
        <w:tc>
          <w:tcPr>
            <w:tcW w:w="1727" w:type="dxa"/>
          </w:tcPr>
          <w:p w:rsidR="001F2CDA" w:rsidRPr="001F2CDA" w:rsidRDefault="001F2CDA" w:rsidP="00647C1E">
            <w:pPr>
              <w:rPr>
                <w:sz w:val="18"/>
                <w:szCs w:val="18"/>
                <w:lang w:eastAsia="zh-CN"/>
              </w:rPr>
            </w:pPr>
            <w:r w:rsidRPr="001F2CDA">
              <w:rPr>
                <w:sz w:val="18"/>
                <w:szCs w:val="18"/>
                <w:lang w:eastAsia="zh-CN"/>
              </w:rPr>
              <w:t>…</w:t>
            </w:r>
          </w:p>
        </w:tc>
        <w:tc>
          <w:tcPr>
            <w:tcW w:w="4336" w:type="dxa"/>
          </w:tcPr>
          <w:p w:rsidR="001F2CDA" w:rsidRPr="001F2CDA" w:rsidRDefault="001F2CDA" w:rsidP="00647C1E">
            <w:pPr>
              <w:rPr>
                <w:sz w:val="18"/>
                <w:szCs w:val="18"/>
                <w:lang w:eastAsia="zh-CN"/>
              </w:rPr>
            </w:pPr>
            <w:r w:rsidRPr="001F2CDA">
              <w:rPr>
                <w:sz w:val="18"/>
                <w:szCs w:val="18"/>
                <w:lang w:eastAsia="zh-CN"/>
              </w:rPr>
              <w:t>…</w:t>
            </w:r>
          </w:p>
        </w:tc>
      </w:tr>
    </w:tbl>
    <w:p w:rsidR="001F2CDA" w:rsidRPr="001F2CDA" w:rsidRDefault="001F2CDA" w:rsidP="00647C1E">
      <w:pPr>
        <w:rPr>
          <w:rFonts w:ascii="Arial" w:hAnsi="Arial" w:cs="Arial"/>
          <w:sz w:val="20"/>
          <w:lang w:eastAsia="zh-CN"/>
        </w:rPr>
      </w:pPr>
    </w:p>
    <w:sectPr w:rsidR="001F2CDA" w:rsidRPr="001F2CDA" w:rsidSect="0028004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511" w:rsidRDefault="00B52511">
      <w:r>
        <w:separator/>
      </w:r>
    </w:p>
  </w:endnote>
  <w:endnote w:type="continuationSeparator" w:id="0">
    <w:p w:rsidR="00B52511" w:rsidRDefault="00B5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1" w:rsidRDefault="00B52511">
    <w:pPr>
      <w:pStyle w:val="a3"/>
      <w:tabs>
        <w:tab w:val="clear" w:pos="6480"/>
        <w:tab w:val="center" w:pos="4680"/>
        <w:tab w:val="right" w:pos="9360"/>
      </w:tabs>
    </w:pPr>
    <w:r>
      <w:t>Submission</w:t>
    </w:r>
    <w:r>
      <w:tab/>
      <w:t xml:space="preserve">page </w:t>
    </w:r>
    <w:fldSimple w:instr="page ">
      <w:r w:rsidR="007D2A6F">
        <w:rPr>
          <w:noProof/>
        </w:rPr>
        <w:t>1</w:t>
      </w:r>
    </w:fldSimple>
    <w:r>
      <w:tab/>
    </w:r>
    <w:r>
      <w:rPr>
        <w:rFonts w:hint="eastAsia"/>
        <w:lang w:eastAsia="zh-CN"/>
      </w:rPr>
      <w:t>Bo Sun, ZTE</w:t>
    </w:r>
    <w:r>
      <w:t xml:space="preserve"> Corporation</w:t>
    </w:r>
  </w:p>
  <w:p w:rsidR="00B52511" w:rsidRDefault="00B525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511" w:rsidRDefault="00B52511">
      <w:r>
        <w:separator/>
      </w:r>
    </w:p>
  </w:footnote>
  <w:footnote w:type="continuationSeparator" w:id="0">
    <w:p w:rsidR="00B52511" w:rsidRDefault="00B5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1" w:rsidRDefault="00B52511">
    <w:pPr>
      <w:pStyle w:val="a4"/>
      <w:tabs>
        <w:tab w:val="clear" w:pos="6480"/>
        <w:tab w:val="center" w:pos="4680"/>
        <w:tab w:val="right" w:pos="9360"/>
      </w:tabs>
    </w:pPr>
    <w:r>
      <w:rPr>
        <w:rFonts w:hint="eastAsia"/>
        <w:lang w:eastAsia="zh-CN"/>
      </w:rPr>
      <w:t>November</w:t>
    </w:r>
    <w:r>
      <w:t xml:space="preserve"> 2015</w:t>
    </w:r>
    <w:r>
      <w:tab/>
    </w:r>
    <w:r>
      <w:tab/>
    </w:r>
    <w:fldSimple w:instr=" TITLE  \* MERGEFORMAT ">
      <w:r>
        <w:t>doc.: IEEE 802.11-15/</w:t>
      </w:r>
      <w:r>
        <w:rPr>
          <w:rFonts w:hint="eastAsia"/>
          <w:lang w:eastAsia="zh-CN"/>
        </w:rPr>
        <w:t>1317</w:t>
      </w:r>
      <w:r>
        <w:t>r</w:t>
      </w:r>
    </w:fldSimple>
    <w:r w:rsidR="007D2A6F">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
  <w:rsids>
    <w:rsidRoot w:val="00FD36A3"/>
    <w:rsid w:val="00002A9C"/>
    <w:rsid w:val="0000689F"/>
    <w:rsid w:val="000076D9"/>
    <w:rsid w:val="00007B37"/>
    <w:rsid w:val="00016C1C"/>
    <w:rsid w:val="0001728E"/>
    <w:rsid w:val="00025B68"/>
    <w:rsid w:val="00027712"/>
    <w:rsid w:val="00034B7F"/>
    <w:rsid w:val="00057AC2"/>
    <w:rsid w:val="00063508"/>
    <w:rsid w:val="00071CCF"/>
    <w:rsid w:val="00071F40"/>
    <w:rsid w:val="000909AB"/>
    <w:rsid w:val="00090D55"/>
    <w:rsid w:val="000A09E7"/>
    <w:rsid w:val="000B2E75"/>
    <w:rsid w:val="000C3C8A"/>
    <w:rsid w:val="000D12E3"/>
    <w:rsid w:val="000E5488"/>
    <w:rsid w:val="000F251B"/>
    <w:rsid w:val="000F6140"/>
    <w:rsid w:val="000F6D8D"/>
    <w:rsid w:val="00100D42"/>
    <w:rsid w:val="00104F06"/>
    <w:rsid w:val="00132ACF"/>
    <w:rsid w:val="001422B5"/>
    <w:rsid w:val="0015721A"/>
    <w:rsid w:val="001652C1"/>
    <w:rsid w:val="00165928"/>
    <w:rsid w:val="001A4691"/>
    <w:rsid w:val="001B6068"/>
    <w:rsid w:val="001B7941"/>
    <w:rsid w:val="001B7FE7"/>
    <w:rsid w:val="001C0D18"/>
    <w:rsid w:val="001C3A4D"/>
    <w:rsid w:val="001D550F"/>
    <w:rsid w:val="001D6798"/>
    <w:rsid w:val="001D723B"/>
    <w:rsid w:val="001D798B"/>
    <w:rsid w:val="001F2CDA"/>
    <w:rsid w:val="001F580E"/>
    <w:rsid w:val="0021637D"/>
    <w:rsid w:val="00232048"/>
    <w:rsid w:val="00234275"/>
    <w:rsid w:val="00243AA5"/>
    <w:rsid w:val="00253F67"/>
    <w:rsid w:val="00262FA4"/>
    <w:rsid w:val="0028004F"/>
    <w:rsid w:val="002818DB"/>
    <w:rsid w:val="0029020B"/>
    <w:rsid w:val="00291662"/>
    <w:rsid w:val="002943C8"/>
    <w:rsid w:val="002A21C6"/>
    <w:rsid w:val="002A7403"/>
    <w:rsid w:val="002C02F7"/>
    <w:rsid w:val="002C056D"/>
    <w:rsid w:val="002C22DC"/>
    <w:rsid w:val="002D2A75"/>
    <w:rsid w:val="002D3B8A"/>
    <w:rsid w:val="002D44BE"/>
    <w:rsid w:val="002D525A"/>
    <w:rsid w:val="002F1F70"/>
    <w:rsid w:val="002F4C3E"/>
    <w:rsid w:val="003008F9"/>
    <w:rsid w:val="00302E39"/>
    <w:rsid w:val="0030300E"/>
    <w:rsid w:val="003127CF"/>
    <w:rsid w:val="003157BD"/>
    <w:rsid w:val="0034087D"/>
    <w:rsid w:val="00344762"/>
    <w:rsid w:val="003544BF"/>
    <w:rsid w:val="00357A6C"/>
    <w:rsid w:val="0036571D"/>
    <w:rsid w:val="00380721"/>
    <w:rsid w:val="00380C5C"/>
    <w:rsid w:val="00383574"/>
    <w:rsid w:val="003836B7"/>
    <w:rsid w:val="003A1899"/>
    <w:rsid w:val="003A3F32"/>
    <w:rsid w:val="003B0B95"/>
    <w:rsid w:val="003B7EAB"/>
    <w:rsid w:val="003E1D42"/>
    <w:rsid w:val="003F51D8"/>
    <w:rsid w:val="004034BF"/>
    <w:rsid w:val="004055B9"/>
    <w:rsid w:val="00413861"/>
    <w:rsid w:val="00413B70"/>
    <w:rsid w:val="0041733A"/>
    <w:rsid w:val="004263B5"/>
    <w:rsid w:val="00436027"/>
    <w:rsid w:val="00442037"/>
    <w:rsid w:val="00445FB9"/>
    <w:rsid w:val="00450302"/>
    <w:rsid w:val="00460089"/>
    <w:rsid w:val="00461DFE"/>
    <w:rsid w:val="00466BAD"/>
    <w:rsid w:val="00476581"/>
    <w:rsid w:val="00476AE7"/>
    <w:rsid w:val="004A1D5B"/>
    <w:rsid w:val="004A3EB5"/>
    <w:rsid w:val="004A7884"/>
    <w:rsid w:val="004B064B"/>
    <w:rsid w:val="004B4E7F"/>
    <w:rsid w:val="004D561A"/>
    <w:rsid w:val="004F303E"/>
    <w:rsid w:val="004F53E9"/>
    <w:rsid w:val="004F54B0"/>
    <w:rsid w:val="00502034"/>
    <w:rsid w:val="0050384E"/>
    <w:rsid w:val="00510DCE"/>
    <w:rsid w:val="005169AC"/>
    <w:rsid w:val="005172C7"/>
    <w:rsid w:val="00517CAD"/>
    <w:rsid w:val="00524094"/>
    <w:rsid w:val="0052523E"/>
    <w:rsid w:val="00534659"/>
    <w:rsid w:val="005459DE"/>
    <w:rsid w:val="00550E9B"/>
    <w:rsid w:val="00555F18"/>
    <w:rsid w:val="005728D8"/>
    <w:rsid w:val="0057551E"/>
    <w:rsid w:val="00576F24"/>
    <w:rsid w:val="00594586"/>
    <w:rsid w:val="00594B1C"/>
    <w:rsid w:val="00596B70"/>
    <w:rsid w:val="005A0512"/>
    <w:rsid w:val="005A45FB"/>
    <w:rsid w:val="005B2D63"/>
    <w:rsid w:val="005B65C8"/>
    <w:rsid w:val="005C12CF"/>
    <w:rsid w:val="005E3FCD"/>
    <w:rsid w:val="005E6389"/>
    <w:rsid w:val="005F3EBE"/>
    <w:rsid w:val="005F66A8"/>
    <w:rsid w:val="00601DE2"/>
    <w:rsid w:val="0061276E"/>
    <w:rsid w:val="006167C7"/>
    <w:rsid w:val="0062044E"/>
    <w:rsid w:val="0062440B"/>
    <w:rsid w:val="00632D86"/>
    <w:rsid w:val="00640A20"/>
    <w:rsid w:val="00647C1E"/>
    <w:rsid w:val="006520D4"/>
    <w:rsid w:val="00652522"/>
    <w:rsid w:val="00653CB2"/>
    <w:rsid w:val="00672858"/>
    <w:rsid w:val="0068221F"/>
    <w:rsid w:val="00683963"/>
    <w:rsid w:val="00691C33"/>
    <w:rsid w:val="006941EF"/>
    <w:rsid w:val="006A6475"/>
    <w:rsid w:val="006B66AC"/>
    <w:rsid w:val="006C0727"/>
    <w:rsid w:val="006C3EB1"/>
    <w:rsid w:val="006D2EBF"/>
    <w:rsid w:val="006E145F"/>
    <w:rsid w:val="006E22A8"/>
    <w:rsid w:val="00714C57"/>
    <w:rsid w:val="00715D5B"/>
    <w:rsid w:val="007275A5"/>
    <w:rsid w:val="00731C7A"/>
    <w:rsid w:val="00733B9E"/>
    <w:rsid w:val="00734EE5"/>
    <w:rsid w:val="00746793"/>
    <w:rsid w:val="00752010"/>
    <w:rsid w:val="0075492B"/>
    <w:rsid w:val="00762971"/>
    <w:rsid w:val="0076431C"/>
    <w:rsid w:val="00770572"/>
    <w:rsid w:val="00776C67"/>
    <w:rsid w:val="00787415"/>
    <w:rsid w:val="00792EBA"/>
    <w:rsid w:val="007A48D4"/>
    <w:rsid w:val="007B0A38"/>
    <w:rsid w:val="007B19DC"/>
    <w:rsid w:val="007B281B"/>
    <w:rsid w:val="007B7530"/>
    <w:rsid w:val="007C0A90"/>
    <w:rsid w:val="007C4D42"/>
    <w:rsid w:val="007D1C3A"/>
    <w:rsid w:val="007D2A6F"/>
    <w:rsid w:val="007D3951"/>
    <w:rsid w:val="007E0846"/>
    <w:rsid w:val="007F19E5"/>
    <w:rsid w:val="007F338B"/>
    <w:rsid w:val="007F52D6"/>
    <w:rsid w:val="007F551D"/>
    <w:rsid w:val="007F7BE2"/>
    <w:rsid w:val="00832E70"/>
    <w:rsid w:val="00834DAC"/>
    <w:rsid w:val="00845BCF"/>
    <w:rsid w:val="00847743"/>
    <w:rsid w:val="00863E65"/>
    <w:rsid w:val="00870A3C"/>
    <w:rsid w:val="0087425D"/>
    <w:rsid w:val="0087439B"/>
    <w:rsid w:val="008841E2"/>
    <w:rsid w:val="00885B2D"/>
    <w:rsid w:val="008912A7"/>
    <w:rsid w:val="00894918"/>
    <w:rsid w:val="00894FA1"/>
    <w:rsid w:val="00895200"/>
    <w:rsid w:val="00897958"/>
    <w:rsid w:val="008A732F"/>
    <w:rsid w:val="008B5462"/>
    <w:rsid w:val="008C0313"/>
    <w:rsid w:val="008C43FA"/>
    <w:rsid w:val="008D2AD0"/>
    <w:rsid w:val="008D484E"/>
    <w:rsid w:val="008D62C4"/>
    <w:rsid w:val="008D68ED"/>
    <w:rsid w:val="008E0BE0"/>
    <w:rsid w:val="008E2C6E"/>
    <w:rsid w:val="008E3C45"/>
    <w:rsid w:val="009013CF"/>
    <w:rsid w:val="00914F68"/>
    <w:rsid w:val="009221A9"/>
    <w:rsid w:val="009311BD"/>
    <w:rsid w:val="00934E6C"/>
    <w:rsid w:val="0094173B"/>
    <w:rsid w:val="00945EEE"/>
    <w:rsid w:val="0094769B"/>
    <w:rsid w:val="0095205C"/>
    <w:rsid w:val="0095569C"/>
    <w:rsid w:val="00957AE4"/>
    <w:rsid w:val="00966FC1"/>
    <w:rsid w:val="009720E9"/>
    <w:rsid w:val="00975F18"/>
    <w:rsid w:val="00982F9A"/>
    <w:rsid w:val="009832EF"/>
    <w:rsid w:val="00983755"/>
    <w:rsid w:val="009A0193"/>
    <w:rsid w:val="009A1340"/>
    <w:rsid w:val="009A1942"/>
    <w:rsid w:val="009A318A"/>
    <w:rsid w:val="009B1216"/>
    <w:rsid w:val="009B15CF"/>
    <w:rsid w:val="009B4517"/>
    <w:rsid w:val="009B75E9"/>
    <w:rsid w:val="009C1A6E"/>
    <w:rsid w:val="009D110A"/>
    <w:rsid w:val="009D4759"/>
    <w:rsid w:val="009D5EC4"/>
    <w:rsid w:val="009E5E99"/>
    <w:rsid w:val="009E7783"/>
    <w:rsid w:val="009F2891"/>
    <w:rsid w:val="009F2FBC"/>
    <w:rsid w:val="00A04795"/>
    <w:rsid w:val="00A11A23"/>
    <w:rsid w:val="00A11ED6"/>
    <w:rsid w:val="00A177EF"/>
    <w:rsid w:val="00A233A3"/>
    <w:rsid w:val="00A239F7"/>
    <w:rsid w:val="00A25BCD"/>
    <w:rsid w:val="00A3020B"/>
    <w:rsid w:val="00A452D9"/>
    <w:rsid w:val="00A50689"/>
    <w:rsid w:val="00A70E57"/>
    <w:rsid w:val="00A725A2"/>
    <w:rsid w:val="00A75B9D"/>
    <w:rsid w:val="00A91190"/>
    <w:rsid w:val="00AA427C"/>
    <w:rsid w:val="00AB4086"/>
    <w:rsid w:val="00AB5E99"/>
    <w:rsid w:val="00AF0865"/>
    <w:rsid w:val="00B0321E"/>
    <w:rsid w:val="00B274E3"/>
    <w:rsid w:val="00B415DD"/>
    <w:rsid w:val="00B52511"/>
    <w:rsid w:val="00B66B43"/>
    <w:rsid w:val="00B708F4"/>
    <w:rsid w:val="00B7259D"/>
    <w:rsid w:val="00B82103"/>
    <w:rsid w:val="00B84347"/>
    <w:rsid w:val="00BB0D6F"/>
    <w:rsid w:val="00BC5273"/>
    <w:rsid w:val="00BC7D36"/>
    <w:rsid w:val="00BD7890"/>
    <w:rsid w:val="00BE1BC9"/>
    <w:rsid w:val="00BE1E56"/>
    <w:rsid w:val="00BE68C2"/>
    <w:rsid w:val="00BF0CA7"/>
    <w:rsid w:val="00C116F0"/>
    <w:rsid w:val="00C17C91"/>
    <w:rsid w:val="00C24A0E"/>
    <w:rsid w:val="00C25A17"/>
    <w:rsid w:val="00C25A9D"/>
    <w:rsid w:val="00C2657C"/>
    <w:rsid w:val="00C27848"/>
    <w:rsid w:val="00C4717E"/>
    <w:rsid w:val="00C71C1B"/>
    <w:rsid w:val="00C76861"/>
    <w:rsid w:val="00C76FC2"/>
    <w:rsid w:val="00C843ED"/>
    <w:rsid w:val="00C9319E"/>
    <w:rsid w:val="00CA09B2"/>
    <w:rsid w:val="00CB6C85"/>
    <w:rsid w:val="00CC32C2"/>
    <w:rsid w:val="00CE7A48"/>
    <w:rsid w:val="00CF23EC"/>
    <w:rsid w:val="00D124A8"/>
    <w:rsid w:val="00D16076"/>
    <w:rsid w:val="00D16896"/>
    <w:rsid w:val="00D17F4E"/>
    <w:rsid w:val="00D31A86"/>
    <w:rsid w:val="00D32179"/>
    <w:rsid w:val="00D614D8"/>
    <w:rsid w:val="00D70C69"/>
    <w:rsid w:val="00D72746"/>
    <w:rsid w:val="00D81C55"/>
    <w:rsid w:val="00D82EEB"/>
    <w:rsid w:val="00D92613"/>
    <w:rsid w:val="00D96180"/>
    <w:rsid w:val="00DB15EA"/>
    <w:rsid w:val="00DB1AD9"/>
    <w:rsid w:val="00DB3E12"/>
    <w:rsid w:val="00DC17C3"/>
    <w:rsid w:val="00DC4F89"/>
    <w:rsid w:val="00DC5A7B"/>
    <w:rsid w:val="00DD545E"/>
    <w:rsid w:val="00DD5D9D"/>
    <w:rsid w:val="00DE49F4"/>
    <w:rsid w:val="00DF188D"/>
    <w:rsid w:val="00E202FB"/>
    <w:rsid w:val="00E20DC0"/>
    <w:rsid w:val="00E21F2B"/>
    <w:rsid w:val="00E34AF4"/>
    <w:rsid w:val="00E53AA6"/>
    <w:rsid w:val="00E56CFB"/>
    <w:rsid w:val="00E56F6A"/>
    <w:rsid w:val="00E72E54"/>
    <w:rsid w:val="00E86A4E"/>
    <w:rsid w:val="00E9206D"/>
    <w:rsid w:val="00EA5868"/>
    <w:rsid w:val="00EB0502"/>
    <w:rsid w:val="00EB3A69"/>
    <w:rsid w:val="00EC2D13"/>
    <w:rsid w:val="00EC719C"/>
    <w:rsid w:val="00EF7E3F"/>
    <w:rsid w:val="00EF7F30"/>
    <w:rsid w:val="00F02E41"/>
    <w:rsid w:val="00F11F16"/>
    <w:rsid w:val="00F14AC6"/>
    <w:rsid w:val="00F2281E"/>
    <w:rsid w:val="00F302B1"/>
    <w:rsid w:val="00F311DD"/>
    <w:rsid w:val="00F32484"/>
    <w:rsid w:val="00F33E0D"/>
    <w:rsid w:val="00F35103"/>
    <w:rsid w:val="00F46B11"/>
    <w:rsid w:val="00F56F55"/>
    <w:rsid w:val="00F60397"/>
    <w:rsid w:val="00F6490B"/>
    <w:rsid w:val="00F64E6A"/>
    <w:rsid w:val="00F64F63"/>
    <w:rsid w:val="00F67FAA"/>
    <w:rsid w:val="00F84932"/>
    <w:rsid w:val="00F97038"/>
    <w:rsid w:val="00FA0337"/>
    <w:rsid w:val="00FA1573"/>
    <w:rsid w:val="00FB1746"/>
    <w:rsid w:val="00FB1E88"/>
    <w:rsid w:val="00FB2D43"/>
    <w:rsid w:val="00FC1416"/>
    <w:rsid w:val="00FC3E00"/>
    <w:rsid w:val="00FC764C"/>
    <w:rsid w:val="00FD36A3"/>
    <w:rsid w:val="00FD6AAC"/>
    <w:rsid w:val="00FE0B33"/>
    <w:rsid w:val="00FE68BF"/>
    <w:rsid w:val="00FF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4F"/>
    <w:rPr>
      <w:sz w:val="22"/>
      <w:lang w:val="en-GB"/>
    </w:rPr>
  </w:style>
  <w:style w:type="paragraph" w:styleId="1">
    <w:name w:val="heading 1"/>
    <w:basedOn w:val="a"/>
    <w:next w:val="a"/>
    <w:link w:val="1Char"/>
    <w:qFormat/>
    <w:rsid w:val="0028004F"/>
    <w:pPr>
      <w:keepNext/>
      <w:keepLines/>
      <w:spacing w:before="320"/>
      <w:outlineLvl w:val="0"/>
    </w:pPr>
    <w:rPr>
      <w:rFonts w:ascii="Arial" w:hAnsi="Arial"/>
      <w:b/>
      <w:sz w:val="32"/>
      <w:u w:val="single"/>
    </w:rPr>
  </w:style>
  <w:style w:type="paragraph" w:styleId="2">
    <w:name w:val="heading 2"/>
    <w:basedOn w:val="a"/>
    <w:next w:val="a"/>
    <w:qFormat/>
    <w:rsid w:val="0028004F"/>
    <w:pPr>
      <w:keepNext/>
      <w:keepLines/>
      <w:spacing w:before="280"/>
      <w:outlineLvl w:val="1"/>
    </w:pPr>
    <w:rPr>
      <w:rFonts w:ascii="Arial" w:hAnsi="Arial"/>
      <w:b/>
      <w:sz w:val="28"/>
      <w:u w:val="single"/>
    </w:rPr>
  </w:style>
  <w:style w:type="paragraph" w:styleId="3">
    <w:name w:val="heading 3"/>
    <w:basedOn w:val="a"/>
    <w:next w:val="a"/>
    <w:qFormat/>
    <w:rsid w:val="0028004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004F"/>
    <w:pPr>
      <w:pBdr>
        <w:top w:val="single" w:sz="6" w:space="1" w:color="auto"/>
      </w:pBdr>
      <w:tabs>
        <w:tab w:val="center" w:pos="6480"/>
        <w:tab w:val="right" w:pos="12960"/>
      </w:tabs>
    </w:pPr>
    <w:rPr>
      <w:sz w:val="24"/>
    </w:rPr>
  </w:style>
  <w:style w:type="paragraph" w:styleId="a4">
    <w:name w:val="header"/>
    <w:basedOn w:val="a"/>
    <w:rsid w:val="0028004F"/>
    <w:pPr>
      <w:pBdr>
        <w:bottom w:val="single" w:sz="6" w:space="2" w:color="auto"/>
      </w:pBdr>
      <w:tabs>
        <w:tab w:val="center" w:pos="6480"/>
        <w:tab w:val="right" w:pos="12960"/>
      </w:tabs>
    </w:pPr>
    <w:rPr>
      <w:b/>
      <w:sz w:val="28"/>
    </w:rPr>
  </w:style>
  <w:style w:type="paragraph" w:customStyle="1" w:styleId="T1">
    <w:name w:val="T1"/>
    <w:basedOn w:val="a"/>
    <w:rsid w:val="0028004F"/>
    <w:pPr>
      <w:jc w:val="center"/>
    </w:pPr>
    <w:rPr>
      <w:b/>
      <w:sz w:val="28"/>
    </w:rPr>
  </w:style>
  <w:style w:type="paragraph" w:customStyle="1" w:styleId="T2">
    <w:name w:val="T2"/>
    <w:basedOn w:val="T1"/>
    <w:rsid w:val="0028004F"/>
    <w:pPr>
      <w:spacing w:after="240"/>
      <w:ind w:left="720" w:right="720"/>
    </w:pPr>
  </w:style>
  <w:style w:type="paragraph" w:customStyle="1" w:styleId="T3">
    <w:name w:val="T3"/>
    <w:basedOn w:val="T1"/>
    <w:rsid w:val="0028004F"/>
    <w:pPr>
      <w:pBdr>
        <w:bottom w:val="single" w:sz="6" w:space="1" w:color="auto"/>
      </w:pBdr>
      <w:tabs>
        <w:tab w:val="center" w:pos="4680"/>
      </w:tabs>
      <w:spacing w:after="240"/>
      <w:jc w:val="left"/>
    </w:pPr>
    <w:rPr>
      <w:b w:val="0"/>
      <w:sz w:val="24"/>
    </w:rPr>
  </w:style>
  <w:style w:type="paragraph" w:styleId="a5">
    <w:name w:val="Body Text Indent"/>
    <w:basedOn w:val="a"/>
    <w:rsid w:val="0028004F"/>
    <w:pPr>
      <w:ind w:left="720" w:hanging="720"/>
    </w:pPr>
  </w:style>
  <w:style w:type="character" w:styleId="a6">
    <w:name w:val="Hyperlink"/>
    <w:uiPriority w:val="99"/>
    <w:rsid w:val="0028004F"/>
    <w:rPr>
      <w:color w:val="0000FF"/>
      <w:u w:val="single"/>
    </w:rPr>
  </w:style>
  <w:style w:type="paragraph" w:styleId="a7">
    <w:name w:val="Normal (Web)"/>
    <w:basedOn w:val="a"/>
    <w:uiPriority w:val="99"/>
    <w:unhideWhenUsed/>
    <w:rsid w:val="00FD36A3"/>
    <w:pPr>
      <w:spacing w:before="100" w:beforeAutospacing="1" w:after="100" w:afterAutospacing="1"/>
    </w:pPr>
    <w:rPr>
      <w:sz w:val="24"/>
      <w:szCs w:val="24"/>
      <w:lang w:val="en-US"/>
    </w:rPr>
  </w:style>
  <w:style w:type="paragraph" w:styleId="a8">
    <w:name w:val="List Paragraph"/>
    <w:basedOn w:val="a"/>
    <w:uiPriority w:val="34"/>
    <w:qFormat/>
    <w:rsid w:val="00FD36A3"/>
    <w:pPr>
      <w:spacing w:after="200" w:line="276" w:lineRule="auto"/>
      <w:ind w:left="720"/>
      <w:contextualSpacing/>
    </w:pPr>
    <w:rPr>
      <w:rFonts w:ascii="Calibri" w:eastAsia="Calibri" w:hAnsi="Calibri"/>
      <w:szCs w:val="22"/>
      <w:lang w:val="en-US"/>
    </w:rPr>
  </w:style>
  <w:style w:type="paragraph" w:styleId="a9">
    <w:name w:val="List"/>
    <w:basedOn w:val="a"/>
    <w:uiPriority w:val="99"/>
    <w:unhideWhenUsed/>
    <w:rsid w:val="0050384E"/>
    <w:pPr>
      <w:ind w:left="360" w:hanging="360"/>
    </w:pPr>
    <w:rPr>
      <w:rFonts w:asciiTheme="minorHAnsi" w:eastAsiaTheme="minorHAnsi" w:hAnsiTheme="minorHAnsi" w:cstheme="minorBidi"/>
      <w:szCs w:val="22"/>
      <w:lang w:val="en-US"/>
    </w:rPr>
  </w:style>
  <w:style w:type="paragraph" w:styleId="aa">
    <w:name w:val="Body Text"/>
    <w:basedOn w:val="a"/>
    <w:link w:val="Char"/>
    <w:uiPriority w:val="99"/>
    <w:unhideWhenUsed/>
    <w:rsid w:val="0050384E"/>
    <w:pPr>
      <w:spacing w:after="120"/>
    </w:pPr>
    <w:rPr>
      <w:rFonts w:asciiTheme="minorHAnsi" w:eastAsiaTheme="minorHAnsi" w:hAnsiTheme="minorHAnsi" w:cstheme="minorBidi"/>
      <w:szCs w:val="22"/>
      <w:lang w:val="en-US"/>
    </w:rPr>
  </w:style>
  <w:style w:type="character" w:customStyle="1" w:styleId="Char">
    <w:name w:val="正文文本 Char"/>
    <w:basedOn w:val="a0"/>
    <w:link w:val="aa"/>
    <w:uiPriority w:val="99"/>
    <w:rsid w:val="0050384E"/>
    <w:rPr>
      <w:rFonts w:asciiTheme="minorHAnsi" w:eastAsiaTheme="minorHAnsi" w:hAnsiTheme="minorHAnsi" w:cstheme="minorBidi"/>
      <w:sz w:val="22"/>
      <w:szCs w:val="22"/>
    </w:rPr>
  </w:style>
  <w:style w:type="paragraph" w:styleId="ab">
    <w:name w:val="Balloon Text"/>
    <w:basedOn w:val="a"/>
    <w:link w:val="Char0"/>
    <w:rsid w:val="00344762"/>
    <w:rPr>
      <w:rFonts w:ascii="Tahoma" w:hAnsi="Tahoma" w:cs="Tahoma"/>
      <w:sz w:val="16"/>
      <w:szCs w:val="16"/>
    </w:rPr>
  </w:style>
  <w:style w:type="character" w:customStyle="1" w:styleId="Char0">
    <w:name w:val="批注框文本 Char"/>
    <w:basedOn w:val="a0"/>
    <w:link w:val="ab"/>
    <w:rsid w:val="00344762"/>
    <w:rPr>
      <w:rFonts w:ascii="Tahoma" w:hAnsi="Tahoma" w:cs="Tahoma"/>
      <w:sz w:val="16"/>
      <w:szCs w:val="16"/>
      <w:lang w:val="en-GB"/>
    </w:rPr>
  </w:style>
  <w:style w:type="character" w:customStyle="1" w:styleId="1Char">
    <w:name w:val="标题 1 Char"/>
    <w:link w:val="1"/>
    <w:rsid w:val="008E3C45"/>
    <w:rPr>
      <w:rFonts w:ascii="Arial" w:hAnsi="Arial"/>
      <w:b/>
      <w:sz w:val="32"/>
      <w:u w:val="single"/>
      <w:lang w:val="en-GB"/>
    </w:rPr>
  </w:style>
  <w:style w:type="paragraph" w:styleId="ac">
    <w:name w:val="Document Map"/>
    <w:basedOn w:val="a"/>
    <w:link w:val="Char1"/>
    <w:semiHidden/>
    <w:unhideWhenUsed/>
    <w:rsid w:val="00D96180"/>
    <w:rPr>
      <w:rFonts w:ascii="宋体" w:eastAsia="宋体"/>
      <w:sz w:val="18"/>
      <w:szCs w:val="18"/>
    </w:rPr>
  </w:style>
  <w:style w:type="character" w:customStyle="1" w:styleId="Char1">
    <w:name w:val="文档结构图 Char"/>
    <w:basedOn w:val="a0"/>
    <w:link w:val="ac"/>
    <w:semiHidden/>
    <w:rsid w:val="00D96180"/>
    <w:rPr>
      <w:rFonts w:ascii="宋体" w:eastAsia="宋体"/>
      <w:sz w:val="18"/>
      <w:szCs w:val="18"/>
      <w:lang w:val="en-GB"/>
    </w:rPr>
  </w:style>
  <w:style w:type="table" w:styleId="ad">
    <w:name w:val="Table Grid"/>
    <w:basedOn w:val="a1"/>
    <w:rsid w:val="001F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42023030">
      <w:bodyDiv w:val="1"/>
      <w:marLeft w:val="0"/>
      <w:marRight w:val="0"/>
      <w:marTop w:val="0"/>
      <w:marBottom w:val="0"/>
      <w:divBdr>
        <w:top w:val="none" w:sz="0" w:space="0" w:color="auto"/>
        <w:left w:val="none" w:sz="0" w:space="0" w:color="auto"/>
        <w:bottom w:val="none" w:sz="0" w:space="0" w:color="auto"/>
        <w:right w:val="none" w:sz="0" w:space="0" w:color="auto"/>
      </w:divBdr>
    </w:div>
    <w:div w:id="42877876">
      <w:bodyDiv w:val="1"/>
      <w:marLeft w:val="0"/>
      <w:marRight w:val="0"/>
      <w:marTop w:val="0"/>
      <w:marBottom w:val="0"/>
      <w:divBdr>
        <w:top w:val="none" w:sz="0" w:space="0" w:color="auto"/>
        <w:left w:val="none" w:sz="0" w:space="0" w:color="auto"/>
        <w:bottom w:val="none" w:sz="0" w:space="0" w:color="auto"/>
        <w:right w:val="none" w:sz="0" w:space="0" w:color="auto"/>
      </w:divBdr>
    </w:div>
    <w:div w:id="53043982">
      <w:bodyDiv w:val="1"/>
      <w:marLeft w:val="0"/>
      <w:marRight w:val="0"/>
      <w:marTop w:val="0"/>
      <w:marBottom w:val="0"/>
      <w:divBdr>
        <w:top w:val="none" w:sz="0" w:space="0" w:color="auto"/>
        <w:left w:val="none" w:sz="0" w:space="0" w:color="auto"/>
        <w:bottom w:val="none" w:sz="0" w:space="0" w:color="auto"/>
        <w:right w:val="none" w:sz="0" w:space="0" w:color="auto"/>
      </w:divBdr>
    </w:div>
    <w:div w:id="62993709">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29833274">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203562357">
      <w:bodyDiv w:val="1"/>
      <w:marLeft w:val="0"/>
      <w:marRight w:val="0"/>
      <w:marTop w:val="0"/>
      <w:marBottom w:val="0"/>
      <w:divBdr>
        <w:top w:val="none" w:sz="0" w:space="0" w:color="auto"/>
        <w:left w:val="none" w:sz="0" w:space="0" w:color="auto"/>
        <w:bottom w:val="none" w:sz="0" w:space="0" w:color="auto"/>
        <w:right w:val="none" w:sz="0" w:space="0" w:color="auto"/>
      </w:divBdr>
    </w:div>
    <w:div w:id="234123748">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59069467">
      <w:bodyDiv w:val="1"/>
      <w:marLeft w:val="0"/>
      <w:marRight w:val="0"/>
      <w:marTop w:val="0"/>
      <w:marBottom w:val="0"/>
      <w:divBdr>
        <w:top w:val="none" w:sz="0" w:space="0" w:color="auto"/>
        <w:left w:val="none" w:sz="0" w:space="0" w:color="auto"/>
        <w:bottom w:val="none" w:sz="0" w:space="0" w:color="auto"/>
        <w:right w:val="none" w:sz="0" w:space="0" w:color="auto"/>
      </w:divBdr>
    </w:div>
    <w:div w:id="267465501">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25132692">
      <w:bodyDiv w:val="1"/>
      <w:marLeft w:val="0"/>
      <w:marRight w:val="0"/>
      <w:marTop w:val="0"/>
      <w:marBottom w:val="0"/>
      <w:divBdr>
        <w:top w:val="none" w:sz="0" w:space="0" w:color="auto"/>
        <w:left w:val="none" w:sz="0" w:space="0" w:color="auto"/>
        <w:bottom w:val="none" w:sz="0" w:space="0" w:color="auto"/>
        <w:right w:val="none" w:sz="0" w:space="0" w:color="auto"/>
      </w:divBdr>
    </w:div>
    <w:div w:id="325786119">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387607794">
      <w:bodyDiv w:val="1"/>
      <w:marLeft w:val="0"/>
      <w:marRight w:val="0"/>
      <w:marTop w:val="0"/>
      <w:marBottom w:val="0"/>
      <w:divBdr>
        <w:top w:val="none" w:sz="0" w:space="0" w:color="auto"/>
        <w:left w:val="none" w:sz="0" w:space="0" w:color="auto"/>
        <w:bottom w:val="none" w:sz="0" w:space="0" w:color="auto"/>
        <w:right w:val="none" w:sz="0" w:space="0" w:color="auto"/>
      </w:divBdr>
    </w:div>
    <w:div w:id="408624733">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8668986">
      <w:bodyDiv w:val="1"/>
      <w:marLeft w:val="0"/>
      <w:marRight w:val="0"/>
      <w:marTop w:val="0"/>
      <w:marBottom w:val="0"/>
      <w:divBdr>
        <w:top w:val="none" w:sz="0" w:space="0" w:color="auto"/>
        <w:left w:val="none" w:sz="0" w:space="0" w:color="auto"/>
        <w:bottom w:val="none" w:sz="0" w:space="0" w:color="auto"/>
        <w:right w:val="none" w:sz="0" w:space="0" w:color="auto"/>
      </w:divBdr>
    </w:div>
    <w:div w:id="454564094">
      <w:bodyDiv w:val="1"/>
      <w:marLeft w:val="0"/>
      <w:marRight w:val="0"/>
      <w:marTop w:val="0"/>
      <w:marBottom w:val="0"/>
      <w:divBdr>
        <w:top w:val="none" w:sz="0" w:space="0" w:color="auto"/>
        <w:left w:val="none" w:sz="0" w:space="0" w:color="auto"/>
        <w:bottom w:val="none" w:sz="0" w:space="0" w:color="auto"/>
        <w:right w:val="none" w:sz="0" w:space="0" w:color="auto"/>
      </w:divBdr>
    </w:div>
    <w:div w:id="46118870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4905467">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15848855">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997599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58250531">
      <w:bodyDiv w:val="1"/>
      <w:marLeft w:val="0"/>
      <w:marRight w:val="0"/>
      <w:marTop w:val="0"/>
      <w:marBottom w:val="0"/>
      <w:divBdr>
        <w:top w:val="none" w:sz="0" w:space="0" w:color="auto"/>
        <w:left w:val="none" w:sz="0" w:space="0" w:color="auto"/>
        <w:bottom w:val="none" w:sz="0" w:space="0" w:color="auto"/>
        <w:right w:val="none" w:sz="0" w:space="0" w:color="auto"/>
      </w:divBdr>
    </w:div>
    <w:div w:id="596405061">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45823491">
      <w:bodyDiv w:val="1"/>
      <w:marLeft w:val="0"/>
      <w:marRight w:val="0"/>
      <w:marTop w:val="0"/>
      <w:marBottom w:val="0"/>
      <w:divBdr>
        <w:top w:val="none" w:sz="0" w:space="0" w:color="auto"/>
        <w:left w:val="none" w:sz="0" w:space="0" w:color="auto"/>
        <w:bottom w:val="none" w:sz="0" w:space="0" w:color="auto"/>
        <w:right w:val="none" w:sz="0" w:space="0" w:color="auto"/>
      </w:divBdr>
    </w:div>
    <w:div w:id="670647780">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751663606">
      <w:bodyDiv w:val="1"/>
      <w:marLeft w:val="0"/>
      <w:marRight w:val="0"/>
      <w:marTop w:val="0"/>
      <w:marBottom w:val="0"/>
      <w:divBdr>
        <w:top w:val="none" w:sz="0" w:space="0" w:color="auto"/>
        <w:left w:val="none" w:sz="0" w:space="0" w:color="auto"/>
        <w:bottom w:val="none" w:sz="0" w:space="0" w:color="auto"/>
        <w:right w:val="none" w:sz="0" w:space="0" w:color="auto"/>
      </w:divBdr>
    </w:div>
    <w:div w:id="762916498">
      <w:bodyDiv w:val="1"/>
      <w:marLeft w:val="0"/>
      <w:marRight w:val="0"/>
      <w:marTop w:val="0"/>
      <w:marBottom w:val="0"/>
      <w:divBdr>
        <w:top w:val="none" w:sz="0" w:space="0" w:color="auto"/>
        <w:left w:val="none" w:sz="0" w:space="0" w:color="auto"/>
        <w:bottom w:val="none" w:sz="0" w:space="0" w:color="auto"/>
        <w:right w:val="none" w:sz="0" w:space="0" w:color="auto"/>
      </w:divBdr>
    </w:div>
    <w:div w:id="785776772">
      <w:bodyDiv w:val="1"/>
      <w:marLeft w:val="0"/>
      <w:marRight w:val="0"/>
      <w:marTop w:val="0"/>
      <w:marBottom w:val="0"/>
      <w:divBdr>
        <w:top w:val="none" w:sz="0" w:space="0" w:color="auto"/>
        <w:left w:val="none" w:sz="0" w:space="0" w:color="auto"/>
        <w:bottom w:val="none" w:sz="0" w:space="0" w:color="auto"/>
        <w:right w:val="none" w:sz="0" w:space="0" w:color="auto"/>
      </w:divBdr>
      <w:divsChild>
        <w:div w:id="740523318">
          <w:marLeft w:val="0"/>
          <w:marRight w:val="0"/>
          <w:marTop w:val="0"/>
          <w:marBottom w:val="0"/>
          <w:divBdr>
            <w:top w:val="none" w:sz="0" w:space="0" w:color="auto"/>
            <w:left w:val="none" w:sz="0" w:space="0" w:color="auto"/>
            <w:bottom w:val="none" w:sz="0" w:space="0" w:color="auto"/>
            <w:right w:val="none" w:sz="0" w:space="0" w:color="auto"/>
          </w:divBdr>
          <w:divsChild>
            <w:div w:id="101265422">
              <w:marLeft w:val="0"/>
              <w:marRight w:val="0"/>
              <w:marTop w:val="0"/>
              <w:marBottom w:val="0"/>
              <w:divBdr>
                <w:top w:val="none" w:sz="0" w:space="0" w:color="auto"/>
                <w:left w:val="none" w:sz="0" w:space="0" w:color="auto"/>
                <w:bottom w:val="none" w:sz="0" w:space="0" w:color="auto"/>
                <w:right w:val="none" w:sz="0" w:space="0" w:color="auto"/>
              </w:divBdr>
              <w:divsChild>
                <w:div w:id="13402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8845">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2304595">
      <w:bodyDiv w:val="1"/>
      <w:marLeft w:val="0"/>
      <w:marRight w:val="0"/>
      <w:marTop w:val="0"/>
      <w:marBottom w:val="0"/>
      <w:divBdr>
        <w:top w:val="none" w:sz="0" w:space="0" w:color="auto"/>
        <w:left w:val="none" w:sz="0" w:space="0" w:color="auto"/>
        <w:bottom w:val="none" w:sz="0" w:space="0" w:color="auto"/>
        <w:right w:val="none" w:sz="0" w:space="0" w:color="auto"/>
      </w:divBdr>
    </w:div>
    <w:div w:id="893279425">
      <w:bodyDiv w:val="1"/>
      <w:marLeft w:val="0"/>
      <w:marRight w:val="0"/>
      <w:marTop w:val="0"/>
      <w:marBottom w:val="0"/>
      <w:divBdr>
        <w:top w:val="none" w:sz="0" w:space="0" w:color="auto"/>
        <w:left w:val="none" w:sz="0" w:space="0" w:color="auto"/>
        <w:bottom w:val="none" w:sz="0" w:space="0" w:color="auto"/>
        <w:right w:val="none" w:sz="0" w:space="0" w:color="auto"/>
      </w:divBdr>
    </w:div>
    <w:div w:id="894438430">
      <w:bodyDiv w:val="1"/>
      <w:marLeft w:val="0"/>
      <w:marRight w:val="0"/>
      <w:marTop w:val="0"/>
      <w:marBottom w:val="0"/>
      <w:divBdr>
        <w:top w:val="none" w:sz="0" w:space="0" w:color="auto"/>
        <w:left w:val="none" w:sz="0" w:space="0" w:color="auto"/>
        <w:bottom w:val="none" w:sz="0" w:space="0" w:color="auto"/>
        <w:right w:val="none" w:sz="0" w:space="0" w:color="auto"/>
      </w:divBdr>
    </w:div>
    <w:div w:id="903102914">
      <w:bodyDiv w:val="1"/>
      <w:marLeft w:val="0"/>
      <w:marRight w:val="0"/>
      <w:marTop w:val="0"/>
      <w:marBottom w:val="0"/>
      <w:divBdr>
        <w:top w:val="none" w:sz="0" w:space="0" w:color="auto"/>
        <w:left w:val="none" w:sz="0" w:space="0" w:color="auto"/>
        <w:bottom w:val="none" w:sz="0" w:space="0" w:color="auto"/>
        <w:right w:val="none" w:sz="0" w:space="0" w:color="auto"/>
      </w:divBdr>
    </w:div>
    <w:div w:id="919483401">
      <w:bodyDiv w:val="1"/>
      <w:marLeft w:val="0"/>
      <w:marRight w:val="0"/>
      <w:marTop w:val="0"/>
      <w:marBottom w:val="0"/>
      <w:divBdr>
        <w:top w:val="none" w:sz="0" w:space="0" w:color="auto"/>
        <w:left w:val="none" w:sz="0" w:space="0" w:color="auto"/>
        <w:bottom w:val="none" w:sz="0" w:space="0" w:color="auto"/>
        <w:right w:val="none" w:sz="0" w:space="0" w:color="auto"/>
      </w:divBdr>
    </w:div>
    <w:div w:id="921110994">
      <w:bodyDiv w:val="1"/>
      <w:marLeft w:val="0"/>
      <w:marRight w:val="0"/>
      <w:marTop w:val="0"/>
      <w:marBottom w:val="0"/>
      <w:divBdr>
        <w:top w:val="none" w:sz="0" w:space="0" w:color="auto"/>
        <w:left w:val="none" w:sz="0" w:space="0" w:color="auto"/>
        <w:bottom w:val="none" w:sz="0" w:space="0" w:color="auto"/>
        <w:right w:val="none" w:sz="0" w:space="0" w:color="auto"/>
      </w:divBdr>
    </w:div>
    <w:div w:id="954750399">
      <w:bodyDiv w:val="1"/>
      <w:marLeft w:val="0"/>
      <w:marRight w:val="0"/>
      <w:marTop w:val="0"/>
      <w:marBottom w:val="0"/>
      <w:divBdr>
        <w:top w:val="none" w:sz="0" w:space="0" w:color="auto"/>
        <w:left w:val="none" w:sz="0" w:space="0" w:color="auto"/>
        <w:bottom w:val="none" w:sz="0" w:space="0" w:color="auto"/>
        <w:right w:val="none" w:sz="0" w:space="0" w:color="auto"/>
      </w:divBdr>
    </w:div>
    <w:div w:id="977759313">
      <w:bodyDiv w:val="1"/>
      <w:marLeft w:val="0"/>
      <w:marRight w:val="0"/>
      <w:marTop w:val="0"/>
      <w:marBottom w:val="0"/>
      <w:divBdr>
        <w:top w:val="none" w:sz="0" w:space="0" w:color="auto"/>
        <w:left w:val="none" w:sz="0" w:space="0" w:color="auto"/>
        <w:bottom w:val="none" w:sz="0" w:space="0" w:color="auto"/>
        <w:right w:val="none" w:sz="0" w:space="0" w:color="auto"/>
      </w:divBdr>
    </w:div>
    <w:div w:id="994334040">
      <w:bodyDiv w:val="1"/>
      <w:marLeft w:val="0"/>
      <w:marRight w:val="0"/>
      <w:marTop w:val="0"/>
      <w:marBottom w:val="0"/>
      <w:divBdr>
        <w:top w:val="none" w:sz="0" w:space="0" w:color="auto"/>
        <w:left w:val="none" w:sz="0" w:space="0" w:color="auto"/>
        <w:bottom w:val="none" w:sz="0" w:space="0" w:color="auto"/>
        <w:right w:val="none" w:sz="0" w:space="0" w:color="auto"/>
      </w:divBdr>
    </w:div>
    <w:div w:id="1001783826">
      <w:bodyDiv w:val="1"/>
      <w:marLeft w:val="0"/>
      <w:marRight w:val="0"/>
      <w:marTop w:val="0"/>
      <w:marBottom w:val="0"/>
      <w:divBdr>
        <w:top w:val="none" w:sz="0" w:space="0" w:color="auto"/>
        <w:left w:val="none" w:sz="0" w:space="0" w:color="auto"/>
        <w:bottom w:val="none" w:sz="0" w:space="0" w:color="auto"/>
        <w:right w:val="none" w:sz="0" w:space="0" w:color="auto"/>
      </w:divBdr>
    </w:div>
    <w:div w:id="1019089583">
      <w:bodyDiv w:val="1"/>
      <w:marLeft w:val="0"/>
      <w:marRight w:val="0"/>
      <w:marTop w:val="0"/>
      <w:marBottom w:val="0"/>
      <w:divBdr>
        <w:top w:val="none" w:sz="0" w:space="0" w:color="auto"/>
        <w:left w:val="none" w:sz="0" w:space="0" w:color="auto"/>
        <w:bottom w:val="none" w:sz="0" w:space="0" w:color="auto"/>
        <w:right w:val="none" w:sz="0" w:space="0" w:color="auto"/>
      </w:divBdr>
    </w:div>
    <w:div w:id="1043868241">
      <w:bodyDiv w:val="1"/>
      <w:marLeft w:val="0"/>
      <w:marRight w:val="0"/>
      <w:marTop w:val="0"/>
      <w:marBottom w:val="0"/>
      <w:divBdr>
        <w:top w:val="none" w:sz="0" w:space="0" w:color="auto"/>
        <w:left w:val="none" w:sz="0" w:space="0" w:color="auto"/>
        <w:bottom w:val="none" w:sz="0" w:space="0" w:color="auto"/>
        <w:right w:val="none" w:sz="0" w:space="0" w:color="auto"/>
      </w:divBdr>
    </w:div>
    <w:div w:id="1046179293">
      <w:bodyDiv w:val="1"/>
      <w:marLeft w:val="0"/>
      <w:marRight w:val="0"/>
      <w:marTop w:val="0"/>
      <w:marBottom w:val="0"/>
      <w:divBdr>
        <w:top w:val="none" w:sz="0" w:space="0" w:color="auto"/>
        <w:left w:val="none" w:sz="0" w:space="0" w:color="auto"/>
        <w:bottom w:val="none" w:sz="0" w:space="0" w:color="auto"/>
        <w:right w:val="none" w:sz="0" w:space="0" w:color="auto"/>
      </w:divBdr>
    </w:div>
    <w:div w:id="1054701618">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2602353">
      <w:bodyDiv w:val="1"/>
      <w:marLeft w:val="0"/>
      <w:marRight w:val="0"/>
      <w:marTop w:val="0"/>
      <w:marBottom w:val="0"/>
      <w:divBdr>
        <w:top w:val="none" w:sz="0" w:space="0" w:color="auto"/>
        <w:left w:val="none" w:sz="0" w:space="0" w:color="auto"/>
        <w:bottom w:val="none" w:sz="0" w:space="0" w:color="auto"/>
        <w:right w:val="none" w:sz="0" w:space="0" w:color="auto"/>
      </w:divBdr>
    </w:div>
    <w:div w:id="1132863155">
      <w:bodyDiv w:val="1"/>
      <w:marLeft w:val="0"/>
      <w:marRight w:val="0"/>
      <w:marTop w:val="0"/>
      <w:marBottom w:val="0"/>
      <w:divBdr>
        <w:top w:val="none" w:sz="0" w:space="0" w:color="auto"/>
        <w:left w:val="none" w:sz="0" w:space="0" w:color="auto"/>
        <w:bottom w:val="none" w:sz="0" w:space="0" w:color="auto"/>
        <w:right w:val="none" w:sz="0" w:space="0" w:color="auto"/>
      </w:divBdr>
    </w:div>
    <w:div w:id="1135564201">
      <w:bodyDiv w:val="1"/>
      <w:marLeft w:val="0"/>
      <w:marRight w:val="0"/>
      <w:marTop w:val="0"/>
      <w:marBottom w:val="0"/>
      <w:divBdr>
        <w:top w:val="none" w:sz="0" w:space="0" w:color="auto"/>
        <w:left w:val="none" w:sz="0" w:space="0" w:color="auto"/>
        <w:bottom w:val="none" w:sz="0" w:space="0" w:color="auto"/>
        <w:right w:val="none" w:sz="0" w:space="0" w:color="auto"/>
      </w:divBdr>
    </w:div>
    <w:div w:id="1160317605">
      <w:bodyDiv w:val="1"/>
      <w:marLeft w:val="0"/>
      <w:marRight w:val="0"/>
      <w:marTop w:val="0"/>
      <w:marBottom w:val="0"/>
      <w:divBdr>
        <w:top w:val="none" w:sz="0" w:space="0" w:color="auto"/>
        <w:left w:val="none" w:sz="0" w:space="0" w:color="auto"/>
        <w:bottom w:val="none" w:sz="0" w:space="0" w:color="auto"/>
        <w:right w:val="none" w:sz="0" w:space="0" w:color="auto"/>
      </w:divBdr>
    </w:div>
    <w:div w:id="1203051479">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59370966">
      <w:bodyDiv w:val="1"/>
      <w:marLeft w:val="0"/>
      <w:marRight w:val="0"/>
      <w:marTop w:val="0"/>
      <w:marBottom w:val="0"/>
      <w:divBdr>
        <w:top w:val="none" w:sz="0" w:space="0" w:color="auto"/>
        <w:left w:val="none" w:sz="0" w:space="0" w:color="auto"/>
        <w:bottom w:val="none" w:sz="0" w:space="0" w:color="auto"/>
        <w:right w:val="none" w:sz="0" w:space="0" w:color="auto"/>
      </w:divBdr>
    </w:div>
    <w:div w:id="1267731983">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612107">
      <w:bodyDiv w:val="1"/>
      <w:marLeft w:val="0"/>
      <w:marRight w:val="0"/>
      <w:marTop w:val="0"/>
      <w:marBottom w:val="0"/>
      <w:divBdr>
        <w:top w:val="none" w:sz="0" w:space="0" w:color="auto"/>
        <w:left w:val="none" w:sz="0" w:space="0" w:color="auto"/>
        <w:bottom w:val="none" w:sz="0" w:space="0" w:color="auto"/>
        <w:right w:val="none" w:sz="0" w:space="0" w:color="auto"/>
      </w:divBdr>
    </w:div>
    <w:div w:id="1327906176">
      <w:bodyDiv w:val="1"/>
      <w:marLeft w:val="0"/>
      <w:marRight w:val="0"/>
      <w:marTop w:val="0"/>
      <w:marBottom w:val="0"/>
      <w:divBdr>
        <w:top w:val="none" w:sz="0" w:space="0" w:color="auto"/>
        <w:left w:val="none" w:sz="0" w:space="0" w:color="auto"/>
        <w:bottom w:val="none" w:sz="0" w:space="0" w:color="auto"/>
        <w:right w:val="none" w:sz="0" w:space="0" w:color="auto"/>
      </w:divBdr>
    </w:div>
    <w:div w:id="1333527510">
      <w:bodyDiv w:val="1"/>
      <w:marLeft w:val="0"/>
      <w:marRight w:val="0"/>
      <w:marTop w:val="0"/>
      <w:marBottom w:val="0"/>
      <w:divBdr>
        <w:top w:val="none" w:sz="0" w:space="0" w:color="auto"/>
        <w:left w:val="none" w:sz="0" w:space="0" w:color="auto"/>
        <w:bottom w:val="none" w:sz="0" w:space="0" w:color="auto"/>
        <w:right w:val="none" w:sz="0" w:space="0" w:color="auto"/>
      </w:divBdr>
    </w:div>
    <w:div w:id="1336346769">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59310234">
      <w:bodyDiv w:val="1"/>
      <w:marLeft w:val="0"/>
      <w:marRight w:val="0"/>
      <w:marTop w:val="0"/>
      <w:marBottom w:val="0"/>
      <w:divBdr>
        <w:top w:val="none" w:sz="0" w:space="0" w:color="auto"/>
        <w:left w:val="none" w:sz="0" w:space="0" w:color="auto"/>
        <w:bottom w:val="none" w:sz="0" w:space="0" w:color="auto"/>
        <w:right w:val="none" w:sz="0" w:space="0" w:color="auto"/>
      </w:divBdr>
    </w:div>
    <w:div w:id="1391073564">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7">
          <w:marLeft w:val="0"/>
          <w:marRight w:val="0"/>
          <w:marTop w:val="0"/>
          <w:marBottom w:val="0"/>
          <w:divBdr>
            <w:top w:val="none" w:sz="0" w:space="0" w:color="auto"/>
            <w:left w:val="none" w:sz="0" w:space="0" w:color="auto"/>
            <w:bottom w:val="none" w:sz="0" w:space="0" w:color="auto"/>
            <w:right w:val="none" w:sz="0" w:space="0" w:color="auto"/>
          </w:divBdr>
          <w:divsChild>
            <w:div w:id="915437442">
              <w:marLeft w:val="0"/>
              <w:marRight w:val="0"/>
              <w:marTop w:val="0"/>
              <w:marBottom w:val="0"/>
              <w:divBdr>
                <w:top w:val="none" w:sz="0" w:space="0" w:color="auto"/>
                <w:left w:val="none" w:sz="0" w:space="0" w:color="auto"/>
                <w:bottom w:val="none" w:sz="0" w:space="0" w:color="auto"/>
                <w:right w:val="none" w:sz="0" w:space="0" w:color="auto"/>
              </w:divBdr>
              <w:divsChild>
                <w:div w:id="14776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7469">
      <w:bodyDiv w:val="1"/>
      <w:marLeft w:val="0"/>
      <w:marRight w:val="0"/>
      <w:marTop w:val="0"/>
      <w:marBottom w:val="0"/>
      <w:divBdr>
        <w:top w:val="none" w:sz="0" w:space="0" w:color="auto"/>
        <w:left w:val="none" w:sz="0" w:space="0" w:color="auto"/>
        <w:bottom w:val="none" w:sz="0" w:space="0" w:color="auto"/>
        <w:right w:val="none" w:sz="0" w:space="0" w:color="auto"/>
      </w:divBdr>
    </w:div>
    <w:div w:id="1413503275">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26926791">
      <w:bodyDiv w:val="1"/>
      <w:marLeft w:val="0"/>
      <w:marRight w:val="0"/>
      <w:marTop w:val="0"/>
      <w:marBottom w:val="0"/>
      <w:divBdr>
        <w:top w:val="none" w:sz="0" w:space="0" w:color="auto"/>
        <w:left w:val="none" w:sz="0" w:space="0" w:color="auto"/>
        <w:bottom w:val="none" w:sz="0" w:space="0" w:color="auto"/>
        <w:right w:val="none" w:sz="0" w:space="0" w:color="auto"/>
      </w:divBdr>
    </w:div>
    <w:div w:id="1501194273">
      <w:bodyDiv w:val="1"/>
      <w:marLeft w:val="0"/>
      <w:marRight w:val="0"/>
      <w:marTop w:val="0"/>
      <w:marBottom w:val="0"/>
      <w:divBdr>
        <w:top w:val="none" w:sz="0" w:space="0" w:color="auto"/>
        <w:left w:val="none" w:sz="0" w:space="0" w:color="auto"/>
        <w:bottom w:val="none" w:sz="0" w:space="0" w:color="auto"/>
        <w:right w:val="none" w:sz="0" w:space="0" w:color="auto"/>
      </w:divBdr>
    </w:div>
    <w:div w:id="1510409574">
      <w:bodyDiv w:val="1"/>
      <w:marLeft w:val="0"/>
      <w:marRight w:val="0"/>
      <w:marTop w:val="0"/>
      <w:marBottom w:val="0"/>
      <w:divBdr>
        <w:top w:val="none" w:sz="0" w:space="0" w:color="auto"/>
        <w:left w:val="none" w:sz="0" w:space="0" w:color="auto"/>
        <w:bottom w:val="none" w:sz="0" w:space="0" w:color="auto"/>
        <w:right w:val="none" w:sz="0" w:space="0" w:color="auto"/>
      </w:divBdr>
    </w:div>
    <w:div w:id="1526675335">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3203542">
      <w:bodyDiv w:val="1"/>
      <w:marLeft w:val="0"/>
      <w:marRight w:val="0"/>
      <w:marTop w:val="0"/>
      <w:marBottom w:val="0"/>
      <w:divBdr>
        <w:top w:val="none" w:sz="0" w:space="0" w:color="auto"/>
        <w:left w:val="none" w:sz="0" w:space="0" w:color="auto"/>
        <w:bottom w:val="none" w:sz="0" w:space="0" w:color="auto"/>
        <w:right w:val="none" w:sz="0" w:space="0" w:color="auto"/>
      </w:divBdr>
    </w:div>
    <w:div w:id="1593778267">
      <w:bodyDiv w:val="1"/>
      <w:marLeft w:val="0"/>
      <w:marRight w:val="0"/>
      <w:marTop w:val="0"/>
      <w:marBottom w:val="0"/>
      <w:divBdr>
        <w:top w:val="none" w:sz="0" w:space="0" w:color="auto"/>
        <w:left w:val="none" w:sz="0" w:space="0" w:color="auto"/>
        <w:bottom w:val="none" w:sz="0" w:space="0" w:color="auto"/>
        <w:right w:val="none" w:sz="0" w:space="0" w:color="auto"/>
      </w:divBdr>
    </w:div>
    <w:div w:id="1611549021">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689991360">
      <w:bodyDiv w:val="1"/>
      <w:marLeft w:val="0"/>
      <w:marRight w:val="0"/>
      <w:marTop w:val="0"/>
      <w:marBottom w:val="0"/>
      <w:divBdr>
        <w:top w:val="none" w:sz="0" w:space="0" w:color="auto"/>
        <w:left w:val="none" w:sz="0" w:space="0" w:color="auto"/>
        <w:bottom w:val="none" w:sz="0" w:space="0" w:color="auto"/>
        <w:right w:val="none" w:sz="0" w:space="0" w:color="auto"/>
      </w:divBdr>
    </w:div>
    <w:div w:id="1695381339">
      <w:bodyDiv w:val="1"/>
      <w:marLeft w:val="0"/>
      <w:marRight w:val="0"/>
      <w:marTop w:val="0"/>
      <w:marBottom w:val="0"/>
      <w:divBdr>
        <w:top w:val="none" w:sz="0" w:space="0" w:color="auto"/>
        <w:left w:val="none" w:sz="0" w:space="0" w:color="auto"/>
        <w:bottom w:val="none" w:sz="0" w:space="0" w:color="auto"/>
        <w:right w:val="none" w:sz="0" w:space="0" w:color="auto"/>
      </w:divBdr>
    </w:div>
    <w:div w:id="1700279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79138072">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317255">
      <w:bodyDiv w:val="1"/>
      <w:marLeft w:val="0"/>
      <w:marRight w:val="0"/>
      <w:marTop w:val="0"/>
      <w:marBottom w:val="0"/>
      <w:divBdr>
        <w:top w:val="none" w:sz="0" w:space="0" w:color="auto"/>
        <w:left w:val="none" w:sz="0" w:space="0" w:color="auto"/>
        <w:bottom w:val="none" w:sz="0" w:space="0" w:color="auto"/>
        <w:right w:val="none" w:sz="0" w:space="0" w:color="auto"/>
      </w:divBdr>
    </w:div>
    <w:div w:id="1889369898">
      <w:bodyDiv w:val="1"/>
      <w:marLeft w:val="0"/>
      <w:marRight w:val="0"/>
      <w:marTop w:val="0"/>
      <w:marBottom w:val="0"/>
      <w:divBdr>
        <w:top w:val="none" w:sz="0" w:space="0" w:color="auto"/>
        <w:left w:val="none" w:sz="0" w:space="0" w:color="auto"/>
        <w:bottom w:val="none" w:sz="0" w:space="0" w:color="auto"/>
        <w:right w:val="none" w:sz="0" w:space="0" w:color="auto"/>
      </w:divBdr>
    </w:div>
    <w:div w:id="191269228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0603015">
      <w:bodyDiv w:val="1"/>
      <w:marLeft w:val="0"/>
      <w:marRight w:val="0"/>
      <w:marTop w:val="0"/>
      <w:marBottom w:val="0"/>
      <w:divBdr>
        <w:top w:val="none" w:sz="0" w:space="0" w:color="auto"/>
        <w:left w:val="none" w:sz="0" w:space="0" w:color="auto"/>
        <w:bottom w:val="none" w:sz="0" w:space="0" w:color="auto"/>
        <w:right w:val="none" w:sz="0" w:space="0" w:color="auto"/>
      </w:divBdr>
    </w:div>
    <w:div w:id="1981762165">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4556536">
      <w:bodyDiv w:val="1"/>
      <w:marLeft w:val="0"/>
      <w:marRight w:val="0"/>
      <w:marTop w:val="0"/>
      <w:marBottom w:val="0"/>
      <w:divBdr>
        <w:top w:val="none" w:sz="0" w:space="0" w:color="auto"/>
        <w:left w:val="none" w:sz="0" w:space="0" w:color="auto"/>
        <w:bottom w:val="none" w:sz="0" w:space="0" w:color="auto"/>
        <w:right w:val="none" w:sz="0" w:space="0" w:color="auto"/>
      </w:divBdr>
    </w:div>
    <w:div w:id="2130128227">
      <w:bodyDiv w:val="1"/>
      <w:marLeft w:val="0"/>
      <w:marRight w:val="0"/>
      <w:marTop w:val="0"/>
      <w:marBottom w:val="0"/>
      <w:divBdr>
        <w:top w:val="none" w:sz="0" w:space="0" w:color="auto"/>
        <w:left w:val="none" w:sz="0" w:space="0" w:color="auto"/>
        <w:bottom w:val="none" w:sz="0" w:space="0" w:color="auto"/>
        <w:right w:val="none" w:sz="0" w:space="0" w:color="auto"/>
      </w:divBdr>
    </w:div>
    <w:div w:id="21317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188</TotalTime>
  <Pages>6</Pages>
  <Words>1578</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802.11-15/1180</vt:lpstr>
    </vt:vector>
  </TitlesOfParts>
  <Company>Some Company</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802.11-15/1180</dc:title>
  <dc:subject>Submission</dc:subject>
  <dc:creator>emily.h.qi@intel.com</dc:creator>
  <cp:keywords>June 2015</cp:keywords>
  <cp:lastModifiedBy>Bo Sun</cp:lastModifiedBy>
  <cp:revision>16</cp:revision>
  <cp:lastPrinted>2015-06-05T16:59:00Z</cp:lastPrinted>
  <dcterms:created xsi:type="dcterms:W3CDTF">2015-11-10T23:03:00Z</dcterms:created>
  <dcterms:modified xsi:type="dcterms:W3CDTF">2015-11-11T20:00:00Z</dcterms:modified>
</cp:coreProperties>
</file>