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bookmarkStart w:id="0" w:name="_GoBack"/>
      <w:bookmarkEnd w:id="0"/>
      <w:r w:rsidRPr="00173419">
        <w:rPr>
          <w:lang w:val="en-US"/>
        </w:rPr>
        <w:t>IEEE P802.11</w:t>
      </w:r>
      <w:r w:rsidRPr="0017341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w:t>
      </w:r>
      <w:r w:rsidRPr="008669FD">
        <w:rPr>
          <w:sz w:val="20"/>
          <w:highlight w:val="green"/>
          <w:lang w:val="en-US" w:eastAsia="ko-KR"/>
        </w:rPr>
        <w:t>5966</w:t>
      </w:r>
      <w:r w:rsidRPr="00173419">
        <w:rPr>
          <w:sz w:val="20"/>
          <w:lang w:val="en-US" w:eastAsia="ko-KR"/>
        </w:rPr>
        <w:t xml:space="preserve">, </w:t>
      </w:r>
      <w:r w:rsidRPr="00173419">
        <w:rPr>
          <w:sz w:val="20"/>
          <w:highlight w:val="green"/>
          <w:lang w:val="en-US" w:eastAsia="ko-KR"/>
        </w:rPr>
        <w:t>5967</w:t>
      </w:r>
      <w:r w:rsidRPr="00173419">
        <w:rPr>
          <w:sz w:val="20"/>
          <w:lang w:val="en-US" w:eastAsia="ko-KR"/>
        </w:rPr>
        <w:t xml:space="preserve">, </w:t>
      </w:r>
      <w:r w:rsidRPr="008669FD">
        <w:rPr>
          <w:sz w:val="20"/>
          <w:highlight w:val="green"/>
          <w:lang w:val="en-US" w:eastAsia="ko-KR"/>
        </w:rPr>
        <w:t>6181</w:t>
      </w:r>
      <w:r w:rsidRPr="00173419">
        <w:rPr>
          <w:sz w:val="20"/>
          <w:lang w:val="en-US" w:eastAsia="ko-KR"/>
        </w:rPr>
        <w:t xml:space="preserve">, </w:t>
      </w:r>
      <w:r w:rsidRPr="008669FD">
        <w:rPr>
          <w:sz w:val="20"/>
          <w:highlight w:val="green"/>
          <w:lang w:val="en-US" w:eastAsia="ko-KR"/>
        </w:rPr>
        <w:t>5965</w:t>
      </w:r>
      <w:r w:rsidRPr="00173419">
        <w:rPr>
          <w:sz w:val="20"/>
          <w:lang w:val="en-US" w:eastAsia="ko-KR"/>
        </w:rPr>
        <w:t xml:space="preserve">, </w:t>
      </w:r>
      <w:r w:rsidRPr="008669FD">
        <w:rPr>
          <w:sz w:val="20"/>
          <w:highlight w:val="green"/>
          <w:lang w:val="en-US" w:eastAsia="ko-KR"/>
        </w:rPr>
        <w:t>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1AD6B990"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 xml:space="preserve">as </w:t>
      </w:r>
      <w:r w:rsidR="00577485">
        <w:rPr>
          <w:sz w:val="20"/>
          <w:lang w:val="en-US"/>
        </w:rPr>
        <w:t>addressed</w:t>
      </w:r>
      <w:r w:rsidR="00CC7FB8" w:rsidRPr="00173419">
        <w:rPr>
          <w:sz w:val="20"/>
          <w:lang w:val="en-US"/>
        </w:rPr>
        <w:t xml:space="preserve">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20C58DB5"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r w:rsidR="00A35B59">
        <w:rPr>
          <w:sz w:val="20"/>
          <w:lang w:val="en-US"/>
        </w:rPr>
        <w:t>, while also allowing the use of an ACK or CTS</w:t>
      </w:r>
      <w:r w:rsidRPr="00173419">
        <w:rPr>
          <w:sz w:val="20"/>
          <w:lang w:val="en-US"/>
        </w:rPr>
        <w: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Pr="00173419" w:rsidRDefault="00714188" w:rsidP="002A22A7">
      <w:pPr>
        <w:rPr>
          <w:sz w:val="20"/>
          <w:lang w:val="en-US"/>
        </w:rPr>
      </w:pPr>
    </w:p>
    <w:p w14:paraId="466B4E4C" w14:textId="6F744C26" w:rsidR="00A7215A" w:rsidRPr="00173419" w:rsidRDefault="00791DAE" w:rsidP="002A22A7">
      <w:pPr>
        <w:rPr>
          <w:sz w:val="20"/>
          <w:lang w:val="en-US"/>
        </w:rPr>
      </w:pPr>
      <w:r w:rsidRPr="00173419">
        <w:rPr>
          <w:sz w:val="20"/>
          <w:lang w:val="en-US"/>
        </w:rPr>
        <w:t xml:space="preserve">"In </w:t>
      </w:r>
      <w:r w:rsidR="00EC3274">
        <w:rPr>
          <w:sz w:val="20"/>
          <w:lang w:val="en-US"/>
        </w:rPr>
        <w:t>a</w:t>
      </w:r>
      <w:r w:rsidRPr="00173419">
        <w:rPr>
          <w:sz w:val="20"/>
          <w:lang w:val="en-US"/>
        </w:rPr>
        <w:t xml:space="preserve"> 5 GHz band, </w:t>
      </w:r>
      <w:r w:rsidR="00A7215A" w:rsidRPr="00173419">
        <w:rPr>
          <w:sz w:val="20"/>
          <w:lang w:val="en-US"/>
        </w:rPr>
        <w:t xml:space="preserve">a final control response frame at a rate higher than 6 Mbps (typically 12 or 24 Mbps) </w:t>
      </w:r>
      <w:r w:rsidR="00121D32">
        <w:rPr>
          <w:sz w:val="20"/>
          <w:lang w:val="en-US"/>
        </w:rPr>
        <w:t>might</w:t>
      </w:r>
      <w:r w:rsidR="00A7215A" w:rsidRPr="00173419">
        <w:rPr>
          <w:sz w:val="20"/>
          <w:lang w:val="en-US"/>
        </w:rPr>
        <w:t xml:space="preserve"> cause </w:t>
      </w:r>
      <w:r w:rsidRPr="00173419">
        <w:rPr>
          <w:sz w:val="20"/>
          <w:lang w:val="en-US"/>
        </w:rPr>
        <w:t>s</w:t>
      </w:r>
      <w:r w:rsidR="00DE1CCA" w:rsidRPr="00173419">
        <w:rPr>
          <w:sz w:val="20"/>
          <w:lang w:val="en-US"/>
        </w:rPr>
        <w:t>purious EIFSs</w:t>
      </w:r>
      <w:r w:rsidR="00A60FF7" w:rsidRPr="00173419">
        <w:rPr>
          <w:sz w:val="20"/>
          <w:lang w:val="en-US"/>
        </w:rPr>
        <w:t xml:space="preserve"> to occur</w:t>
      </w:r>
      <w:r w:rsidR="00A7215A" w:rsidRPr="00173419">
        <w:rPr>
          <w:sz w:val="20"/>
          <w:lang w:val="en-US"/>
        </w:rPr>
        <w:t xml:space="preserve">, because the </w:t>
      </w:r>
      <w:r w:rsidR="00254462">
        <w:rPr>
          <w:sz w:val="20"/>
          <w:lang w:val="en-US"/>
        </w:rPr>
        <w:t>PHY header</w:t>
      </w:r>
      <w:r w:rsidR="00A7215A" w:rsidRPr="00173419">
        <w:rPr>
          <w:sz w:val="20"/>
          <w:lang w:val="en-US"/>
        </w:rPr>
        <w:t xml:space="preserve"> of such PPDUs travels farther then the MPDU. </w:t>
      </w:r>
      <w:r w:rsidRPr="00173419">
        <w:rPr>
          <w:sz w:val="20"/>
          <w:lang w:val="en-US"/>
        </w:rPr>
        <w:t xml:space="preserve">For this reason, a TXOP in the 5 GHz band should be terminated </w:t>
      </w:r>
      <w:r w:rsidR="00A60FF7" w:rsidRPr="00173419">
        <w:rPr>
          <w:sz w:val="20"/>
          <w:lang w:val="en-US"/>
        </w:rPr>
        <w:t xml:space="preserve">by the TXOP holder </w:t>
      </w:r>
      <w:r w:rsidRPr="00173419">
        <w:rPr>
          <w:sz w:val="20"/>
          <w:lang w:val="en-US"/>
        </w:rPr>
        <w:t>with a transmission of a CF-End frame at 6 Mbps</w:t>
      </w:r>
      <w:r w:rsidR="009D7C46" w:rsidRPr="00173419">
        <w:rPr>
          <w:sz w:val="20"/>
          <w:lang w:val="en-US"/>
        </w:rPr>
        <w:t xml:space="preserve"> when the last response frame </w:t>
      </w:r>
      <w:r w:rsidR="006747DA" w:rsidRPr="00173419">
        <w:rPr>
          <w:sz w:val="20"/>
          <w:lang w:val="en-US"/>
        </w:rPr>
        <w:t>in the TXOP is transmitted at a rate higher than 6 Mbps</w:t>
      </w:r>
      <w:r w:rsidRPr="00173419">
        <w:rPr>
          <w:sz w:val="20"/>
          <w:lang w:val="en-US"/>
        </w:rPr>
        <w:t>.</w:t>
      </w:r>
      <w:r w:rsidR="00A60FF7" w:rsidRPr="00173419">
        <w:rPr>
          <w:sz w:val="20"/>
          <w:lang w:val="en-US"/>
        </w:rPr>
        <w:t xml:space="preserve"> The CF-En</w:t>
      </w:r>
      <w:r w:rsidR="00354178">
        <w:rPr>
          <w:sz w:val="20"/>
          <w:lang w:val="en-US"/>
        </w:rPr>
        <w:t>d frame may be replaced with an</w:t>
      </w:r>
      <w:r w:rsidR="00A60FF7" w:rsidRPr="00173419">
        <w:rPr>
          <w:sz w:val="20"/>
          <w:lang w:val="en-US"/>
        </w:rPr>
        <w:t xml:space="preserve"> CTS</w:t>
      </w:r>
      <w:r w:rsidR="006F5B4F">
        <w:rPr>
          <w:sz w:val="20"/>
          <w:lang w:val="en-US"/>
        </w:rPr>
        <w:t>-to-self</w:t>
      </w:r>
      <w:r w:rsidR="00A60FF7" w:rsidRPr="00173419">
        <w:rPr>
          <w:sz w:val="20"/>
          <w:lang w:val="en-US"/>
        </w:rPr>
        <w:t xml:space="preserve"> </w:t>
      </w:r>
      <w:r w:rsidR="006747DA" w:rsidRPr="00173419">
        <w:rPr>
          <w:sz w:val="20"/>
          <w:lang w:val="en-US"/>
        </w:rPr>
        <w:t xml:space="preserve">frame </w:t>
      </w:r>
      <w:r w:rsidR="00A60FF7" w:rsidRPr="00173419">
        <w:rPr>
          <w:sz w:val="20"/>
          <w:lang w:val="en-US"/>
        </w:rPr>
        <w:t>when a NAV does not need to be truncated.</w:t>
      </w:r>
      <w:r w:rsidRPr="00173419">
        <w:rPr>
          <w:sz w:val="20"/>
          <w:lang w:val="en-US"/>
        </w:rPr>
        <w:t>"</w:t>
      </w:r>
    </w:p>
    <w:p w14:paraId="60749060" w14:textId="77777777" w:rsidR="005E3C8A" w:rsidRPr="00173419" w:rsidRDefault="005E3C8A"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lastRenderedPageBreak/>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427E2A">
              <w:rPr>
                <w:rFonts w:eastAsia="Times New Roman"/>
                <w:b/>
                <w:color w:val="000000"/>
                <w:sz w:val="20"/>
                <w:highlight w:val="green"/>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5E7E185A"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w:t>
      </w:r>
      <w:r w:rsidR="00BB5219">
        <w:rPr>
          <w:sz w:val="20"/>
          <w:lang w:val="en-US"/>
        </w:rPr>
        <w:t>was un</w:t>
      </w:r>
      <w:r w:rsidRPr="00173419">
        <w:rPr>
          <w:sz w:val="20"/>
          <w:lang w:val="en-US"/>
        </w:rPr>
        <w:t>necessary</w:t>
      </w:r>
      <w:r w:rsidR="00BB5219">
        <w:rPr>
          <w:sz w:val="20"/>
          <w:lang w:val="en-US"/>
        </w:rPr>
        <w:t xml:space="preserve">, and it currently prevents </w:t>
      </w:r>
      <w:r w:rsidR="003628FE" w:rsidRPr="00173419">
        <w:rPr>
          <w:sz w:val="20"/>
          <w:lang w:val="en-US"/>
        </w:rPr>
        <w:t>set</w:t>
      </w:r>
      <w:r w:rsidR="00BB5219">
        <w:rPr>
          <w:sz w:val="20"/>
          <w:lang w:val="en-US"/>
        </w:rPr>
        <w:t>ting</w:t>
      </w:r>
      <w:r w:rsidR="003628FE" w:rsidRPr="00173419">
        <w:rPr>
          <w:sz w:val="20"/>
          <w:lang w:val="en-US"/>
        </w:rPr>
        <w:t xml:space="preserve"> up a 40 MHz HT TDLS link in a 20 MHz HT BSS.</w:t>
      </w:r>
      <w:r w:rsidR="00C74022">
        <w:rPr>
          <w:sz w:val="20"/>
          <w:lang w:val="en-US"/>
        </w:rPr>
        <w:t xml:space="preserve"> Therefore</w:t>
      </w:r>
      <w:r w:rsidR="00112CB5">
        <w:rPr>
          <w:sz w:val="20"/>
          <w:lang w:val="en-US"/>
        </w:rPr>
        <w:t xml:space="preserve"> the comment should be accepted.</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6B4D32B3" w:rsidR="00046446" w:rsidRPr="00173419" w:rsidRDefault="00BB5219" w:rsidP="002A22A7">
      <w:pPr>
        <w:rPr>
          <w:sz w:val="20"/>
          <w:lang w:val="en-US"/>
        </w:rPr>
      </w:pPr>
      <w:r>
        <w:rPr>
          <w:sz w:val="20"/>
          <w:lang w:val="en-US"/>
        </w:rPr>
        <w:t>Accepted.</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Default="002032DB" w:rsidP="00FB2D2F">
      <w:pPr>
        <w:rPr>
          <w:sz w:val="20"/>
          <w:lang w:val="en-US"/>
        </w:rPr>
      </w:pPr>
    </w:p>
    <w:p w14:paraId="5F01D56A" w14:textId="2C8AC752" w:rsidR="000D2A81" w:rsidRPr="00173419" w:rsidRDefault="000D2A81" w:rsidP="000D2A81">
      <w:pPr>
        <w:keepNext/>
        <w:rPr>
          <w:sz w:val="20"/>
          <w:lang w:val="en-US"/>
        </w:rPr>
      </w:pPr>
      <w:r>
        <w:rPr>
          <w:sz w:val="20"/>
          <w:lang w:val="en-US"/>
        </w:rPr>
        <w:t xml:space="preserve">A possible change is: </w:t>
      </w:r>
      <w:r w:rsidRPr="00173419">
        <w:rPr>
          <w:sz w:val="20"/>
          <w:lang w:val="en-US"/>
        </w:rPr>
        <w:t>Add the following sentence at the end of clause 9.22.2.8 (TXOP limits), at P1332 L10:</w:t>
      </w:r>
    </w:p>
    <w:p w14:paraId="646533AC" w14:textId="77777777" w:rsidR="000D2A81" w:rsidRPr="00173419" w:rsidRDefault="000D2A81" w:rsidP="000D2A81">
      <w:pPr>
        <w:keepNext/>
        <w:rPr>
          <w:sz w:val="20"/>
          <w:lang w:val="en-US"/>
        </w:rPr>
      </w:pPr>
    </w:p>
    <w:p w14:paraId="197C4A78" w14:textId="77777777" w:rsidR="000D2A81" w:rsidRPr="00173419" w:rsidRDefault="000D2A81" w:rsidP="000D2A81">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the associated CWmin and CWmax are also multiplied by </w:t>
      </w:r>
      <w:r w:rsidRPr="00173419">
        <w:rPr>
          <w:i/>
          <w:sz w:val="20"/>
          <w:lang w:val="en-US"/>
        </w:rPr>
        <w:t>n</w:t>
      </w:r>
      <w:r w:rsidRPr="00173419">
        <w:rPr>
          <w:sz w:val="20"/>
          <w:lang w:val="en-US"/>
        </w:rPr>
        <w:t xml:space="preserve">, where </w:t>
      </w:r>
      <w:r w:rsidRPr="00173419">
        <w:rPr>
          <w:i/>
          <w:sz w:val="20"/>
          <w:lang w:val="en-US"/>
        </w:rPr>
        <w:t>n</w:t>
      </w:r>
      <w:r w:rsidRPr="00173419">
        <w:rPr>
          <w:sz w:val="20"/>
          <w:lang w:val="en-US"/>
        </w:rPr>
        <w:t xml:space="preserve"> shall be between 1 and 2."</w:t>
      </w:r>
    </w:p>
    <w:p w14:paraId="3383B6A0" w14:textId="77777777" w:rsidR="000D2A81" w:rsidRPr="00173419" w:rsidRDefault="000D2A81"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7AD0A712" w14:textId="4C9FE4E0" w:rsidR="00FB2D2F" w:rsidRPr="00173419" w:rsidRDefault="000D2A81" w:rsidP="002A22A7">
      <w:pPr>
        <w:rPr>
          <w:sz w:val="20"/>
          <w:lang w:val="en-US"/>
        </w:rPr>
      </w:pPr>
      <w:r>
        <w:rPr>
          <w:sz w:val="20"/>
          <w:lang w:val="en-US"/>
        </w:rPr>
        <w:t>Rejected. The TGmc BRC discussed the comment and there was not sufficient support to make this change.</w:t>
      </w: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02F505D2" w14:textId="77777777" w:rsidR="006B7D67" w:rsidRDefault="006B7D67" w:rsidP="00FB2D2F">
      <w:pPr>
        <w:rPr>
          <w:sz w:val="20"/>
          <w:lang w:val="en-US"/>
        </w:rPr>
      </w:pPr>
    </w:p>
    <w:p w14:paraId="6EBCA03A" w14:textId="1CED1A4B" w:rsidR="006B7D67" w:rsidRPr="006B7D67" w:rsidRDefault="006B7D67" w:rsidP="006B7D67">
      <w:pPr>
        <w:rPr>
          <w:sz w:val="20"/>
          <w:lang w:val="en-US"/>
        </w:rPr>
      </w:pPr>
      <w:r w:rsidRPr="006B7D67">
        <w:rPr>
          <w:sz w:val="20"/>
          <w:lang w:val="en-US"/>
        </w:rPr>
        <w:t xml:space="preserve">The way this </w:t>
      </w:r>
      <w:r>
        <w:rPr>
          <w:sz w:val="20"/>
          <w:lang w:val="en-US"/>
        </w:rPr>
        <w:t xml:space="preserve">would </w:t>
      </w:r>
      <w:r w:rsidRPr="006B7D67">
        <w:rPr>
          <w:sz w:val="20"/>
          <w:lang w:val="en-US"/>
        </w:rPr>
        <w:t>operate is as follows:</w:t>
      </w:r>
    </w:p>
    <w:p w14:paraId="555BBEC4" w14:textId="77777777" w:rsidR="006B7D67" w:rsidRPr="006B7D67" w:rsidRDefault="006B7D67" w:rsidP="006B7D67">
      <w:pPr>
        <w:rPr>
          <w:sz w:val="20"/>
          <w:lang w:val="en-US"/>
        </w:rPr>
      </w:pPr>
      <w:r w:rsidRPr="006B7D67">
        <w:rPr>
          <w:sz w:val="20"/>
          <w:lang w:val="en-US"/>
        </w:rPr>
        <w:t xml:space="preserve"> </w:t>
      </w:r>
    </w:p>
    <w:p w14:paraId="3BB23C0C" w14:textId="7CCEE20F" w:rsidR="006B7D67" w:rsidRPr="006B7D67" w:rsidRDefault="006B7D67" w:rsidP="006B7D67">
      <w:pPr>
        <w:pStyle w:val="ListParagraph"/>
        <w:numPr>
          <w:ilvl w:val="0"/>
          <w:numId w:val="27"/>
        </w:numPr>
        <w:rPr>
          <w:sz w:val="20"/>
        </w:rPr>
      </w:pPr>
      <w:r w:rsidRPr="006B7D67">
        <w:rPr>
          <w:sz w:val="20"/>
        </w:rPr>
        <w:t>A minimal set of information is inserted into the Probe Request, enough for an AP to have some choice for the response rate</w:t>
      </w:r>
    </w:p>
    <w:p w14:paraId="3FB65FD7" w14:textId="538B961F" w:rsidR="006B7D67" w:rsidRPr="006B7D67" w:rsidRDefault="006B7D67" w:rsidP="006B7D67">
      <w:pPr>
        <w:pStyle w:val="ListParagraph"/>
        <w:numPr>
          <w:ilvl w:val="0"/>
          <w:numId w:val="27"/>
        </w:numPr>
        <w:rPr>
          <w:sz w:val="20"/>
        </w:rPr>
      </w:pPr>
      <w:r w:rsidRPr="006B7D67">
        <w:rPr>
          <w:sz w:val="20"/>
        </w:rPr>
        <w:t>One or more membership selectors are added, to allow the AP to abbreviate its Probe Response by also including membership selectors</w:t>
      </w:r>
    </w:p>
    <w:p w14:paraId="52879FE2" w14:textId="5B441264" w:rsidR="006B7D67" w:rsidRPr="006B7D67" w:rsidRDefault="006B7D67" w:rsidP="006B7D67">
      <w:pPr>
        <w:pStyle w:val="ListParagraph"/>
        <w:numPr>
          <w:ilvl w:val="0"/>
          <w:numId w:val="27"/>
        </w:numPr>
        <w:rPr>
          <w:sz w:val="20"/>
        </w:rPr>
      </w:pPr>
      <w:r w:rsidRPr="006B7D67">
        <w:rPr>
          <w:sz w:val="20"/>
        </w:rPr>
        <w:t>Optionally add a request element, ANQP elements, proprietary elements, etc.</w:t>
      </w:r>
    </w:p>
    <w:p w14:paraId="380D86B5" w14:textId="77777777" w:rsidR="006B7D67" w:rsidRPr="006B7D67" w:rsidRDefault="006B7D67" w:rsidP="006B7D67">
      <w:pPr>
        <w:rPr>
          <w:sz w:val="20"/>
          <w:lang w:val="en-US"/>
        </w:rPr>
      </w:pPr>
      <w:r w:rsidRPr="006B7D67">
        <w:rPr>
          <w:sz w:val="20"/>
          <w:lang w:val="en-US"/>
        </w:rPr>
        <w:lastRenderedPageBreak/>
        <w:t xml:space="preserve"> </w:t>
      </w:r>
    </w:p>
    <w:p w14:paraId="0CED0768" w14:textId="70F757B5" w:rsidR="006B7D67" w:rsidRPr="00173419" w:rsidRDefault="006B7D67" w:rsidP="006B7D67">
      <w:pPr>
        <w:rPr>
          <w:sz w:val="20"/>
          <w:lang w:val="en-US"/>
        </w:rPr>
      </w:pPr>
      <w:r w:rsidRPr="006B7D67">
        <w:rPr>
          <w:sz w:val="20"/>
          <w:lang w:val="en-US"/>
        </w:rPr>
        <w:t>In other words, when an AP does not recognize the membership selector, then it responds with a full Probe Response</w:t>
      </w:r>
      <w:r>
        <w:rPr>
          <w:sz w:val="20"/>
          <w:lang w:val="en-US"/>
        </w:rPr>
        <w:t xml:space="preserve"> as usual</w:t>
      </w:r>
      <w:r w:rsidRPr="006B7D67">
        <w:rPr>
          <w:sz w:val="20"/>
          <w:lang w:val="en-US"/>
        </w:rPr>
        <w:t>. But when the AP does recognize the the membership selector, then it can respond with a reduced Probe Response.</w:t>
      </w:r>
    </w:p>
    <w:p w14:paraId="46ACA26E" w14:textId="77777777" w:rsidR="00FB2D2F" w:rsidRPr="00173419" w:rsidRDefault="00FB2D2F" w:rsidP="00FB2D2F">
      <w:pPr>
        <w:rPr>
          <w:sz w:val="20"/>
          <w:lang w:val="en-US"/>
        </w:rPr>
      </w:pPr>
    </w:p>
    <w:p w14:paraId="67E0235C" w14:textId="77777777" w:rsidR="00FB2D2F" w:rsidRPr="00DF5591" w:rsidRDefault="00FB2D2F" w:rsidP="00FB2D2F">
      <w:pPr>
        <w:keepNext/>
        <w:rPr>
          <w:sz w:val="20"/>
          <w:lang w:val="en-US"/>
        </w:rPr>
      </w:pPr>
      <w:r w:rsidRPr="00DF5591">
        <w:rPr>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6A42A687" w14:textId="77777777" w:rsidR="00883D61" w:rsidRDefault="00883D61" w:rsidP="002A22A7">
      <w:pPr>
        <w:rPr>
          <w:sz w:val="20"/>
          <w:lang w:val="en-US"/>
        </w:rPr>
      </w:pPr>
    </w:p>
    <w:p w14:paraId="19FB8248" w14:textId="59ABDB5C" w:rsidR="00883D61" w:rsidRPr="00DF5591" w:rsidRDefault="00DF5591" w:rsidP="002A22A7">
      <w:pPr>
        <w:rPr>
          <w:b/>
          <w:sz w:val="20"/>
          <w:lang w:val="en-US"/>
        </w:rPr>
      </w:pPr>
      <w:r w:rsidRPr="00DF5591">
        <w:rPr>
          <w:b/>
          <w:sz w:val="20"/>
          <w:lang w:val="en-US"/>
        </w:rPr>
        <w:t>Proposed resolution</w:t>
      </w:r>
    </w:p>
    <w:p w14:paraId="16E736C1" w14:textId="77777777" w:rsidR="00DF5591" w:rsidRPr="00173419" w:rsidRDefault="00DF5591" w:rsidP="00DF5591">
      <w:pPr>
        <w:rPr>
          <w:sz w:val="20"/>
          <w:lang w:val="en-US"/>
        </w:rPr>
      </w:pPr>
      <w:r>
        <w:rPr>
          <w:sz w:val="20"/>
          <w:lang w:val="en-US"/>
        </w:rPr>
        <w:t>Rejected. The TGmc BRC discussed the comment and there was not sufficient support to make this change.</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2ADC8" w14:textId="77777777" w:rsidR="00217C1C" w:rsidRDefault="00217C1C">
      <w:r>
        <w:separator/>
      </w:r>
    </w:p>
  </w:endnote>
  <w:endnote w:type="continuationSeparator" w:id="0">
    <w:p w14:paraId="48DAF6BD" w14:textId="77777777" w:rsidR="00217C1C" w:rsidRDefault="0021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3C41FA">
    <w:pPr>
      <w:pStyle w:val="Footer"/>
      <w:tabs>
        <w:tab w:val="clear" w:pos="6480"/>
        <w:tab w:val="center" w:pos="4680"/>
        <w:tab w:val="right" w:pos="9360"/>
      </w:tabs>
      <w:rPr>
        <w:lang w:eastAsia="ko-KR"/>
      </w:rPr>
    </w:pPr>
    <w:fldSimple w:instr=" SUBJECT  \* MERGEFORMAT ">
      <w:r w:rsidR="00BE60C8">
        <w:t>Submission</w:t>
      </w:r>
    </w:fldSimple>
    <w:r w:rsidR="00BE60C8">
      <w:tab/>
      <w:t xml:space="preserve">page </w:t>
    </w:r>
    <w:r w:rsidR="00BE60C8">
      <w:fldChar w:fldCharType="begin"/>
    </w:r>
    <w:r w:rsidR="00BE60C8">
      <w:instrText xml:space="preserve">page </w:instrText>
    </w:r>
    <w:r w:rsidR="00BE60C8">
      <w:fldChar w:fldCharType="separate"/>
    </w:r>
    <w:r w:rsidR="0075334F">
      <w:rPr>
        <w:noProof/>
      </w:rPr>
      <w:t>1</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A565" w14:textId="77777777" w:rsidR="00217C1C" w:rsidRDefault="00217C1C">
      <w:r>
        <w:separator/>
      </w:r>
    </w:p>
  </w:footnote>
  <w:footnote w:type="continuationSeparator" w:id="0">
    <w:p w14:paraId="4532EBA2" w14:textId="77777777" w:rsidR="00217C1C" w:rsidRDefault="00217C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3C41FA">
    <w:pPr>
      <w:pStyle w:val="Header"/>
      <w:tabs>
        <w:tab w:val="clear" w:pos="6480"/>
        <w:tab w:val="center" w:pos="4680"/>
        <w:tab w:val="right" w:pos="9360"/>
      </w:tabs>
    </w:pPr>
    <w:fldSimple w:instr=" KEYWORDS  \* MERGEFORMAT ">
      <w:r w:rsidR="0018167E">
        <w:t>November 2015</w:t>
      </w:r>
    </w:fldSimple>
    <w:r w:rsidR="00BE60C8">
      <w:tab/>
    </w:r>
    <w:r w:rsidR="00BE60C8">
      <w:tab/>
    </w:r>
    <w:fldSimple w:instr=" TITLE  \* MERGEFORMAT ">
      <w:r w:rsidR="00921967">
        <w:t>doc.: IEEE 802.11-15/1147r5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7C30C92"/>
    <w:multiLevelType w:val="hybridMultilevel"/>
    <w:tmpl w:val="EAC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2C31"/>
    <w:multiLevelType w:val="hybridMultilevel"/>
    <w:tmpl w:val="0D1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8"/>
  </w:num>
  <w:num w:numId="8">
    <w:abstractNumId w:val="25"/>
  </w:num>
  <w:num w:numId="9">
    <w:abstractNumId w:val="17"/>
  </w:num>
  <w:num w:numId="10">
    <w:abstractNumId w:val="0"/>
  </w:num>
  <w:num w:numId="11">
    <w:abstractNumId w:val="14"/>
  </w:num>
  <w:num w:numId="12">
    <w:abstractNumId w:val="16"/>
  </w:num>
  <w:num w:numId="13">
    <w:abstractNumId w:val="7"/>
  </w:num>
  <w:num w:numId="14">
    <w:abstractNumId w:val="26"/>
  </w:num>
  <w:num w:numId="15">
    <w:abstractNumId w:val="23"/>
  </w:num>
  <w:num w:numId="16">
    <w:abstractNumId w:val="5"/>
  </w:num>
  <w:num w:numId="17">
    <w:abstractNumId w:val="21"/>
  </w:num>
  <w:num w:numId="18">
    <w:abstractNumId w:val="15"/>
  </w:num>
  <w:num w:numId="19">
    <w:abstractNumId w:val="22"/>
  </w:num>
  <w:num w:numId="20">
    <w:abstractNumId w:val="2"/>
  </w:num>
  <w:num w:numId="21">
    <w:abstractNumId w:val="24"/>
  </w:num>
  <w:num w:numId="22">
    <w:abstractNumId w:val="6"/>
  </w:num>
  <w:num w:numId="23">
    <w:abstractNumId w:val="12"/>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4BA9"/>
    <w:rsid w:val="00006E2E"/>
    <w:rsid w:val="000137EA"/>
    <w:rsid w:val="0001689E"/>
    <w:rsid w:val="00017957"/>
    <w:rsid w:val="0002065E"/>
    <w:rsid w:val="000208E0"/>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5AD0"/>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2A81"/>
    <w:rsid w:val="000D3D03"/>
    <w:rsid w:val="000D6387"/>
    <w:rsid w:val="000D725F"/>
    <w:rsid w:val="000E1171"/>
    <w:rsid w:val="000E1FD8"/>
    <w:rsid w:val="000E33D1"/>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2CB5"/>
    <w:rsid w:val="00113C73"/>
    <w:rsid w:val="00113E47"/>
    <w:rsid w:val="001157E0"/>
    <w:rsid w:val="00116100"/>
    <w:rsid w:val="0011727D"/>
    <w:rsid w:val="0011797F"/>
    <w:rsid w:val="00120AF1"/>
    <w:rsid w:val="00121D32"/>
    <w:rsid w:val="0012304C"/>
    <w:rsid w:val="00123A37"/>
    <w:rsid w:val="001247AD"/>
    <w:rsid w:val="00126406"/>
    <w:rsid w:val="00127C46"/>
    <w:rsid w:val="00132E5B"/>
    <w:rsid w:val="00134757"/>
    <w:rsid w:val="00137613"/>
    <w:rsid w:val="00137AAC"/>
    <w:rsid w:val="00140C1A"/>
    <w:rsid w:val="00142552"/>
    <w:rsid w:val="00142DDC"/>
    <w:rsid w:val="0014324B"/>
    <w:rsid w:val="0014590B"/>
    <w:rsid w:val="001463A3"/>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17C1C"/>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4462"/>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5A96"/>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178"/>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41FA"/>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27E2A"/>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77485"/>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5756F"/>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67"/>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75E8"/>
    <w:rsid w:val="006E7932"/>
    <w:rsid w:val="006F0CF6"/>
    <w:rsid w:val="006F14F8"/>
    <w:rsid w:val="006F210C"/>
    <w:rsid w:val="006F5B4F"/>
    <w:rsid w:val="006F6551"/>
    <w:rsid w:val="006F79B1"/>
    <w:rsid w:val="006F79C0"/>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2B6"/>
    <w:rsid w:val="00750CF6"/>
    <w:rsid w:val="00751D70"/>
    <w:rsid w:val="007521A0"/>
    <w:rsid w:val="0075220C"/>
    <w:rsid w:val="0075334F"/>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014C"/>
    <w:rsid w:val="00780E2C"/>
    <w:rsid w:val="00783834"/>
    <w:rsid w:val="00783DD8"/>
    <w:rsid w:val="00784621"/>
    <w:rsid w:val="00784BE5"/>
    <w:rsid w:val="00785D6F"/>
    <w:rsid w:val="00786734"/>
    <w:rsid w:val="00790E09"/>
    <w:rsid w:val="00791B3C"/>
    <w:rsid w:val="00791DAE"/>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9FD"/>
    <w:rsid w:val="00866E22"/>
    <w:rsid w:val="00867489"/>
    <w:rsid w:val="00867A3B"/>
    <w:rsid w:val="00867D5A"/>
    <w:rsid w:val="00867E7C"/>
    <w:rsid w:val="00871037"/>
    <w:rsid w:val="00871FDA"/>
    <w:rsid w:val="00872B1A"/>
    <w:rsid w:val="00874250"/>
    <w:rsid w:val="00874BE1"/>
    <w:rsid w:val="008755D0"/>
    <w:rsid w:val="00876CB7"/>
    <w:rsid w:val="00877780"/>
    <w:rsid w:val="00880603"/>
    <w:rsid w:val="00880B13"/>
    <w:rsid w:val="00881166"/>
    <w:rsid w:val="0088150F"/>
    <w:rsid w:val="00882DF0"/>
    <w:rsid w:val="00883880"/>
    <w:rsid w:val="00883D61"/>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967"/>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E7813"/>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06B"/>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61"/>
    <w:rsid w:val="00BB00DC"/>
    <w:rsid w:val="00BB0C97"/>
    <w:rsid w:val="00BB2056"/>
    <w:rsid w:val="00BB3A7E"/>
    <w:rsid w:val="00BB41EC"/>
    <w:rsid w:val="00BB459D"/>
    <w:rsid w:val="00BB5219"/>
    <w:rsid w:val="00BB65F9"/>
    <w:rsid w:val="00BC0134"/>
    <w:rsid w:val="00BC01CD"/>
    <w:rsid w:val="00BC1E8A"/>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022"/>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C37"/>
    <w:rsid w:val="00DF5591"/>
    <w:rsid w:val="00DF568E"/>
    <w:rsid w:val="00DF691D"/>
    <w:rsid w:val="00DF710E"/>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274"/>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3A0D"/>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8D79-86AC-524E-ACE0-CF79B845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104</TotalTime>
  <Pages>7</Pages>
  <Words>2109</Words>
  <Characters>9874</Characters>
  <Application>Microsoft Macintosh Word</Application>
  <DocSecurity>0</DocSecurity>
  <Lines>429</Lines>
  <Paragraphs>285</Paragraphs>
  <ScaleCrop>false</ScaleCrop>
  <HeadingPairs>
    <vt:vector size="2" baseType="variant">
      <vt:variant>
        <vt:lpstr>Title</vt:lpstr>
      </vt:variant>
      <vt:variant>
        <vt:i4>1</vt:i4>
      </vt:variant>
    </vt:vector>
  </HeadingPairs>
  <TitlesOfParts>
    <vt:vector size="1" baseType="lpstr">
      <vt:lpstr>doc.: IEEE 802.11-15/1147r5</vt:lpstr>
    </vt:vector>
  </TitlesOfParts>
  <Manager/>
  <Company>Qualcomm</Company>
  <LinksUpToDate>false</LinksUpToDate>
  <CharactersWithSpaces>11698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802.11-15/1147r6</dc:title>
  <dc:subject>Submission</dc:subject>
  <dc:creator>Menzo Wentink</dc:creator>
  <cp:keywords>November 2015</cp:keywords>
  <dc:description/>
  <cp:lastModifiedBy>Menzo Wentink</cp:lastModifiedBy>
  <cp:revision>9</cp:revision>
  <cp:lastPrinted>2012-11-14T23:36:00Z</cp:lastPrinted>
  <dcterms:created xsi:type="dcterms:W3CDTF">2015-11-12T22:12:00Z</dcterms:created>
  <dcterms:modified xsi:type="dcterms:W3CDTF">2015-11-12T23:56:00Z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