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183F419D" w:rsidR="00CA09B2" w:rsidRDefault="0003359A" w:rsidP="005D40E6">
            <w:pPr>
              <w:pStyle w:val="T2"/>
            </w:pPr>
            <w:r>
              <w:t>LB</w:t>
            </w:r>
            <w:r w:rsidR="004628C1">
              <w:t>1000</w:t>
            </w:r>
            <w:r>
              <w:t xml:space="preserve"> </w:t>
            </w:r>
            <w:r w:rsidR="00684532">
              <w:t>CID</w:t>
            </w:r>
            <w:r w:rsidR="004628C1">
              <w:t>59</w:t>
            </w:r>
            <w:r w:rsidR="005D40E6">
              <w:t>63</w:t>
            </w:r>
            <w:r>
              <w:t xml:space="preserve"> </w:t>
            </w:r>
            <w:r w:rsidR="005D40E6">
              <w:t>BA Overflow Signaling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2F7EA9">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8101A47" w:rsidR="00CA09B2" w:rsidRDefault="00CA09B2">
            <w:pPr>
              <w:pStyle w:val="T2"/>
              <w:spacing w:after="0"/>
              <w:ind w:left="0" w:right="0"/>
              <w:rPr>
                <w:b w:val="0"/>
                <w:sz w:val="20"/>
              </w:rPr>
            </w:pPr>
          </w:p>
        </w:tc>
        <w:tc>
          <w:tcPr>
            <w:tcW w:w="1582" w:type="dxa"/>
            <w:vAlign w:val="center"/>
          </w:tcPr>
          <w:p w14:paraId="70817B2C" w14:textId="4DC4F5A2"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632BAAC" w:rsidR="00813B60" w:rsidRDefault="00813B60">
            <w:pPr>
              <w:pStyle w:val="T2"/>
              <w:spacing w:after="0"/>
              <w:ind w:left="0" w:right="0"/>
              <w:rPr>
                <w:b w:val="0"/>
                <w:sz w:val="20"/>
              </w:rPr>
            </w:pPr>
          </w:p>
        </w:tc>
        <w:tc>
          <w:tcPr>
            <w:tcW w:w="1582" w:type="dxa"/>
            <w:vAlign w:val="center"/>
          </w:tcPr>
          <w:p w14:paraId="306E361E" w14:textId="3CCCC1C7"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597ABDAC" w:rsidR="00813B60" w:rsidRDefault="00813B60">
            <w:pPr>
              <w:pStyle w:val="T2"/>
              <w:spacing w:after="0"/>
              <w:ind w:left="0" w:right="0"/>
              <w:rPr>
                <w:b w:val="0"/>
                <w:sz w:val="20"/>
              </w:rPr>
            </w:pPr>
          </w:p>
        </w:tc>
        <w:tc>
          <w:tcPr>
            <w:tcW w:w="1582" w:type="dxa"/>
            <w:vAlign w:val="center"/>
          </w:tcPr>
          <w:p w14:paraId="7CFADDC4" w14:textId="333027FC"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5D40E6" w:rsidRDefault="005D40E6">
                            <w:pPr>
                              <w:pStyle w:val="T1"/>
                              <w:spacing w:after="120"/>
                            </w:pPr>
                            <w:r>
                              <w:t>Abstract</w:t>
                            </w:r>
                          </w:p>
                          <w:p w14:paraId="3B7E369A" w14:textId="2DBB6376" w:rsidR="005D40E6" w:rsidRDefault="005D40E6" w:rsidP="0043588D">
                            <w:r>
                              <w:t>This document proposes a resolution for CID 5963 of LB1000 (the first sponsor ballot of the TGmc draft), a comment on TGm Draft 4.0 suggesting the addition of a bit in the BA Control field to indicate a RX Buffer overlow condition has occurred at the Block Ack recipient (not the recipient of the BlockAck frame, but the recipient in a Block Ack session).</w:t>
                            </w:r>
                          </w:p>
                          <w:p w14:paraId="581F493E" w14:textId="78B10E4A" w:rsidR="005D40E6" w:rsidRDefault="005D40E6"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5D40E6" w:rsidRDefault="005D40E6">
                      <w:pPr>
                        <w:pStyle w:val="T1"/>
                        <w:spacing w:after="120"/>
                      </w:pPr>
                      <w:r>
                        <w:t>Abstract</w:t>
                      </w:r>
                    </w:p>
                    <w:p w14:paraId="3B7E369A" w14:textId="2DBB6376" w:rsidR="005D40E6" w:rsidRDefault="005D40E6" w:rsidP="0043588D">
                      <w:r>
                        <w:t xml:space="preserve">This document proposes a resolution for CID 5963 of LB1000 (the first sponsor ballot of the </w:t>
                      </w:r>
                      <w:proofErr w:type="spellStart"/>
                      <w:r>
                        <w:t>TGmc</w:t>
                      </w:r>
                      <w:proofErr w:type="spellEnd"/>
                      <w:r>
                        <w:t xml:space="preserve"> draft), a comment on </w:t>
                      </w:r>
                      <w:proofErr w:type="spellStart"/>
                      <w:r>
                        <w:t>TGm</w:t>
                      </w:r>
                      <w:proofErr w:type="spellEnd"/>
                      <w:r>
                        <w:t xml:space="preserve"> Draft 4.0 suggesting the addition of a bit in the BA Control field to indicate a RX Buffer </w:t>
                      </w:r>
                      <w:proofErr w:type="spellStart"/>
                      <w:r>
                        <w:t>overlow</w:t>
                      </w:r>
                      <w:proofErr w:type="spellEnd"/>
                      <w:r>
                        <w:t xml:space="preserve"> condition has occurred at the Block Ack recipient (not the recipient of the </w:t>
                      </w:r>
                      <w:proofErr w:type="spellStart"/>
                      <w:r>
                        <w:t>BlockAck</w:t>
                      </w:r>
                      <w:proofErr w:type="spellEnd"/>
                      <w:r>
                        <w:t xml:space="preserve"> frame, but the recipient in a Block Ack session).</w:t>
                      </w:r>
                    </w:p>
                    <w:p w14:paraId="581F493E" w14:textId="78B10E4A" w:rsidR="005D40E6" w:rsidRDefault="005D40E6"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Default="000467A2" w:rsidP="006E621A">
      <w:pPr>
        <w:rPr>
          <w:sz w:val="24"/>
        </w:rPr>
      </w:pPr>
    </w:p>
    <w:p w14:paraId="4F0E8218" w14:textId="77777777" w:rsidR="005D40E6" w:rsidRDefault="006E621A" w:rsidP="009D55A8">
      <w:pPr>
        <w:ind w:left="720" w:hanging="720"/>
        <w:rPr>
          <w:sz w:val="24"/>
        </w:rPr>
      </w:pPr>
      <w:r>
        <w:rPr>
          <w:sz w:val="24"/>
        </w:rPr>
        <w:t>R</w:t>
      </w:r>
      <w:r w:rsidR="005D40E6">
        <w:rPr>
          <w:sz w:val="24"/>
        </w:rPr>
        <w:t>0</w:t>
      </w:r>
      <w:r>
        <w:rPr>
          <w:sz w:val="24"/>
        </w:rPr>
        <w:t xml:space="preserve">: </w:t>
      </w:r>
      <w:r w:rsidR="005D40E6">
        <w:rPr>
          <w:sz w:val="24"/>
        </w:rPr>
        <w:t>initial</w:t>
      </w:r>
    </w:p>
    <w:p w14:paraId="2509871E" w14:textId="48F4D9D1" w:rsidR="000467A2" w:rsidRDefault="000467A2" w:rsidP="00F81E85">
      <w:pPr>
        <w:rPr>
          <w:sz w:val="24"/>
        </w:rPr>
      </w:pPr>
    </w:p>
    <w:p w14:paraId="19993010" w14:textId="77777777" w:rsidR="00CE5780" w:rsidRDefault="00CE5780" w:rsidP="003813A5">
      <w:pPr>
        <w:autoSpaceDE w:val="0"/>
        <w:autoSpaceDN w:val="0"/>
        <w:adjustRightInd w:val="0"/>
        <w:ind w:left="720" w:hanging="720"/>
        <w:rPr>
          <w:sz w:val="24"/>
        </w:rPr>
      </w:pP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E433AB" w:rsidRPr="0003359A" w14:paraId="7D063DA5" w14:textId="77777777" w:rsidTr="004628C1">
        <w:trPr>
          <w:trHeight w:val="4301"/>
        </w:trPr>
        <w:tc>
          <w:tcPr>
            <w:tcW w:w="661" w:type="dxa"/>
          </w:tcPr>
          <w:p w14:paraId="08CF304B" w14:textId="7764FA5A" w:rsidR="00E433AB" w:rsidRPr="0003359A" w:rsidRDefault="00E433AB" w:rsidP="005D40E6">
            <w:pPr>
              <w:jc w:val="right"/>
              <w:rPr>
                <w:rFonts w:ascii="Arial" w:hAnsi="Arial" w:cs="Arial"/>
                <w:sz w:val="18"/>
                <w:lang w:val="en-US"/>
              </w:rPr>
            </w:pPr>
            <w:r>
              <w:rPr>
                <w:rFonts w:ascii="Arial" w:hAnsi="Arial" w:cs="Arial"/>
                <w:sz w:val="18"/>
                <w:lang w:val="en-US"/>
              </w:rPr>
              <w:t>5963</w:t>
            </w:r>
          </w:p>
        </w:tc>
        <w:tc>
          <w:tcPr>
            <w:tcW w:w="974" w:type="dxa"/>
          </w:tcPr>
          <w:p w14:paraId="0F7C5A95" w14:textId="77777777" w:rsidR="00E433AB" w:rsidRPr="0003359A" w:rsidRDefault="00E433A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433FAACE" w:rsidR="00E433AB" w:rsidRDefault="00E433AB" w:rsidP="00CC793B">
            <w:pPr>
              <w:jc w:val="right"/>
              <w:rPr>
                <w:rFonts w:ascii="Arial" w:hAnsi="Arial" w:cs="Arial"/>
              </w:rPr>
            </w:pPr>
            <w:r>
              <w:rPr>
                <w:rFonts w:ascii="Arial" w:hAnsi="Arial" w:cs="Arial"/>
              </w:rPr>
              <w:t>602.25</w:t>
            </w:r>
          </w:p>
        </w:tc>
        <w:tc>
          <w:tcPr>
            <w:tcW w:w="611" w:type="dxa"/>
          </w:tcPr>
          <w:p w14:paraId="465E2818" w14:textId="186A2C75" w:rsidR="00E433AB" w:rsidRPr="00CC793B" w:rsidRDefault="00E433AB" w:rsidP="0003359A">
            <w:pPr>
              <w:rPr>
                <w:rFonts w:ascii="Arial" w:hAnsi="Arial" w:cs="Arial"/>
              </w:rPr>
            </w:pPr>
            <w:r>
              <w:rPr>
                <w:rFonts w:ascii="Arial" w:hAnsi="Arial" w:cs="Arial"/>
              </w:rPr>
              <w:t>8.3.1.9.1</w:t>
            </w:r>
          </w:p>
        </w:tc>
        <w:tc>
          <w:tcPr>
            <w:tcW w:w="2253" w:type="dxa"/>
          </w:tcPr>
          <w:p w14:paraId="2534F697" w14:textId="5001F6BA" w:rsidR="00E433AB" w:rsidRDefault="00E433AB" w:rsidP="004628C1">
            <w:pPr>
              <w:jc w:val="left"/>
              <w:rPr>
                <w:rFonts w:ascii="Arial" w:hAnsi="Arial" w:cs="Arial"/>
              </w:rPr>
            </w:pPr>
            <w:r>
              <w:rPr>
                <w:rFonts w:ascii="Arial" w:hAnsi="Arial" w:cs="Arial"/>
              </w:rPr>
              <w:t>Just as the DMG STA exchange can include information about the current RX buffer status, non-DMG STAs would benefit by similar information.</w:t>
            </w:r>
          </w:p>
        </w:tc>
        <w:tc>
          <w:tcPr>
            <w:tcW w:w="2160" w:type="dxa"/>
          </w:tcPr>
          <w:p w14:paraId="7BE4B879" w14:textId="533B00AB" w:rsidR="00E433AB" w:rsidRDefault="00E433AB" w:rsidP="004628C1">
            <w:pPr>
              <w:jc w:val="left"/>
              <w:rPr>
                <w:rFonts w:ascii="Arial" w:hAnsi="Arial" w:cs="Arial"/>
              </w:rPr>
            </w:pPr>
            <w:r>
              <w:rPr>
                <w:rFonts w:ascii="Arial" w:hAnsi="Arial" w:cs="Arial"/>
              </w:rPr>
              <w:t>Include a bit in the BA frame that signals a buffer FULL condition at the recipient.</w:t>
            </w:r>
          </w:p>
        </w:tc>
        <w:tc>
          <w:tcPr>
            <w:tcW w:w="2250" w:type="dxa"/>
          </w:tcPr>
          <w:p w14:paraId="1085EDF3" w14:textId="396F02EC" w:rsidR="00E433AB" w:rsidRDefault="00E433AB" w:rsidP="00A20449">
            <w:pPr>
              <w:jc w:val="left"/>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execute proposed changes from  11-15-</w:t>
            </w:r>
            <w:r w:rsidR="00A20449">
              <w:rPr>
                <w:rFonts w:ascii="Arial" w:hAnsi="Arial" w:cs="Arial"/>
                <w:lang w:val="en-US"/>
              </w:rPr>
              <w:t>1023</w:t>
            </w:r>
            <w:r>
              <w:rPr>
                <w:rFonts w:ascii="Arial" w:hAnsi="Arial" w:cs="Arial"/>
                <w:lang w:val="en-US"/>
              </w:rPr>
              <w:t>r0 found under all headings which include CID5963</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6D2C95B7" w14:textId="77777777" w:rsidR="00F14747" w:rsidRDefault="00E433AB">
      <w:pPr>
        <w:rPr>
          <w:sz w:val="24"/>
        </w:rPr>
      </w:pPr>
      <w:r>
        <w:rPr>
          <w:sz w:val="24"/>
        </w:rPr>
        <w:t>As per the comment, some STAs can benefit by providing immediate RX Buffer status information.</w:t>
      </w:r>
    </w:p>
    <w:p w14:paraId="44DAB004" w14:textId="77777777" w:rsidR="00F14747" w:rsidRDefault="00F14747">
      <w:pPr>
        <w:rPr>
          <w:sz w:val="24"/>
        </w:rPr>
      </w:pPr>
    </w:p>
    <w:p w14:paraId="1FF4D4FE" w14:textId="66A7862F" w:rsidR="00F14747" w:rsidRDefault="00F14747">
      <w:pPr>
        <w:rPr>
          <w:sz w:val="24"/>
        </w:rPr>
      </w:pPr>
      <w:r>
        <w:rPr>
          <w:sz w:val="24"/>
        </w:rPr>
        <w:t>If a</w:t>
      </w:r>
      <w:r w:rsidR="00294C64">
        <w:rPr>
          <w:sz w:val="24"/>
        </w:rPr>
        <w:t>n</w:t>
      </w:r>
      <w:r>
        <w:rPr>
          <w:sz w:val="24"/>
        </w:rPr>
        <w:t xml:space="preserve"> RX Buffer Overflow event occurs during the reception of an AMPDU, the recipient will discard any MPDUs that exceed the </w:t>
      </w:r>
      <w:r w:rsidR="00294C64">
        <w:rPr>
          <w:sz w:val="24"/>
        </w:rPr>
        <w:t>existing resources and return a BA that indicates failed receipt of a potentially large number of MPDUs. The AMPDU transmitter will not be able to reliably determine whether the missing acknowledgements are due to interference, poor MCS choice, or resource unavailability. Having an RX OFLO bit would provide a strong indicator of the source of the missing acknowledgements in this case, allowing the AMPDU transmitter to avoid making a costly error by attributing the loss to some other cause.</w:t>
      </w:r>
    </w:p>
    <w:p w14:paraId="601D3EAC" w14:textId="77777777" w:rsidR="00F14747" w:rsidRDefault="00F14747">
      <w:pPr>
        <w:rPr>
          <w:sz w:val="24"/>
        </w:rPr>
      </w:pPr>
    </w:p>
    <w:p w14:paraId="0363926A" w14:textId="7A287E53" w:rsidR="00F14747" w:rsidRDefault="00F14747">
      <w:pPr>
        <w:rPr>
          <w:sz w:val="24"/>
        </w:rPr>
      </w:pPr>
      <w:r>
        <w:rPr>
          <w:sz w:val="24"/>
        </w:rPr>
        <w:lastRenderedPageBreak/>
        <w:t xml:space="preserve">One </w:t>
      </w:r>
      <w:r w:rsidR="00294C64">
        <w:rPr>
          <w:sz w:val="24"/>
        </w:rPr>
        <w:t>possible option to deal with an RX Overflow</w:t>
      </w:r>
      <w:r>
        <w:rPr>
          <w:sz w:val="24"/>
        </w:rPr>
        <w:t xml:space="preserve"> problem is </w:t>
      </w:r>
      <w:r w:rsidR="00294C64">
        <w:rPr>
          <w:sz w:val="24"/>
        </w:rPr>
        <w:t xml:space="preserve">for the AMPDU recipient to negotiate </w:t>
      </w:r>
      <w:r>
        <w:rPr>
          <w:sz w:val="24"/>
        </w:rPr>
        <w:t xml:space="preserve">a smaller BA window during </w:t>
      </w:r>
      <w:r w:rsidR="00294C64">
        <w:rPr>
          <w:sz w:val="24"/>
        </w:rPr>
        <w:t xml:space="preserve">the </w:t>
      </w:r>
      <w:r>
        <w:rPr>
          <w:sz w:val="24"/>
        </w:rPr>
        <w:t xml:space="preserve">BA </w:t>
      </w:r>
      <w:r w:rsidR="00294C64">
        <w:rPr>
          <w:sz w:val="24"/>
        </w:rPr>
        <w:t xml:space="preserve">setup </w:t>
      </w:r>
      <w:r>
        <w:rPr>
          <w:sz w:val="24"/>
        </w:rPr>
        <w:t xml:space="preserve">negotiation, but </w:t>
      </w:r>
      <w:r w:rsidR="00294C64">
        <w:rPr>
          <w:sz w:val="24"/>
        </w:rPr>
        <w:t>such a</w:t>
      </w:r>
      <w:r>
        <w:rPr>
          <w:sz w:val="24"/>
        </w:rPr>
        <w:t xml:space="preserve"> proposal does not </w:t>
      </w:r>
      <w:r w:rsidR="00294C64">
        <w:rPr>
          <w:sz w:val="24"/>
        </w:rPr>
        <w:t>effectively resolve the problem of highly dynamic</w:t>
      </w:r>
      <w:r>
        <w:rPr>
          <w:sz w:val="24"/>
        </w:rPr>
        <w:t xml:space="preserve"> </w:t>
      </w:r>
      <w:r w:rsidR="00294C64">
        <w:rPr>
          <w:sz w:val="24"/>
        </w:rPr>
        <w:t xml:space="preserve">resource availability, especially where there is a </w:t>
      </w:r>
      <w:r>
        <w:rPr>
          <w:sz w:val="24"/>
        </w:rPr>
        <w:t>high varianc</w:t>
      </w:r>
      <w:r w:rsidR="00294C64">
        <w:rPr>
          <w:sz w:val="24"/>
        </w:rPr>
        <w:t>e in that availability.</w:t>
      </w:r>
    </w:p>
    <w:p w14:paraId="40553591" w14:textId="77777777" w:rsidR="00F14747" w:rsidRDefault="00F14747">
      <w:pPr>
        <w:rPr>
          <w:sz w:val="24"/>
        </w:rPr>
      </w:pPr>
    </w:p>
    <w:p w14:paraId="7C13239F" w14:textId="77777777" w:rsidR="00294C64" w:rsidRDefault="00E433AB">
      <w:pPr>
        <w:rPr>
          <w:sz w:val="24"/>
        </w:rPr>
      </w:pPr>
      <w:r>
        <w:rPr>
          <w:sz w:val="24"/>
        </w:rPr>
        <w:t xml:space="preserve">There are multiple mechansisms that could be considered to </w:t>
      </w:r>
      <w:r w:rsidR="00294C64">
        <w:rPr>
          <w:sz w:val="24"/>
        </w:rPr>
        <w:t>provide RX Overflow information as part of the BA:</w:t>
      </w:r>
    </w:p>
    <w:p w14:paraId="496E451E" w14:textId="77777777" w:rsidR="00E433AB" w:rsidRDefault="00E433AB">
      <w:pPr>
        <w:rPr>
          <w:sz w:val="24"/>
        </w:rPr>
      </w:pPr>
    </w:p>
    <w:p w14:paraId="58BAEDE0" w14:textId="46EE7BEC" w:rsidR="0004195B" w:rsidRDefault="00E433AB">
      <w:pPr>
        <w:rPr>
          <w:sz w:val="24"/>
        </w:rPr>
      </w:pPr>
      <w:r>
        <w:rPr>
          <w:sz w:val="24"/>
        </w:rPr>
        <w:t xml:space="preserve">As an example, note that the DMG introduced </w:t>
      </w:r>
      <w:r w:rsidR="00294C64">
        <w:rPr>
          <w:sz w:val="24"/>
        </w:rPr>
        <w:t xml:space="preserve">the </w:t>
      </w:r>
      <w:r>
        <w:rPr>
          <w:sz w:val="24"/>
        </w:rPr>
        <w:t xml:space="preserve">Extended Compressed Block Ack frame </w:t>
      </w:r>
      <w:r w:rsidR="00294C64">
        <w:rPr>
          <w:sz w:val="24"/>
        </w:rPr>
        <w:t xml:space="preserve">that </w:t>
      </w:r>
      <w:r>
        <w:rPr>
          <w:sz w:val="24"/>
        </w:rPr>
        <w:t xml:space="preserve">includes an additional octet in the BA Information field that carries the RBUFCAP field, which includes an unsigned integer that represents the current RX buffer capacity at the time of transmission of the BA frame. The RBUFCAP field adds one octet to the BA frame, making it different in octet count as compared to the only commonly used BA variant today, the Compressed Block Ack. </w:t>
      </w:r>
      <w:r w:rsidR="00294C64">
        <w:rPr>
          <w:sz w:val="24"/>
        </w:rPr>
        <w:t>But u</w:t>
      </w:r>
      <w:r>
        <w:rPr>
          <w:sz w:val="24"/>
        </w:rPr>
        <w:t xml:space="preserve">sing the </w:t>
      </w:r>
      <w:r w:rsidR="0004195B">
        <w:rPr>
          <w:sz w:val="24"/>
        </w:rPr>
        <w:t>Extended Compressed Block Ack frame in 2.4 GHz and 5 GHz spectrum could introduce issues with legacy STA based on the different length and the different encoding used to signal the different format. I.e. a combination of the Multi-TID, Compressed Bitmap and GCR bit fields is used to indicate the Extended Compressed format, with the Multi-TID bit being set to 1 and the Compressed Bitmap subfield being set to 0. This bit field combinationcould confuse a legacy STA. Additional issues could arise from EIFS value calculations based on either PHY or MAC information. (see dot11DynamicEIFSActivated).</w:t>
      </w:r>
      <w:r w:rsidR="00294C64" w:rsidRPr="00294C64">
        <w:rPr>
          <w:sz w:val="24"/>
        </w:rPr>
        <w:t xml:space="preserve"> </w:t>
      </w:r>
      <w:r w:rsidR="00294C64">
        <w:rPr>
          <w:sz w:val="24"/>
        </w:rPr>
        <w:t xml:space="preserve">DMG STAs operate in a greenfield environment where backwards compatibility and coexistence are not an issue and therefore, the use of the Extended Compressed Block Ack frame is </w:t>
      </w:r>
      <w:r w:rsidR="00967FB9">
        <w:rPr>
          <w:sz w:val="24"/>
        </w:rPr>
        <w:t xml:space="preserve">currently only allowed to be </w:t>
      </w:r>
      <w:r w:rsidR="00294C64">
        <w:rPr>
          <w:sz w:val="24"/>
        </w:rPr>
        <w:t xml:space="preserve">negotiated </w:t>
      </w:r>
      <w:r w:rsidR="00967FB9">
        <w:rPr>
          <w:sz w:val="24"/>
        </w:rPr>
        <w:t>during</w:t>
      </w:r>
      <w:r w:rsidR="00294C64">
        <w:rPr>
          <w:sz w:val="24"/>
        </w:rPr>
        <w:t xml:space="preserve"> ADDBA exchange</w:t>
      </w:r>
      <w:r w:rsidR="00967FB9">
        <w:rPr>
          <w:sz w:val="24"/>
        </w:rPr>
        <w:t>s</w:t>
      </w:r>
      <w:r w:rsidR="00294C64">
        <w:rPr>
          <w:sz w:val="24"/>
        </w:rPr>
        <w:t xml:space="preserve"> </w:t>
      </w:r>
      <w:r w:rsidR="00967FB9">
        <w:rPr>
          <w:sz w:val="24"/>
        </w:rPr>
        <w:t>between</w:t>
      </w:r>
      <w:r w:rsidR="00294C64">
        <w:rPr>
          <w:sz w:val="24"/>
        </w:rPr>
        <w:t xml:space="preserve"> DMG STAs</w:t>
      </w:r>
      <w:r w:rsidR="00967FB9">
        <w:rPr>
          <w:sz w:val="24"/>
        </w:rPr>
        <w:t>.</w:t>
      </w:r>
    </w:p>
    <w:p w14:paraId="25C82795" w14:textId="77777777" w:rsidR="0004195B" w:rsidRDefault="0004195B">
      <w:pPr>
        <w:rPr>
          <w:sz w:val="24"/>
        </w:rPr>
      </w:pPr>
    </w:p>
    <w:p w14:paraId="1C22E2F0" w14:textId="57D63E4F" w:rsidR="0004195B" w:rsidRDefault="00E433AB">
      <w:pPr>
        <w:rPr>
          <w:sz w:val="24"/>
        </w:rPr>
      </w:pPr>
      <w:r>
        <w:rPr>
          <w:sz w:val="24"/>
        </w:rPr>
        <w:t xml:space="preserve">The BA frame and its BA Control Field were first defined by TGe and finalized in the approved 802.11e amendment in 2005. At that time, there were 12 reserved bits in the BA Control field. In the intervening </w:t>
      </w:r>
      <w:r w:rsidR="0004195B">
        <w:rPr>
          <w:sz w:val="24"/>
        </w:rPr>
        <w:t xml:space="preserve">8 </w:t>
      </w:r>
      <w:r>
        <w:rPr>
          <w:sz w:val="24"/>
        </w:rPr>
        <w:t xml:space="preserve">years, 4 </w:t>
      </w:r>
      <w:r w:rsidR="00967FB9">
        <w:rPr>
          <w:sz w:val="24"/>
        </w:rPr>
        <w:t xml:space="preserve">of those reserved </w:t>
      </w:r>
      <w:r>
        <w:rPr>
          <w:sz w:val="24"/>
        </w:rPr>
        <w:t xml:space="preserve">bits have been </w:t>
      </w:r>
      <w:r w:rsidR="00F14747">
        <w:rPr>
          <w:sz w:val="24"/>
        </w:rPr>
        <w:t xml:space="preserve">assigned new definitions </w:t>
      </w:r>
      <w:r>
        <w:rPr>
          <w:sz w:val="24"/>
        </w:rPr>
        <w:t xml:space="preserve">to accommodate </w:t>
      </w:r>
      <w:r w:rsidR="0004195B">
        <w:rPr>
          <w:sz w:val="24"/>
        </w:rPr>
        <w:t xml:space="preserve">new protocol features and </w:t>
      </w:r>
      <w:r>
        <w:rPr>
          <w:sz w:val="24"/>
        </w:rPr>
        <w:t>8 bits remain</w:t>
      </w:r>
      <w:r w:rsidR="0004195B">
        <w:rPr>
          <w:sz w:val="24"/>
        </w:rPr>
        <w:t xml:space="preserve"> unused</w:t>
      </w:r>
      <w:r>
        <w:rPr>
          <w:sz w:val="24"/>
        </w:rPr>
        <w:t>.</w:t>
      </w:r>
      <w:r w:rsidR="0004195B">
        <w:rPr>
          <w:sz w:val="24"/>
        </w:rPr>
        <w:t xml:space="preserve"> It seems appropriate to propose the placement of </w:t>
      </w:r>
      <w:r w:rsidR="00967FB9">
        <w:rPr>
          <w:sz w:val="24"/>
        </w:rPr>
        <w:t xml:space="preserve">an </w:t>
      </w:r>
      <w:r w:rsidR="0004195B">
        <w:rPr>
          <w:sz w:val="24"/>
        </w:rPr>
        <w:t>RX Buffer Overflow signalling into one of the remaining reserved bit lo</w:t>
      </w:r>
      <w:r w:rsidR="00967FB9">
        <w:rPr>
          <w:sz w:val="24"/>
        </w:rPr>
        <w:t>cations of the BA Control field to avoid the complexities of introducing a new frame format structure into the 2.4 and 5 GHz bands.</w:t>
      </w:r>
    </w:p>
    <w:p w14:paraId="0430070C" w14:textId="77777777" w:rsidR="00967FB9" w:rsidRDefault="00967FB9">
      <w:pPr>
        <w:rPr>
          <w:sz w:val="24"/>
        </w:rPr>
      </w:pPr>
    </w:p>
    <w:p w14:paraId="418B0DFB" w14:textId="77777777" w:rsidR="00967FB9" w:rsidRDefault="00967FB9">
      <w:pPr>
        <w:rPr>
          <w:sz w:val="24"/>
        </w:rPr>
      </w:pPr>
    </w:p>
    <w:p w14:paraId="0EA43FFC" w14:textId="77777777" w:rsidR="00967FB9" w:rsidRDefault="00967FB9">
      <w:pPr>
        <w:rPr>
          <w:sz w:val="24"/>
        </w:rPr>
      </w:pPr>
    </w:p>
    <w:p w14:paraId="4E376C4E" w14:textId="62FDECD5" w:rsidR="00967FB9" w:rsidRDefault="00967FB9">
      <w:pPr>
        <w:rPr>
          <w:sz w:val="24"/>
        </w:rPr>
      </w:pPr>
      <w:r>
        <w:rPr>
          <w:noProof/>
          <w:sz w:val="24"/>
          <w:lang w:val="en-US"/>
        </w:rPr>
        <w:drawing>
          <wp:inline distT="0" distB="0" distL="0" distR="0" wp14:anchorId="65CA7DA1" wp14:editId="0BAFE21F">
            <wp:extent cx="5943600" cy="220328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03281"/>
                    </a:xfrm>
                    <a:prstGeom prst="rect">
                      <a:avLst/>
                    </a:prstGeom>
                    <a:noFill/>
                    <a:ln>
                      <a:noFill/>
                    </a:ln>
                  </pic:spPr>
                </pic:pic>
              </a:graphicData>
            </a:graphic>
          </wp:inline>
        </w:drawing>
      </w:r>
    </w:p>
    <w:p w14:paraId="3F42CA4C" w14:textId="77777777" w:rsidR="00967FB9" w:rsidRDefault="00967FB9">
      <w:pPr>
        <w:rPr>
          <w:sz w:val="24"/>
        </w:rPr>
      </w:pPr>
    </w:p>
    <w:p w14:paraId="55165F54" w14:textId="291B065D" w:rsidR="001C75C1" w:rsidRDefault="001C75C1" w:rsidP="001C75C1">
      <w:pPr>
        <w:rPr>
          <w:rFonts w:ascii="TimesNewRomanPSMT" w:hAnsi="TimesNewRomanPSMT" w:cs="TimesNewRomanPSMT"/>
          <w:lang w:val="en-US"/>
        </w:rPr>
      </w:pP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lastRenderedPageBreak/>
        <w:t>Proposed changes</w:t>
      </w:r>
    </w:p>
    <w:p w14:paraId="48BB2175" w14:textId="77777777" w:rsidR="00F43E74" w:rsidRPr="00707353" w:rsidRDefault="00F43E74" w:rsidP="00F43E74">
      <w:pPr>
        <w:rPr>
          <w:sz w:val="24"/>
        </w:rPr>
      </w:pPr>
    </w:p>
    <w:p w14:paraId="592D4250" w14:textId="77777777" w:rsidR="00E26BAD" w:rsidRDefault="00E26BAD" w:rsidP="00F43E74">
      <w:pPr>
        <w:rPr>
          <w:sz w:val="24"/>
        </w:rPr>
      </w:pPr>
    </w:p>
    <w:p w14:paraId="2BC2A893" w14:textId="0E5EDD31" w:rsidR="009653A2" w:rsidRDefault="009653A2" w:rsidP="00F43E74">
      <w:pPr>
        <w:rPr>
          <w:sz w:val="24"/>
        </w:rPr>
      </w:pPr>
      <w:r>
        <w:rPr>
          <w:sz w:val="24"/>
        </w:rPr>
        <w:t>Note that the document of reference is REVmc Draft 4.1.</w:t>
      </w:r>
    </w:p>
    <w:p w14:paraId="3855D300" w14:textId="77777777" w:rsidR="00707353" w:rsidRPr="00707353" w:rsidRDefault="00707353" w:rsidP="00707353">
      <w:pPr>
        <w:rPr>
          <w:sz w:val="24"/>
        </w:rPr>
      </w:pPr>
    </w:p>
    <w:p w14:paraId="55C5C991" w14:textId="746CBAB7"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F14747">
        <w:rPr>
          <w:b/>
          <w:sz w:val="44"/>
          <w:u w:val="single"/>
        </w:rPr>
        <w:t>5963</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75827A4D" w14:textId="35C0F34D" w:rsidR="00967FB9" w:rsidRPr="00967FB9" w:rsidRDefault="00967FB9" w:rsidP="00707353">
      <w:pPr>
        <w:rPr>
          <w:rFonts w:ascii="Arial-BoldMT" w:hAnsi="Arial-BoldMT" w:cs="Arial-BoldMT"/>
          <w:b/>
          <w:bCs/>
          <w:sz w:val="28"/>
          <w:lang w:val="en-US"/>
        </w:rPr>
      </w:pPr>
      <w:r w:rsidRPr="00967FB9">
        <w:rPr>
          <w:rFonts w:ascii="Arial-BoldMT" w:hAnsi="Arial-BoldMT" w:cs="Arial-BoldMT"/>
          <w:b/>
          <w:bCs/>
          <w:sz w:val="28"/>
          <w:lang w:val="en-US"/>
        </w:rPr>
        <w:t>8.3.1.9.1 Overview</w:t>
      </w:r>
    </w:p>
    <w:p w14:paraId="4642A5A4" w14:textId="77777777" w:rsidR="00967FB9" w:rsidRDefault="00967FB9" w:rsidP="00707353">
      <w:pPr>
        <w:rPr>
          <w:rFonts w:ascii="Arial-BoldMT" w:hAnsi="Arial-BoldMT" w:cs="Arial-BoldMT"/>
          <w:b/>
          <w:bCs/>
          <w:lang w:val="en-US"/>
        </w:rPr>
      </w:pPr>
    </w:p>
    <w:p w14:paraId="4454DA90" w14:textId="5F86DA34" w:rsidR="00967FB9" w:rsidRDefault="003003EF" w:rsidP="003003EF">
      <w:pPr>
        <w:rPr>
          <w:b/>
          <w:i/>
          <w:sz w:val="24"/>
          <w:szCs w:val="24"/>
          <w:lang w:val="en-US"/>
        </w:rPr>
      </w:pPr>
      <w:r>
        <w:rPr>
          <w:b/>
          <w:i/>
          <w:sz w:val="24"/>
          <w:szCs w:val="24"/>
          <w:lang w:val="en-US"/>
        </w:rPr>
        <w:t xml:space="preserve">TGmc editor: </w:t>
      </w:r>
      <w:r w:rsidR="0037267E">
        <w:rPr>
          <w:b/>
          <w:i/>
          <w:sz w:val="24"/>
          <w:szCs w:val="24"/>
          <w:lang w:val="en-US"/>
        </w:rPr>
        <w:t xml:space="preserve">in Figure 8-32 BA Control field found within subclause </w:t>
      </w:r>
      <w:r w:rsidR="0037267E" w:rsidRPr="00A215D7">
        <w:rPr>
          <w:b/>
          <w:i/>
          <w:sz w:val="24"/>
          <w:szCs w:val="24"/>
          <w:lang w:val="en-US"/>
        </w:rPr>
        <w:t>8.3.1.9.1 Overview</w:t>
      </w:r>
      <w:r w:rsidR="0037267E">
        <w:rPr>
          <w:b/>
          <w:i/>
          <w:sz w:val="24"/>
          <w:szCs w:val="24"/>
          <w:lang w:val="en-US"/>
        </w:rPr>
        <w:t xml:space="preserve">, </w:t>
      </w:r>
      <w:r w:rsidR="00967FB9">
        <w:rPr>
          <w:b/>
          <w:i/>
          <w:sz w:val="24"/>
          <w:szCs w:val="24"/>
          <w:lang w:val="en-US"/>
        </w:rPr>
        <w:t xml:space="preserve">replace the reserved bit in position B4 of the BA Control field with a new bit RXOFLO and add </w:t>
      </w:r>
      <w:r w:rsidR="00D46634">
        <w:rPr>
          <w:b/>
          <w:i/>
          <w:sz w:val="24"/>
          <w:szCs w:val="24"/>
          <w:lang w:val="en-US"/>
        </w:rPr>
        <w:t xml:space="preserve">a new </w:t>
      </w:r>
      <w:r w:rsidR="00967FB9">
        <w:rPr>
          <w:b/>
          <w:i/>
          <w:sz w:val="24"/>
          <w:szCs w:val="24"/>
          <w:lang w:val="en-US"/>
        </w:rPr>
        <w:t xml:space="preserve">paragraph </w:t>
      </w:r>
      <w:r w:rsidR="0037267E">
        <w:rPr>
          <w:b/>
          <w:i/>
          <w:sz w:val="24"/>
          <w:szCs w:val="24"/>
          <w:lang w:val="en-US"/>
        </w:rPr>
        <w:t xml:space="preserve">in the subclause </w:t>
      </w:r>
      <w:r w:rsidR="00D46634">
        <w:rPr>
          <w:b/>
          <w:i/>
          <w:sz w:val="24"/>
          <w:szCs w:val="24"/>
          <w:lang w:val="en-US"/>
        </w:rPr>
        <w:t xml:space="preserve">as </w:t>
      </w:r>
      <w:r w:rsidR="00967FB9">
        <w:rPr>
          <w:b/>
          <w:i/>
          <w:sz w:val="24"/>
          <w:szCs w:val="24"/>
          <w:lang w:val="en-US"/>
        </w:rPr>
        <w:t>shown:</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265E551C" w14:textId="21E96AED" w:rsidR="00D46634" w:rsidRDefault="00967FB9" w:rsidP="00967FB9">
      <w:pPr>
        <w:rPr>
          <w:sz w:val="24"/>
          <w:szCs w:val="24"/>
        </w:rPr>
      </w:pPr>
      <w:r>
        <w:rPr>
          <w:sz w:val="24"/>
          <w:szCs w:val="24"/>
        </w:rPr>
        <w:t xml:space="preserve">The </w:t>
      </w:r>
      <w:r w:rsidR="00D46634">
        <w:rPr>
          <w:sz w:val="24"/>
          <w:szCs w:val="24"/>
        </w:rPr>
        <w:t>RXOFLO subfield</w:t>
      </w:r>
      <w:r>
        <w:rPr>
          <w:sz w:val="24"/>
          <w:szCs w:val="24"/>
        </w:rPr>
        <w:t xml:space="preserve"> is used to indicate </w:t>
      </w:r>
      <w:r w:rsidR="00D46634">
        <w:rPr>
          <w:sz w:val="24"/>
          <w:szCs w:val="24"/>
        </w:rPr>
        <w:t>if</w:t>
      </w:r>
      <w:r>
        <w:rPr>
          <w:sz w:val="24"/>
          <w:szCs w:val="24"/>
        </w:rPr>
        <w:t xml:space="preserve"> </w:t>
      </w:r>
      <w:r w:rsidR="00D46634">
        <w:rPr>
          <w:sz w:val="24"/>
          <w:szCs w:val="24"/>
        </w:rPr>
        <w:t>any</w:t>
      </w:r>
      <w:r>
        <w:rPr>
          <w:sz w:val="24"/>
          <w:szCs w:val="24"/>
        </w:rPr>
        <w:t xml:space="preserve"> of the MPDUs received in the AMPDUs </w:t>
      </w:r>
      <w:r w:rsidR="00D46634">
        <w:rPr>
          <w:sz w:val="24"/>
          <w:szCs w:val="24"/>
        </w:rPr>
        <w:t>to which this BA is a response were discarded at the recipient due to a lack of receive buffer space. A value of 1 in the RXOFLO subfield indicates</w:t>
      </w:r>
      <w:r w:rsidR="00D46634" w:rsidRPr="00D46634">
        <w:rPr>
          <w:sz w:val="24"/>
          <w:szCs w:val="24"/>
        </w:rPr>
        <w:t xml:space="preserve"> </w:t>
      </w:r>
      <w:r w:rsidR="00D46634">
        <w:rPr>
          <w:sz w:val="24"/>
          <w:szCs w:val="24"/>
        </w:rPr>
        <w:t>that some or all of the MPDUs received in the AMPDUs to which this BA is a response were discarded due to a lack of receive buffer space. A value of 0 in the RXOFLO subfield indicates that none of the MPDUs received in the AMPDUs to which this BA is a response were discarded due to a lack of receive buffer space.</w:t>
      </w:r>
    </w:p>
    <w:p w14:paraId="26123232" w14:textId="77777777" w:rsidR="00D46634" w:rsidRDefault="00D46634" w:rsidP="00967FB9">
      <w:pPr>
        <w:rPr>
          <w:sz w:val="24"/>
          <w:szCs w:val="24"/>
        </w:rPr>
      </w:pPr>
    </w:p>
    <w:p w14:paraId="6EC494A6" w14:textId="77777777" w:rsidR="0037267E" w:rsidRDefault="0037267E" w:rsidP="00796F0E">
      <w:pPr>
        <w:autoSpaceDE w:val="0"/>
        <w:autoSpaceDN w:val="0"/>
        <w:adjustRightInd w:val="0"/>
        <w:rPr>
          <w:rFonts w:ascii="TimesNewRomanPSMT" w:hAnsi="TimesNewRomanPSMT" w:cs="TimesNewRomanPSMT"/>
          <w:sz w:val="24"/>
          <w:szCs w:val="24"/>
          <w:lang w:val="en-US"/>
        </w:rPr>
      </w:pPr>
    </w:p>
    <w:p w14:paraId="4C3AD074" w14:textId="257AF78F" w:rsidR="0037267E" w:rsidRPr="0037267E" w:rsidRDefault="0037267E" w:rsidP="0037267E">
      <w:pPr>
        <w:autoSpaceDE w:val="0"/>
        <w:autoSpaceDN w:val="0"/>
        <w:adjustRightInd w:val="0"/>
        <w:jc w:val="left"/>
        <w:rPr>
          <w:rFonts w:ascii="Arial-BoldMT" w:hAnsi="Arial-BoldMT" w:cs="Arial-BoldMT"/>
          <w:b/>
          <w:bCs/>
          <w:color w:val="000000"/>
          <w:sz w:val="24"/>
          <w:lang w:val="en-US"/>
        </w:rPr>
      </w:pPr>
      <w:r w:rsidRPr="0037267E">
        <w:rPr>
          <w:rFonts w:ascii="Arial-BoldMT" w:hAnsi="Arial-BoldMT" w:cs="Arial-BoldMT"/>
          <w:b/>
          <w:bCs/>
          <w:color w:val="000000"/>
          <w:sz w:val="24"/>
          <w:lang w:val="en-US"/>
        </w:rPr>
        <w:t>9.24.7.5 Generation and transmission of BlockAck frames</w:t>
      </w:r>
      <w:r w:rsidRPr="0037267E">
        <w:rPr>
          <w:rFonts w:ascii="Arial-BoldMT" w:hAnsi="Arial-BoldMT" w:cs="Arial-BoldMT"/>
          <w:b/>
          <w:bCs/>
          <w:color w:val="218B21"/>
          <w:sz w:val="24"/>
          <w:lang w:val="en-US"/>
        </w:rPr>
        <w:t xml:space="preserve"> </w:t>
      </w:r>
      <w:r w:rsidRPr="0037267E">
        <w:rPr>
          <w:rFonts w:ascii="Arial-BoldMT" w:hAnsi="Arial-BoldMT" w:cs="Arial-BoldMT"/>
          <w:b/>
          <w:bCs/>
          <w:color w:val="000000"/>
          <w:sz w:val="24"/>
          <w:lang w:val="en-US"/>
        </w:rPr>
        <w:t>by an HT STA or DMG</w:t>
      </w:r>
      <w:r>
        <w:rPr>
          <w:rFonts w:ascii="Arial-BoldMT" w:hAnsi="Arial-BoldMT" w:cs="Arial-BoldMT"/>
          <w:b/>
          <w:bCs/>
          <w:color w:val="000000"/>
          <w:sz w:val="24"/>
          <w:lang w:val="en-US"/>
        </w:rPr>
        <w:t xml:space="preserve"> STA</w:t>
      </w:r>
    </w:p>
    <w:p w14:paraId="1B3CF2A3" w14:textId="77777777" w:rsidR="0037267E" w:rsidRDefault="0037267E" w:rsidP="0037267E">
      <w:pPr>
        <w:rPr>
          <w:sz w:val="24"/>
          <w:szCs w:val="24"/>
        </w:rPr>
      </w:pPr>
    </w:p>
    <w:p w14:paraId="15F2725F" w14:textId="77777777" w:rsidR="0037267E" w:rsidRDefault="0037267E" w:rsidP="0037267E">
      <w:pPr>
        <w:rPr>
          <w:b/>
          <w:i/>
          <w:sz w:val="24"/>
          <w:szCs w:val="24"/>
          <w:lang w:val="en-US"/>
        </w:rPr>
      </w:pPr>
      <w:r>
        <w:rPr>
          <w:b/>
          <w:i/>
          <w:sz w:val="24"/>
          <w:szCs w:val="24"/>
          <w:lang w:val="en-US"/>
        </w:rPr>
        <w:t>TGmc editor: add a new paragraph at the end of subclause 9.24.7.5 Generation and transmission of BlockAck frames by an HT STA or DMG STA as shown:</w:t>
      </w:r>
    </w:p>
    <w:p w14:paraId="690AA3EE" w14:textId="77777777" w:rsidR="0037267E" w:rsidRDefault="0037267E" w:rsidP="0037267E">
      <w:pPr>
        <w:autoSpaceDE w:val="0"/>
        <w:autoSpaceDN w:val="0"/>
        <w:adjustRightInd w:val="0"/>
        <w:jc w:val="left"/>
        <w:rPr>
          <w:rFonts w:ascii="Arial-BoldMT" w:hAnsi="Arial-BoldMT" w:cs="Arial-BoldMT"/>
          <w:b/>
          <w:bCs/>
          <w:color w:val="000000"/>
          <w:lang w:val="en-US"/>
        </w:rPr>
      </w:pPr>
    </w:p>
    <w:p w14:paraId="1890810C" w14:textId="10251273" w:rsidR="009653A2" w:rsidRDefault="009653A2" w:rsidP="0037267E">
      <w:pPr>
        <w:rPr>
          <w:sz w:val="24"/>
          <w:szCs w:val="24"/>
        </w:rPr>
      </w:pPr>
      <w:r>
        <w:rPr>
          <w:sz w:val="24"/>
          <w:szCs w:val="24"/>
        </w:rPr>
        <w:t xml:space="preserve">When responding with a BlockAck frame to a received A-MPDU with Ack Policy equal to Normal Ack (i.e., implicit block ack request), if one or more of the received MPDUs was discarded due to a lack of receive buffer resources, the RXOFLO </w:t>
      </w:r>
      <w:r w:rsidR="00193845">
        <w:rPr>
          <w:sz w:val="24"/>
          <w:szCs w:val="24"/>
        </w:rPr>
        <w:t>subfield</w:t>
      </w:r>
      <w:r>
        <w:rPr>
          <w:sz w:val="24"/>
          <w:szCs w:val="24"/>
        </w:rPr>
        <w:t xml:space="preserve"> may be set to 1 if dot11RXOFLOSignalingOptionImplemented is true and the originator indicated support of RXOFLO signaling in the RXOFLO support subfield of the Extended Capabilities element.</w:t>
      </w:r>
      <w:r w:rsidR="00193845">
        <w:rPr>
          <w:sz w:val="24"/>
          <w:szCs w:val="24"/>
        </w:rPr>
        <w:t xml:space="preserve"> Otherwise, the RXOFLO subfield of the BlockAck frame shall be set to 0.</w:t>
      </w:r>
    </w:p>
    <w:p w14:paraId="51CBC392" w14:textId="77777777" w:rsidR="009653A2" w:rsidRDefault="009653A2" w:rsidP="0037267E">
      <w:pPr>
        <w:rPr>
          <w:sz w:val="24"/>
          <w:szCs w:val="24"/>
        </w:rPr>
      </w:pPr>
    </w:p>
    <w:p w14:paraId="0B09DCD9" w14:textId="77777777" w:rsidR="0037267E" w:rsidRDefault="0037267E" w:rsidP="0037267E">
      <w:pPr>
        <w:rPr>
          <w:sz w:val="24"/>
          <w:szCs w:val="24"/>
        </w:rPr>
      </w:pPr>
    </w:p>
    <w:p w14:paraId="146A30F9" w14:textId="2866496D" w:rsidR="0037267E" w:rsidRPr="0037267E" w:rsidRDefault="0037267E" w:rsidP="0037267E">
      <w:pPr>
        <w:rPr>
          <w:b/>
          <w:sz w:val="28"/>
          <w:szCs w:val="24"/>
        </w:rPr>
      </w:pPr>
      <w:r w:rsidRPr="0037267E">
        <w:rPr>
          <w:b/>
          <w:sz w:val="28"/>
          <w:szCs w:val="24"/>
        </w:rPr>
        <w:t>8.4.2.26 Extended Capabilities element</w:t>
      </w:r>
    </w:p>
    <w:p w14:paraId="771B9B68" w14:textId="77777777" w:rsidR="0037267E" w:rsidRDefault="0037267E" w:rsidP="0037267E">
      <w:pPr>
        <w:rPr>
          <w:sz w:val="24"/>
          <w:szCs w:val="24"/>
        </w:rPr>
      </w:pPr>
    </w:p>
    <w:p w14:paraId="32B8C859" w14:textId="77777777" w:rsidR="0037267E" w:rsidRDefault="0037267E" w:rsidP="0037267E">
      <w:pPr>
        <w:rPr>
          <w:b/>
          <w:i/>
          <w:sz w:val="24"/>
          <w:szCs w:val="24"/>
          <w:lang w:val="en-US"/>
        </w:rPr>
      </w:pPr>
      <w:r>
        <w:rPr>
          <w:b/>
          <w:i/>
          <w:sz w:val="24"/>
          <w:szCs w:val="24"/>
          <w:lang w:val="en-US"/>
        </w:rPr>
        <w:t>TGmc editor: within 8.4.2.26 Extended Capabilities element, add a new row to Table 8-132 Capabilities field as shown:</w:t>
      </w:r>
    </w:p>
    <w:p w14:paraId="3813D42B" w14:textId="77777777" w:rsidR="0037267E" w:rsidRDefault="0037267E" w:rsidP="0037267E">
      <w:pPr>
        <w:rPr>
          <w:sz w:val="24"/>
          <w:szCs w:val="24"/>
        </w:rPr>
      </w:pPr>
    </w:p>
    <w:p w14:paraId="796E9E23" w14:textId="77777777" w:rsidR="0037267E" w:rsidRDefault="0037267E" w:rsidP="0037267E">
      <w:pPr>
        <w:rPr>
          <w:sz w:val="24"/>
          <w:szCs w:val="24"/>
        </w:rPr>
      </w:pPr>
    </w:p>
    <w:tbl>
      <w:tblPr>
        <w:tblStyle w:val="TableGrid"/>
        <w:tblW w:w="0" w:type="auto"/>
        <w:tblLook w:val="04A0" w:firstRow="1" w:lastRow="0" w:firstColumn="1" w:lastColumn="0" w:noHBand="0" w:noVBand="1"/>
      </w:tblPr>
      <w:tblGrid>
        <w:gridCol w:w="1278"/>
        <w:gridCol w:w="2160"/>
        <w:gridCol w:w="6138"/>
      </w:tblGrid>
      <w:tr w:rsidR="0037267E" w14:paraId="06EB690E" w14:textId="77777777" w:rsidTr="0037267E">
        <w:tc>
          <w:tcPr>
            <w:tcW w:w="1278" w:type="dxa"/>
          </w:tcPr>
          <w:p w14:paraId="30AA1BAF" w14:textId="6C3E392D" w:rsidR="0037267E" w:rsidRPr="0037267E" w:rsidRDefault="0037267E" w:rsidP="0037267E">
            <w:pPr>
              <w:rPr>
                <w:b/>
                <w:sz w:val="24"/>
                <w:szCs w:val="24"/>
              </w:rPr>
            </w:pPr>
            <w:r w:rsidRPr="0037267E">
              <w:rPr>
                <w:b/>
                <w:sz w:val="24"/>
                <w:szCs w:val="24"/>
              </w:rPr>
              <w:t>Bit</w:t>
            </w:r>
          </w:p>
        </w:tc>
        <w:tc>
          <w:tcPr>
            <w:tcW w:w="2160" w:type="dxa"/>
          </w:tcPr>
          <w:p w14:paraId="08F4E065" w14:textId="2A245C8C" w:rsidR="0037267E" w:rsidRPr="0037267E" w:rsidRDefault="0037267E" w:rsidP="0037267E">
            <w:pPr>
              <w:rPr>
                <w:b/>
                <w:sz w:val="24"/>
                <w:szCs w:val="24"/>
              </w:rPr>
            </w:pPr>
            <w:r w:rsidRPr="0037267E">
              <w:rPr>
                <w:b/>
                <w:sz w:val="24"/>
                <w:szCs w:val="24"/>
              </w:rPr>
              <w:t>Information</w:t>
            </w:r>
          </w:p>
        </w:tc>
        <w:tc>
          <w:tcPr>
            <w:tcW w:w="6138" w:type="dxa"/>
          </w:tcPr>
          <w:p w14:paraId="355131AC" w14:textId="4FFF4199" w:rsidR="0037267E" w:rsidRPr="0037267E" w:rsidRDefault="0037267E" w:rsidP="0037267E">
            <w:pPr>
              <w:rPr>
                <w:b/>
                <w:sz w:val="24"/>
                <w:szCs w:val="24"/>
              </w:rPr>
            </w:pPr>
            <w:r w:rsidRPr="0037267E">
              <w:rPr>
                <w:b/>
                <w:sz w:val="24"/>
                <w:szCs w:val="24"/>
              </w:rPr>
              <w:t>Notes</w:t>
            </w:r>
          </w:p>
        </w:tc>
      </w:tr>
      <w:tr w:rsidR="0037267E" w14:paraId="2195006E" w14:textId="77777777" w:rsidTr="0037267E">
        <w:tc>
          <w:tcPr>
            <w:tcW w:w="1278" w:type="dxa"/>
          </w:tcPr>
          <w:p w14:paraId="102A0233" w14:textId="0E846327" w:rsidR="0037267E" w:rsidRDefault="0037267E" w:rsidP="0037267E">
            <w:pPr>
              <w:rPr>
                <w:sz w:val="24"/>
                <w:szCs w:val="24"/>
              </w:rPr>
            </w:pPr>
            <w:r>
              <w:rPr>
                <w:sz w:val="24"/>
                <w:szCs w:val="24"/>
              </w:rPr>
              <w:t>&lt;ANA&gt;</w:t>
            </w:r>
          </w:p>
        </w:tc>
        <w:tc>
          <w:tcPr>
            <w:tcW w:w="2160" w:type="dxa"/>
          </w:tcPr>
          <w:p w14:paraId="36A31646" w14:textId="07DC771C" w:rsidR="0037267E" w:rsidRDefault="0037267E" w:rsidP="0037267E">
            <w:pPr>
              <w:rPr>
                <w:sz w:val="24"/>
                <w:szCs w:val="24"/>
              </w:rPr>
            </w:pPr>
            <w:r>
              <w:rPr>
                <w:sz w:val="24"/>
                <w:szCs w:val="24"/>
              </w:rPr>
              <w:t>RXOFLO support</w:t>
            </w:r>
          </w:p>
        </w:tc>
        <w:tc>
          <w:tcPr>
            <w:tcW w:w="6138" w:type="dxa"/>
          </w:tcPr>
          <w:p w14:paraId="31A37199" w14:textId="59396316" w:rsidR="0037267E" w:rsidRDefault="0037267E" w:rsidP="0037267E">
            <w:pPr>
              <w:rPr>
                <w:sz w:val="24"/>
                <w:szCs w:val="24"/>
              </w:rPr>
            </w:pPr>
            <w:r>
              <w:rPr>
                <w:sz w:val="24"/>
                <w:szCs w:val="24"/>
              </w:rPr>
              <w:t>The RXOFLO support subfield indicates support for</w:t>
            </w:r>
            <w:r w:rsidR="009653A2">
              <w:rPr>
                <w:sz w:val="24"/>
                <w:szCs w:val="24"/>
              </w:rPr>
              <w:t xml:space="preserve"> RXOFLO signaling through</w:t>
            </w:r>
            <w:r>
              <w:rPr>
                <w:sz w:val="24"/>
                <w:szCs w:val="24"/>
              </w:rPr>
              <w:t xml:space="preserve"> the RXOFLO bit of the BA frame as defined in 9.24.7.5 (Generation and transmission of BlockAck frames by an HT STA or DMG STA) When </w:t>
            </w:r>
            <w:r>
              <w:rPr>
                <w:sz w:val="24"/>
                <w:szCs w:val="24"/>
              </w:rPr>
              <w:lastRenderedPageBreak/>
              <w:t>dot11RXOFLOSignalingOptionImplemented is true, the RXOFLO support subfield is set to 1. Otherwise, the RXOFLO support subfield is set to 0 to indicate that this capability is not supported on this link.</w:t>
            </w:r>
          </w:p>
          <w:p w14:paraId="299A5AAA" w14:textId="77777777" w:rsidR="0037267E" w:rsidRDefault="0037267E" w:rsidP="0037267E">
            <w:pPr>
              <w:rPr>
                <w:sz w:val="24"/>
                <w:szCs w:val="24"/>
              </w:rPr>
            </w:pPr>
          </w:p>
        </w:tc>
      </w:tr>
    </w:tbl>
    <w:p w14:paraId="3C92038A" w14:textId="77777777" w:rsidR="0037267E" w:rsidRDefault="0037267E" w:rsidP="0037267E">
      <w:pPr>
        <w:rPr>
          <w:sz w:val="24"/>
          <w:szCs w:val="24"/>
        </w:rPr>
      </w:pPr>
    </w:p>
    <w:p w14:paraId="3133E7E7" w14:textId="77777777" w:rsidR="0037267E" w:rsidRDefault="0037267E" w:rsidP="0037267E">
      <w:pPr>
        <w:rPr>
          <w:sz w:val="24"/>
          <w:szCs w:val="24"/>
        </w:rPr>
      </w:pPr>
    </w:p>
    <w:p w14:paraId="5D30A612" w14:textId="77777777" w:rsidR="0037267E" w:rsidRDefault="0037267E" w:rsidP="0037267E">
      <w:pPr>
        <w:rPr>
          <w:sz w:val="24"/>
          <w:szCs w:val="24"/>
        </w:rPr>
      </w:pPr>
    </w:p>
    <w:p w14:paraId="2E4F4CA7" w14:textId="77777777" w:rsidR="0037267E" w:rsidRDefault="0037267E" w:rsidP="0037267E">
      <w:pPr>
        <w:rPr>
          <w:sz w:val="24"/>
          <w:szCs w:val="24"/>
        </w:rPr>
      </w:pPr>
    </w:p>
    <w:p w14:paraId="0770D1B4" w14:textId="77777777" w:rsidR="0037267E" w:rsidRDefault="0037267E" w:rsidP="0037267E">
      <w:pPr>
        <w:rPr>
          <w:sz w:val="24"/>
          <w:szCs w:val="24"/>
        </w:rPr>
      </w:pPr>
    </w:p>
    <w:p w14:paraId="3F7184F3" w14:textId="77777777" w:rsidR="00FB5FB1" w:rsidRDefault="00FB5FB1" w:rsidP="00FB5FB1">
      <w:pPr>
        <w:rPr>
          <w:rFonts w:ascii="TimesNewRomanPSMT" w:hAnsi="TimesNewRomanPSMT" w:cs="TimesNewRomanPSMT"/>
          <w:sz w:val="24"/>
          <w:lang w:val="en-US"/>
        </w:rPr>
      </w:pPr>
    </w:p>
    <w:p w14:paraId="5F099AEE" w14:textId="340C31CD" w:rsidR="00AC378B" w:rsidRDefault="00AC378B" w:rsidP="00AC378B">
      <w:pPr>
        <w:rPr>
          <w:b/>
          <w:i/>
          <w:sz w:val="24"/>
          <w:szCs w:val="24"/>
          <w:lang w:val="en-US"/>
        </w:rPr>
      </w:pPr>
      <w:r>
        <w:rPr>
          <w:b/>
          <w:i/>
          <w:sz w:val="24"/>
          <w:szCs w:val="24"/>
          <w:lang w:val="en-US"/>
        </w:rPr>
        <w:t>TGmc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sidR="00210306">
        <w:rPr>
          <w:b/>
          <w:i/>
          <w:sz w:val="24"/>
          <w:szCs w:val="24"/>
          <w:lang w:val="en-US"/>
        </w:rPr>
        <w:t xml:space="preserve"> and an entry to the dot11SMTbase13 group</w:t>
      </w:r>
      <w:bookmarkStart w:id="0" w:name="_GoBack"/>
      <w:bookmarkEnd w:id="0"/>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26168A70"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9653A2">
        <w:rPr>
          <w:rFonts w:ascii="Courier New" w:hAnsi="Courier New" w:cs="Courier New"/>
          <w:sz w:val="24"/>
          <w:szCs w:val="18"/>
          <w:lang w:val="en-US"/>
        </w:rPr>
        <w:t>RXOFLOSignalingOption</w:t>
      </w:r>
      <w:r>
        <w:rPr>
          <w:rFonts w:ascii="Courier New" w:hAnsi="Courier New" w:cs="Courier New"/>
          <w:sz w:val="24"/>
          <w:szCs w:val="18"/>
          <w:lang w:val="en-US"/>
        </w:rPr>
        <w:t>Implemented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SYNTAX TruthValue</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3D97DC22"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w:t>
      </w:r>
      <w:r w:rsidR="00F25AFF">
        <w:rPr>
          <w:rFonts w:ascii="Courier New" w:hAnsi="Courier New" w:cs="Courier New"/>
          <w:sz w:val="24"/>
          <w:szCs w:val="18"/>
          <w:lang w:val="en-US"/>
        </w:rPr>
        <w:t xml:space="preserve">RXOFLO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001CD" w14:textId="77777777" w:rsidR="002F7EA9" w:rsidRDefault="002F7EA9">
      <w:r>
        <w:separator/>
      </w:r>
    </w:p>
  </w:endnote>
  <w:endnote w:type="continuationSeparator" w:id="0">
    <w:p w14:paraId="0AFBDEF3" w14:textId="77777777" w:rsidR="002F7EA9" w:rsidRDefault="002F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5D40E6" w:rsidRDefault="002F7EA9">
    <w:pPr>
      <w:pStyle w:val="Footer"/>
      <w:tabs>
        <w:tab w:val="clear" w:pos="6480"/>
        <w:tab w:val="center" w:pos="4680"/>
        <w:tab w:val="right" w:pos="9360"/>
      </w:tabs>
    </w:pPr>
    <w:r>
      <w:fldChar w:fldCharType="begin"/>
    </w:r>
    <w:r>
      <w:instrText xml:space="preserve"> SUBJECT  \* MERGEFORMAT </w:instrText>
    </w:r>
    <w:r>
      <w:fldChar w:fldCharType="separate"/>
    </w:r>
    <w:r w:rsidR="005D40E6">
      <w:t>Submission</w:t>
    </w:r>
    <w:r>
      <w:fldChar w:fldCharType="end"/>
    </w:r>
    <w:r w:rsidR="005D40E6">
      <w:tab/>
      <w:t xml:space="preserve">page </w:t>
    </w:r>
    <w:r w:rsidR="005D40E6">
      <w:fldChar w:fldCharType="begin"/>
    </w:r>
    <w:r w:rsidR="005D40E6">
      <w:instrText xml:space="preserve">page </w:instrText>
    </w:r>
    <w:r w:rsidR="005D40E6">
      <w:fldChar w:fldCharType="separate"/>
    </w:r>
    <w:r w:rsidR="00210306">
      <w:rPr>
        <w:noProof/>
      </w:rPr>
      <w:t>6</w:t>
    </w:r>
    <w:r w:rsidR="005D40E6">
      <w:fldChar w:fldCharType="end"/>
    </w:r>
    <w:r w:rsidR="005D40E6">
      <w:tab/>
    </w:r>
    <w:r>
      <w:fldChar w:fldCharType="begin"/>
    </w:r>
    <w:r>
      <w:instrText xml:space="preserve"> COMMENTS  \* MERGEFORMAT </w:instrText>
    </w:r>
    <w:r>
      <w:fldChar w:fldCharType="separate"/>
    </w:r>
    <w:r w:rsidR="005D40E6">
      <w:t>Matthew Fischer, Broadcom</w:t>
    </w:r>
    <w:r>
      <w:fldChar w:fldCharType="end"/>
    </w:r>
  </w:p>
  <w:p w14:paraId="043469C4" w14:textId="77777777" w:rsidR="005D40E6" w:rsidRDefault="005D40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28208" w14:textId="77777777" w:rsidR="002F7EA9" w:rsidRDefault="002F7EA9">
      <w:r>
        <w:separator/>
      </w:r>
    </w:p>
  </w:footnote>
  <w:footnote w:type="continuationSeparator" w:id="0">
    <w:p w14:paraId="32E90BD9" w14:textId="77777777" w:rsidR="002F7EA9" w:rsidRDefault="002F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5D40E6" w:rsidRDefault="002F7EA9">
    <w:pPr>
      <w:pStyle w:val="Header"/>
      <w:tabs>
        <w:tab w:val="clear" w:pos="6480"/>
        <w:tab w:val="center" w:pos="4680"/>
        <w:tab w:val="right" w:pos="9360"/>
      </w:tabs>
    </w:pPr>
    <w:r>
      <w:fldChar w:fldCharType="begin"/>
    </w:r>
    <w:r>
      <w:instrText xml:space="preserve"> KEYWORDS  \* MERGEFORMAT </w:instrText>
    </w:r>
    <w:r>
      <w:fldChar w:fldCharType="separate"/>
    </w:r>
    <w:r w:rsidR="005D40E6">
      <w:t>September 2015</w:t>
    </w:r>
    <w:r>
      <w:fldChar w:fldCharType="end"/>
    </w:r>
    <w:r w:rsidR="005D40E6">
      <w:tab/>
    </w:r>
    <w:r w:rsidR="005D40E6">
      <w:tab/>
    </w:r>
    <w:r>
      <w:fldChar w:fldCharType="begin"/>
    </w:r>
    <w:r>
      <w:instrText xml:space="preserve"> TITLE  \* MERGEFORMAT </w:instrText>
    </w:r>
    <w:r>
      <w:fldChar w:fldCharType="separate"/>
    </w:r>
    <w:r w:rsidR="0029216E">
      <w:t>doc.: IEEE 802.11-15/1023r0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157C1"/>
    <w:rsid w:val="000233C0"/>
    <w:rsid w:val="00023A54"/>
    <w:rsid w:val="00031828"/>
    <w:rsid w:val="0003359A"/>
    <w:rsid w:val="00034FC4"/>
    <w:rsid w:val="0004195B"/>
    <w:rsid w:val="000467A2"/>
    <w:rsid w:val="000668AF"/>
    <w:rsid w:val="00075B43"/>
    <w:rsid w:val="00080CEC"/>
    <w:rsid w:val="00083F34"/>
    <w:rsid w:val="00085109"/>
    <w:rsid w:val="0008547C"/>
    <w:rsid w:val="000877BA"/>
    <w:rsid w:val="00097313"/>
    <w:rsid w:val="000A1423"/>
    <w:rsid w:val="000A1B02"/>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3845"/>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0306"/>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606E2"/>
    <w:rsid w:val="00262DC6"/>
    <w:rsid w:val="00276CD7"/>
    <w:rsid w:val="0028433A"/>
    <w:rsid w:val="002845C5"/>
    <w:rsid w:val="0029020B"/>
    <w:rsid w:val="00291637"/>
    <w:rsid w:val="0029216E"/>
    <w:rsid w:val="00294C64"/>
    <w:rsid w:val="00297605"/>
    <w:rsid w:val="002C2631"/>
    <w:rsid w:val="002C48F1"/>
    <w:rsid w:val="002D44BE"/>
    <w:rsid w:val="002D5401"/>
    <w:rsid w:val="002D5BAC"/>
    <w:rsid w:val="002F7EA9"/>
    <w:rsid w:val="003003EF"/>
    <w:rsid w:val="00304918"/>
    <w:rsid w:val="003173AC"/>
    <w:rsid w:val="00317C55"/>
    <w:rsid w:val="00324011"/>
    <w:rsid w:val="00327FBB"/>
    <w:rsid w:val="00336A56"/>
    <w:rsid w:val="00336E33"/>
    <w:rsid w:val="0034337C"/>
    <w:rsid w:val="003615BB"/>
    <w:rsid w:val="00365AB2"/>
    <w:rsid w:val="00366485"/>
    <w:rsid w:val="003666D0"/>
    <w:rsid w:val="003723E9"/>
    <w:rsid w:val="0037267E"/>
    <w:rsid w:val="00372B65"/>
    <w:rsid w:val="00376794"/>
    <w:rsid w:val="003813A5"/>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647B"/>
    <w:rsid w:val="0047247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FFF"/>
    <w:rsid w:val="005A3827"/>
    <w:rsid w:val="005A53EE"/>
    <w:rsid w:val="005B6E32"/>
    <w:rsid w:val="005B6F91"/>
    <w:rsid w:val="005B73C7"/>
    <w:rsid w:val="005D40E6"/>
    <w:rsid w:val="005D462E"/>
    <w:rsid w:val="005E2249"/>
    <w:rsid w:val="005F1103"/>
    <w:rsid w:val="005F2D71"/>
    <w:rsid w:val="005F3E18"/>
    <w:rsid w:val="005F7624"/>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70D6E"/>
    <w:rsid w:val="00672E7B"/>
    <w:rsid w:val="0067586C"/>
    <w:rsid w:val="00683487"/>
    <w:rsid w:val="00684532"/>
    <w:rsid w:val="00697A28"/>
    <w:rsid w:val="006A43A0"/>
    <w:rsid w:val="006B6EE3"/>
    <w:rsid w:val="006C0727"/>
    <w:rsid w:val="006C21CC"/>
    <w:rsid w:val="006D368A"/>
    <w:rsid w:val="006E145F"/>
    <w:rsid w:val="006E621A"/>
    <w:rsid w:val="00701DD0"/>
    <w:rsid w:val="007051ED"/>
    <w:rsid w:val="00706767"/>
    <w:rsid w:val="00707353"/>
    <w:rsid w:val="007114AC"/>
    <w:rsid w:val="00711D56"/>
    <w:rsid w:val="00721427"/>
    <w:rsid w:val="007249EC"/>
    <w:rsid w:val="007339B4"/>
    <w:rsid w:val="00743B40"/>
    <w:rsid w:val="00745F37"/>
    <w:rsid w:val="00747FFC"/>
    <w:rsid w:val="007507C2"/>
    <w:rsid w:val="00770572"/>
    <w:rsid w:val="00772239"/>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33E00"/>
    <w:rsid w:val="00842242"/>
    <w:rsid w:val="0084388E"/>
    <w:rsid w:val="00844539"/>
    <w:rsid w:val="0084504C"/>
    <w:rsid w:val="008603AE"/>
    <w:rsid w:val="0087007A"/>
    <w:rsid w:val="0087074F"/>
    <w:rsid w:val="008738EE"/>
    <w:rsid w:val="00873B6C"/>
    <w:rsid w:val="008754F2"/>
    <w:rsid w:val="008761BF"/>
    <w:rsid w:val="0088183E"/>
    <w:rsid w:val="00882DF9"/>
    <w:rsid w:val="008902F8"/>
    <w:rsid w:val="0089536C"/>
    <w:rsid w:val="00895B0D"/>
    <w:rsid w:val="008A0926"/>
    <w:rsid w:val="008A71FE"/>
    <w:rsid w:val="008B0056"/>
    <w:rsid w:val="008B2109"/>
    <w:rsid w:val="008B3724"/>
    <w:rsid w:val="008B50C3"/>
    <w:rsid w:val="008C1CA4"/>
    <w:rsid w:val="008C5F26"/>
    <w:rsid w:val="008C6626"/>
    <w:rsid w:val="008D2F49"/>
    <w:rsid w:val="008E4FEA"/>
    <w:rsid w:val="008F0EC0"/>
    <w:rsid w:val="008F345A"/>
    <w:rsid w:val="008F6E73"/>
    <w:rsid w:val="00902E40"/>
    <w:rsid w:val="00905AD2"/>
    <w:rsid w:val="00912F58"/>
    <w:rsid w:val="0091545F"/>
    <w:rsid w:val="009339FC"/>
    <w:rsid w:val="00937B18"/>
    <w:rsid w:val="0094515A"/>
    <w:rsid w:val="00951D4F"/>
    <w:rsid w:val="00954F4E"/>
    <w:rsid w:val="009653A2"/>
    <w:rsid w:val="009658DD"/>
    <w:rsid w:val="00967FB9"/>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20449"/>
    <w:rsid w:val="00A215D7"/>
    <w:rsid w:val="00A256D4"/>
    <w:rsid w:val="00A31D4F"/>
    <w:rsid w:val="00A33767"/>
    <w:rsid w:val="00A37479"/>
    <w:rsid w:val="00A41AC6"/>
    <w:rsid w:val="00A534F5"/>
    <w:rsid w:val="00A6195E"/>
    <w:rsid w:val="00A62095"/>
    <w:rsid w:val="00A6365B"/>
    <w:rsid w:val="00A7026C"/>
    <w:rsid w:val="00A7084B"/>
    <w:rsid w:val="00A7247D"/>
    <w:rsid w:val="00A776E8"/>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62A25"/>
    <w:rsid w:val="00B740C9"/>
    <w:rsid w:val="00B74D7F"/>
    <w:rsid w:val="00B91B56"/>
    <w:rsid w:val="00B94C9C"/>
    <w:rsid w:val="00BA277E"/>
    <w:rsid w:val="00BB2538"/>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3C8A"/>
    <w:rsid w:val="00CE1C87"/>
    <w:rsid w:val="00CE5780"/>
    <w:rsid w:val="00CF500F"/>
    <w:rsid w:val="00CF793C"/>
    <w:rsid w:val="00D113A2"/>
    <w:rsid w:val="00D1533A"/>
    <w:rsid w:val="00D205FB"/>
    <w:rsid w:val="00D20B5A"/>
    <w:rsid w:val="00D238F8"/>
    <w:rsid w:val="00D26EEE"/>
    <w:rsid w:val="00D435E7"/>
    <w:rsid w:val="00D454F7"/>
    <w:rsid w:val="00D46634"/>
    <w:rsid w:val="00D56243"/>
    <w:rsid w:val="00D64487"/>
    <w:rsid w:val="00D66B72"/>
    <w:rsid w:val="00D70C3A"/>
    <w:rsid w:val="00D71026"/>
    <w:rsid w:val="00D71E5A"/>
    <w:rsid w:val="00D74F54"/>
    <w:rsid w:val="00D811B6"/>
    <w:rsid w:val="00D82B84"/>
    <w:rsid w:val="00D82C03"/>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3E50"/>
    <w:rsid w:val="00E42835"/>
    <w:rsid w:val="00E433AB"/>
    <w:rsid w:val="00E437AD"/>
    <w:rsid w:val="00E43B74"/>
    <w:rsid w:val="00E54F44"/>
    <w:rsid w:val="00E56DB3"/>
    <w:rsid w:val="00E73CB0"/>
    <w:rsid w:val="00E808D4"/>
    <w:rsid w:val="00E81CA2"/>
    <w:rsid w:val="00E8296C"/>
    <w:rsid w:val="00E90A8C"/>
    <w:rsid w:val="00E97C45"/>
    <w:rsid w:val="00EA10B7"/>
    <w:rsid w:val="00EA2B7A"/>
    <w:rsid w:val="00EA5893"/>
    <w:rsid w:val="00EB67E3"/>
    <w:rsid w:val="00EB68EA"/>
    <w:rsid w:val="00EE7F02"/>
    <w:rsid w:val="00EF5C95"/>
    <w:rsid w:val="00F00DE1"/>
    <w:rsid w:val="00F0558D"/>
    <w:rsid w:val="00F14747"/>
    <w:rsid w:val="00F178BD"/>
    <w:rsid w:val="00F22F9D"/>
    <w:rsid w:val="00F25AFF"/>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D7"/>
    <w:rsid w:val="00FD359E"/>
    <w:rsid w:val="00FD79AA"/>
    <w:rsid w:val="00FE05A8"/>
    <w:rsid w:val="00FE0E7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10317</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Some Company</Company>
  <LinksUpToDate>false</LinksUpToDate>
  <CharactersWithSpaces>7451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802.11-15/1023r0</dc:title>
  <dc:subject>Submission</dc:subject>
  <dc:creator>Matthew Fischer</dc:creator>
  <cp:keywords>September 2015</cp:keywords>
  <dc:description>Matthew Fischer, Broadcom</dc:description>
  <cp:lastModifiedBy>Matthew Fischer</cp:lastModifiedBy>
  <cp:revision>66</cp:revision>
  <cp:lastPrinted>2014-07-05T01:59:00Z</cp:lastPrinted>
  <dcterms:created xsi:type="dcterms:W3CDTF">2015-05-14T22:29:00Z</dcterms:created>
  <dcterms:modified xsi:type="dcterms:W3CDTF">2015-08-31T23:14:00Z</dcterms:modified>
</cp:coreProperties>
</file>