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1F4DE0">
            <w:pPr>
              <w:pStyle w:val="T2"/>
              <w:ind w:left="0"/>
              <w:rPr>
                <w:sz w:val="20"/>
              </w:rPr>
            </w:pPr>
            <w:r>
              <w:rPr>
                <w:sz w:val="20"/>
              </w:rPr>
              <w:t>Date:</w:t>
            </w:r>
            <w:r>
              <w:rPr>
                <w:b w:val="0"/>
                <w:sz w:val="20"/>
              </w:rPr>
              <w:t xml:space="preserve">  </w:t>
            </w:r>
            <w:r w:rsidR="00081CEE">
              <w:rPr>
                <w:b w:val="0"/>
                <w:sz w:val="20"/>
              </w:rPr>
              <w:t>201</w:t>
            </w:r>
            <w:r w:rsidR="001F4DE0">
              <w:rPr>
                <w:b w:val="0"/>
                <w:sz w:val="20"/>
              </w:rPr>
              <w:t>5</w:t>
            </w:r>
            <w:r>
              <w:rPr>
                <w:b w:val="0"/>
                <w:sz w:val="20"/>
              </w:rPr>
              <w:t>-</w:t>
            </w:r>
            <w:r w:rsidR="00081CEE">
              <w:rPr>
                <w:b w:val="0"/>
                <w:sz w:val="20"/>
              </w:rPr>
              <w:t>07</w:t>
            </w:r>
            <w:r>
              <w:rPr>
                <w:b w:val="0"/>
                <w:sz w:val="20"/>
              </w:rPr>
              <w:t>-</w:t>
            </w:r>
            <w:r w:rsidR="00081CEE">
              <w:rPr>
                <w:b w:val="0"/>
                <w:sz w:val="20"/>
              </w:rPr>
              <w:t>1</w:t>
            </w:r>
            <w:r w:rsidR="001F4DE0">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696"/>
        <w:gridCol w:w="2510"/>
        <w:gridCol w:w="2319"/>
        <w:gridCol w:w="1094"/>
        <w:gridCol w:w="826"/>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696"/>
        <w:gridCol w:w="2510"/>
        <w:gridCol w:w="2319"/>
        <w:gridCol w:w="1094"/>
        <w:gridCol w:w="826"/>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t>Discussion</w:t>
      </w:r>
    </w:p>
    <w:p w:rsidR="000E3E22" w:rsidRDefault="000E3E22" w:rsidP="000E3E22">
      <w:r>
        <w:rPr>
          <w:bCs/>
          <w:szCs w:val="22"/>
          <w:lang w:val="en-US"/>
        </w:rPr>
        <w:lastRenderedPageBreak/>
        <w:t xml:space="preserve">CIDs 5969 on Channel Switch Announcement element and 5970 on Extended Channel Switch Announcement element apply to text defining values for channel switch mode.  </w:t>
      </w:r>
      <w:r>
        <w:rPr>
          <w:rFonts w:ascii="Arial-BoldMT" w:hAnsi="Arial-BoldMT" w:cs="Arial-BoldMT"/>
          <w:b/>
          <w:bCs/>
          <w:sz w:val="20"/>
          <w:lang w:val="en-US"/>
        </w:rPr>
        <w:t xml:space="preserve"> </w:t>
      </w:r>
    </w:p>
    <w:p w:rsidR="000E3E22" w:rsidRDefault="000E3E22" w:rsidP="000E3E22">
      <w:r>
        <w:t xml:space="preserve">In the standard, there are two defined values for channel switch mode in 10.9.9 </w:t>
      </w:r>
      <w:r>
        <w:rPr>
          <w:rFonts w:ascii="Arial-BoldMT" w:hAnsi="Arial-BoldMT" w:cs="Arial-BoldMT"/>
          <w:b/>
          <w:bCs/>
          <w:sz w:val="20"/>
          <w:lang w:val="en-US"/>
        </w:rPr>
        <w:t>Channel Switch Announcement element operation</w:t>
      </w:r>
      <w:r>
        <w:rPr>
          <w:bCs/>
          <w:szCs w:val="22"/>
          <w:lang w:val="en-US"/>
        </w:rPr>
        <w:t xml:space="preserve">, and all other values are reserved. We choose to define the channel switch mode value 2 to indicate that the remaining fields are guidance of the channel switch target in the future should the BSS or IBSS have to leave these channels. Closing operations in a DFS band are described in 10.9.8.2 </w:t>
      </w:r>
      <w:r>
        <w:rPr>
          <w:rFonts w:ascii="Arial-BoldMT" w:hAnsi="Arial-BoldMT" w:cs="Arial-BoldMT"/>
          <w:b/>
          <w:bCs/>
          <w:sz w:val="20"/>
          <w:lang w:val="en-US"/>
        </w:rPr>
        <w:t>Selecting and advertising a new channel in a non-DMG infrastructure BSS</w:t>
      </w:r>
      <w:r>
        <w:rPr>
          <w:bCs/>
          <w:szCs w:val="22"/>
          <w:lang w:val="en-US"/>
        </w:rPr>
        <w:t xml:space="preserve">, and 10.9.8.3 </w:t>
      </w:r>
      <w:r>
        <w:rPr>
          <w:rFonts w:ascii="Arial-BoldMT" w:hAnsi="Arial-BoldMT" w:cs="Arial-BoldMT"/>
          <w:b/>
          <w:bCs/>
          <w:sz w:val="20"/>
          <w:lang w:val="en-US"/>
        </w:rPr>
        <w:t>Selecting and advertising a new channel in an IBSS</w:t>
      </w:r>
      <w:r>
        <w:rPr>
          <w:bCs/>
          <w:szCs w:val="22"/>
          <w:lang w:val="en-US"/>
        </w:rPr>
        <w:t xml:space="preserve">. </w:t>
      </w:r>
      <w:r w:rsidR="009D5610">
        <w:rPr>
          <w:bCs/>
          <w:szCs w:val="22"/>
          <w:lang w:val="en-US"/>
        </w:rPr>
        <w:t>Extended Channel Switch operations are described in 10.10.3</w:t>
      </w:r>
      <w:r>
        <w:rPr>
          <w:bCs/>
          <w:szCs w:val="22"/>
          <w:lang w:val="en-US"/>
        </w:rPr>
        <w:t xml:space="preserve"> </w:t>
      </w:r>
    </w:p>
    <w:p w:rsidR="000E3E22" w:rsidRDefault="000E3E22" w:rsidP="000E3E22">
      <w:pPr>
        <w:rPr>
          <w:b/>
        </w:rPr>
      </w:pPr>
      <w:r w:rsidRPr="00EE583F">
        <w:rPr>
          <w:b/>
        </w:rPr>
        <w:t>Proposed Resolution</w:t>
      </w:r>
    </w:p>
    <w:p w:rsidR="000E3E22" w:rsidRPr="00EE583F" w:rsidRDefault="000E3E22" w:rsidP="000E3E22">
      <w:pPr>
        <w:rPr>
          <w:b/>
        </w:rPr>
      </w:pPr>
    </w:p>
    <w:p w:rsidR="000E3E22" w:rsidRDefault="000E3E22" w:rsidP="000E3E22">
      <w:r>
        <w:t>Revised. Make changes under CIDs 5969 and 5970 in &lt;this-document&gt;.</w:t>
      </w:r>
    </w:p>
    <w:p w:rsidR="000E3E22" w:rsidRDefault="000E3E22" w:rsidP="000E3E22">
      <w:pPr>
        <w:autoSpaceDE w:val="0"/>
        <w:autoSpaceDN w:val="0"/>
        <w:adjustRightInd w:val="0"/>
        <w:rPr>
          <w:rFonts w:ascii="TimesNewRomanPSMT" w:hAnsi="TimesNewRomanPSMT" w:cs="TimesNewRomanPSMT"/>
          <w:sz w:val="20"/>
          <w:lang w:val="en-US"/>
        </w:rPr>
      </w:pPr>
      <w:r>
        <w:t>At 730.56 insert “or 2” as shown: “</w:t>
      </w:r>
      <w:r>
        <w:rPr>
          <w:rFonts w:ascii="TimesNewRomanPSMT" w:hAnsi="TimesNewRomanPSMT" w:cs="TimesNewRomanPSMT"/>
          <w:sz w:val="20"/>
          <w:lang w:val="en-US"/>
        </w:rPr>
        <w:t xml:space="preserve">An AP or </w:t>
      </w:r>
    </w:p>
    <w:p w:rsidR="000E3E22" w:rsidRDefault="000E3E22" w:rsidP="000E3E22">
      <w:r>
        <w:rPr>
          <w:rFonts w:ascii="TimesNewRomanPSMT" w:hAnsi="TimesNewRomanPSMT" w:cs="TimesNewRomanPSMT"/>
          <w:sz w:val="20"/>
          <w:lang w:val="en-US"/>
        </w:rPr>
        <w:t>IBSS STA sets the Channel Switch Mode field to either 0 or 1</w:t>
      </w:r>
      <w:r>
        <w:rPr>
          <w:rFonts w:ascii="TimesNewRomanPSMT" w:hAnsi="TimesNewRomanPSMT" w:cs="TimesNewRomanPSMT"/>
          <w:sz w:val="20"/>
          <w:u w:val="single"/>
          <w:lang w:val="en-US"/>
        </w:rPr>
        <w:t xml:space="preserve"> or 2</w:t>
      </w:r>
      <w:r>
        <w:rPr>
          <w:rFonts w:ascii="TimesNewRomanPSMT" w:hAnsi="TimesNewRomanPSMT" w:cs="TimesNewRomanPSMT"/>
          <w:sz w:val="20"/>
          <w:lang w:val="en-US"/>
        </w:rPr>
        <w:t xml:space="preserve"> on transmission.</w:t>
      </w:r>
      <w:r>
        <w:t>”</w:t>
      </w:r>
    </w:p>
    <w:p w:rsidR="000E3E22" w:rsidRDefault="000E3E22" w:rsidP="000E3E22">
      <w:pPr>
        <w:autoSpaceDE w:val="0"/>
        <w:autoSpaceDN w:val="0"/>
        <w:adjustRightInd w:val="0"/>
      </w:pPr>
      <w:r>
        <w:t>At 876.41 insert “or 2” as shown: “</w:t>
      </w:r>
      <w:r>
        <w:rPr>
          <w:rFonts w:ascii="TimesNewRomanPSMT" w:hAnsi="TimesNewRomanPSMT" w:cs="TimesNewRomanPSMT"/>
          <w:sz w:val="20"/>
          <w:lang w:val="en-US"/>
        </w:rPr>
        <w:t>An AP in an infrastructure BSS or a STA in an IBSS sets the Channel Switch Mode field to either 0 or 1</w:t>
      </w:r>
      <w:r>
        <w:rPr>
          <w:rFonts w:ascii="TimesNewRomanPSMT" w:hAnsi="TimesNewRomanPSMT" w:cs="TimesNewRomanPSMT"/>
          <w:sz w:val="20"/>
          <w:u w:val="single"/>
          <w:lang w:val="en-US"/>
        </w:rPr>
        <w:t xml:space="preserve"> or 2</w:t>
      </w:r>
      <w:r>
        <w:rPr>
          <w:rFonts w:ascii="TimesNewRomanPSMT" w:hAnsi="TimesNewRomanPSMT" w:cs="TimesNewRomanPSMT"/>
          <w:sz w:val="20"/>
          <w:lang w:val="en-US"/>
        </w:rPr>
        <w:t xml:space="preserve"> on transmission …</w:t>
      </w:r>
      <w:r>
        <w:t xml:space="preserve">”. </w:t>
      </w:r>
    </w:p>
    <w:p w:rsidR="000E3E22" w:rsidRDefault="000E3E22" w:rsidP="000E3E22">
      <w:pPr>
        <w:autoSpaceDE w:val="0"/>
        <w:autoSpaceDN w:val="0"/>
        <w:adjustRightInd w:val="0"/>
        <w:rPr>
          <w:u w:val="single"/>
        </w:rPr>
      </w:pPr>
      <w:r>
        <w:t>At 1645.11, insert text as shown: “element to 1.</w:t>
      </w:r>
      <w:r>
        <w:rPr>
          <w:u w:val="single"/>
        </w:rPr>
        <w:t xml:space="preserve"> </w:t>
      </w:r>
      <w:r w:rsidRPr="00A45D13">
        <w:rPr>
          <w:rFonts w:ascii="TimesNewRomanPSMT" w:hAnsi="TimesNewRomanPSMT" w:cs="TimesNewRomanPSMT"/>
          <w:sz w:val="20"/>
          <w:u w:val="single"/>
          <w:lang w:val="en-US"/>
        </w:rPr>
        <w:t>The AP may guide STAs in the BSS that the channel switch target is in the future by setting the Channel Switch Mode field in the Channel Switch Announcement element to 2.</w:t>
      </w:r>
      <w:r w:rsidRPr="00A45D13">
        <w:rPr>
          <w:u w:val="single"/>
        </w:rPr>
        <w:t>”</w:t>
      </w:r>
    </w:p>
    <w:p w:rsidR="000E3E22" w:rsidRDefault="000E3E22" w:rsidP="000E3E22">
      <w:pPr>
        <w:autoSpaceDE w:val="0"/>
        <w:autoSpaceDN w:val="0"/>
        <w:adjustRightInd w:val="0"/>
        <w:rPr>
          <w:u w:val="single"/>
        </w:rPr>
      </w:pPr>
      <w:r>
        <w:t>At 1646.40, insert text as shown: “no suitable channel.</w:t>
      </w:r>
      <w:r>
        <w:rPr>
          <w:u w:val="single"/>
        </w:rPr>
        <w:t xml:space="preserve"> </w:t>
      </w:r>
      <w:r w:rsidRPr="00A45D13">
        <w:rPr>
          <w:rFonts w:ascii="TimesNewRomanPSMT" w:hAnsi="TimesNewRomanPSMT" w:cs="TimesNewRomanPSMT"/>
          <w:sz w:val="20"/>
          <w:u w:val="single"/>
          <w:lang w:val="en-US"/>
        </w:rPr>
        <w:t xml:space="preserve">The </w:t>
      </w:r>
      <w:r>
        <w:rPr>
          <w:rFonts w:ascii="TimesNewRomanPSMT" w:hAnsi="TimesNewRomanPSMT" w:cs="TimesNewRomanPSMT"/>
          <w:sz w:val="20"/>
          <w:u w:val="single"/>
          <w:lang w:val="en-US"/>
        </w:rPr>
        <w:t>DFS owner</w:t>
      </w:r>
      <w:r w:rsidRPr="00A45D13">
        <w:rPr>
          <w:rFonts w:ascii="TimesNewRomanPSMT" w:hAnsi="TimesNewRomanPSMT" w:cs="TimesNewRomanPSMT"/>
          <w:sz w:val="20"/>
          <w:u w:val="single"/>
          <w:lang w:val="en-US"/>
        </w:rPr>
        <w:t xml:space="preserve"> may guide STAs in the </w:t>
      </w:r>
      <w:r>
        <w:rPr>
          <w:rFonts w:ascii="TimesNewRomanPSMT" w:hAnsi="TimesNewRomanPSMT" w:cs="TimesNewRomanPSMT"/>
          <w:sz w:val="20"/>
          <w:u w:val="single"/>
          <w:lang w:val="en-US"/>
        </w:rPr>
        <w:t>I</w:t>
      </w:r>
      <w:r w:rsidRPr="00A45D13">
        <w:rPr>
          <w:rFonts w:ascii="TimesNewRomanPSMT" w:hAnsi="TimesNewRomanPSMT" w:cs="TimesNewRomanPSMT"/>
          <w:sz w:val="20"/>
          <w:u w:val="single"/>
          <w:lang w:val="en-US"/>
        </w:rPr>
        <w:t>BSS that the channel switch target is in the future by setting the Channel Switch Mode field in the Channel Switch Announcement element to 2.</w:t>
      </w:r>
      <w:r w:rsidRPr="00A45D13">
        <w:rPr>
          <w:u w:val="single"/>
        </w:rPr>
        <w:t>”</w:t>
      </w:r>
    </w:p>
    <w:p w:rsidR="009D5610" w:rsidRPr="009D5610" w:rsidRDefault="009D5610" w:rsidP="000E3E22">
      <w:pPr>
        <w:autoSpaceDE w:val="0"/>
        <w:autoSpaceDN w:val="0"/>
        <w:adjustRightInd w:val="0"/>
        <w:rPr>
          <w:u w:val="single"/>
        </w:rPr>
      </w:pPr>
      <w:r>
        <w:t>At 1651.57, insert text as shown: “Announcement element.</w:t>
      </w:r>
      <w:r>
        <w:rPr>
          <w:u w:val="single"/>
        </w:rPr>
        <w:t xml:space="preserve"> </w:t>
      </w:r>
      <w:r w:rsidRPr="00A45D13">
        <w:rPr>
          <w:rFonts w:ascii="TimesNewRomanPSMT" w:hAnsi="TimesNewRomanPSMT" w:cs="TimesNewRomanPSMT"/>
          <w:sz w:val="20"/>
          <w:u w:val="single"/>
          <w:lang w:val="en-US"/>
        </w:rPr>
        <w:t>The AP may guide STAs in the BSS that the channel switch target is in the future by setting the Channel Switch Mode field in the Channel Switch Announcement element to 2.</w:t>
      </w:r>
      <w:r w:rsidRPr="00A45D13">
        <w:rPr>
          <w:u w:val="single"/>
        </w:rPr>
        <w:t>”</w:t>
      </w:r>
    </w:p>
    <w:p w:rsidR="009D5610" w:rsidRDefault="009D5610" w:rsidP="000E3E22">
      <w:pPr>
        <w:autoSpaceDE w:val="0"/>
        <w:autoSpaceDN w:val="0"/>
        <w:adjustRightInd w:val="0"/>
      </w:pP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895"/>
        <w:gridCol w:w="696"/>
        <w:gridCol w:w="2455"/>
        <w:gridCol w:w="2263"/>
        <w:gridCol w:w="1094"/>
        <w:gridCol w:w="825"/>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r>
        <w:t xml:space="preserve">In </w:t>
      </w:r>
      <w:r w:rsidR="00291CF8">
        <w:rPr>
          <w:rFonts w:ascii="Arial-BoldMT" w:hAnsi="Arial-BoldMT" w:cs="Arial-BoldMT"/>
          <w:b/>
          <w:bCs/>
          <w:sz w:val="20"/>
          <w:lang w:val="en-US"/>
        </w:rPr>
        <w:t xml:space="preserve">10.9.8.4.2 Initiating MBSS channel switch </w:t>
      </w:r>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p>
    <w:p w:rsidR="002D2B30" w:rsidRDefault="002D2B30" w:rsidP="002D2B30">
      <w:pPr>
        <w:rPr>
          <w:b/>
        </w:rPr>
      </w:pPr>
      <w:r w:rsidRPr="00EE583F">
        <w:rPr>
          <w:b/>
        </w:rPr>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8C7D0D" w:rsidRDefault="002D2B30" w:rsidP="008C7D0D">
      <w:pPr>
        <w:autoSpaceDE w:val="0"/>
        <w:autoSpaceDN w:val="0"/>
        <w:adjustRightInd w:val="0"/>
        <w:rPr>
          <w:rFonts w:ascii="TimesNewRomanPSMT" w:hAnsi="TimesNewRomanPSMT" w:cs="TimesNewRomanPSMT"/>
          <w:sz w:val="20"/>
          <w:lang w:val="en-US"/>
        </w:rPr>
      </w:pPr>
      <w:r>
        <w:t xml:space="preserve">At </w:t>
      </w:r>
      <w:r w:rsidR="00F4133C">
        <w:t>730.56</w:t>
      </w:r>
      <w:r>
        <w:t xml:space="preserve"> </w:t>
      </w:r>
      <w:r w:rsidR="008C7D0D">
        <w:t>insert “or 2” as shown: “</w:t>
      </w:r>
      <w:r w:rsidR="008C7D0D">
        <w:rPr>
          <w:rFonts w:ascii="TimesNewRomanPSMT" w:hAnsi="TimesNewRomanPSMT" w:cs="TimesNewRomanPSMT"/>
          <w:sz w:val="20"/>
          <w:lang w:val="en-US"/>
        </w:rPr>
        <w:t xml:space="preserve">An AP or </w:t>
      </w:r>
    </w:p>
    <w:p w:rsidR="002D2B30" w:rsidRDefault="008C7D0D" w:rsidP="008C7D0D">
      <w:r>
        <w:rPr>
          <w:rFonts w:ascii="TimesNewRomanPSMT" w:hAnsi="TimesNewRomanPSMT" w:cs="TimesNewRomanPSMT"/>
          <w:sz w:val="20"/>
          <w:lang w:val="en-US"/>
        </w:rPr>
        <w:t>IBSS STA sets the Channel Switch Mode field to either 0 or 1</w:t>
      </w:r>
      <w:r>
        <w:rPr>
          <w:rFonts w:ascii="TimesNewRomanPSMT" w:hAnsi="TimesNewRomanPSMT" w:cs="TimesNewRomanPSMT"/>
          <w:sz w:val="20"/>
          <w:u w:val="single"/>
          <w:lang w:val="en-US"/>
        </w:rPr>
        <w:t xml:space="preserve"> or 2</w:t>
      </w:r>
      <w:r>
        <w:rPr>
          <w:rFonts w:ascii="TimesNewRomanPSMT" w:hAnsi="TimesNewRomanPSMT" w:cs="TimesNewRomanPSMT"/>
          <w:sz w:val="20"/>
          <w:lang w:val="en-US"/>
        </w:rPr>
        <w:t xml:space="preserve"> on transmission.</w:t>
      </w:r>
      <w:r>
        <w:t>”</w:t>
      </w:r>
    </w:p>
    <w:p w:rsidR="00AC3EA0" w:rsidRDefault="00A45D13" w:rsidP="00AC3EA0">
      <w:pPr>
        <w:autoSpaceDE w:val="0"/>
        <w:autoSpaceDN w:val="0"/>
        <w:adjustRightInd w:val="0"/>
      </w:pPr>
      <w:r>
        <w:t>At 164</w:t>
      </w:r>
      <w:r w:rsidR="00AC3EA0">
        <w:t>7.01, change</w:t>
      </w:r>
      <w:r>
        <w:t xml:space="preserve"> text as shown: “</w:t>
      </w:r>
      <w:r w:rsidR="00AC3EA0" w:rsidRPr="00AC3EA0">
        <w:rPr>
          <w:rFonts w:ascii="TimesNewRomanPSMT" w:hAnsi="TimesNewRomanPSMT" w:cs="TimesNewRomanPSMT"/>
          <w:strike/>
          <w:sz w:val="20"/>
          <w:lang w:val="en-US"/>
        </w:rPr>
        <w:t>The Channel Switch Mode field is reserved.</w:t>
      </w:r>
    </w:p>
    <w:p w:rsidR="002D2B30" w:rsidRDefault="00A45D13" w:rsidP="00AC3EA0">
      <w:pPr>
        <w:autoSpaceDE w:val="0"/>
        <w:autoSpaceDN w:val="0"/>
        <w:adjustRightInd w:val="0"/>
        <w:rPr>
          <w:u w:val="single"/>
        </w:rPr>
      </w:pPr>
      <w:r>
        <w:rPr>
          <w:u w:val="single"/>
        </w:rPr>
        <w:t xml:space="preserve"> </w:t>
      </w:r>
      <w:r w:rsidR="00AC3EA0">
        <w:rPr>
          <w:rFonts w:ascii="TimesNewRomanPSMT" w:hAnsi="TimesNewRomanPSMT" w:cs="TimesNewRomanPSMT"/>
          <w:sz w:val="20"/>
          <w:u w:val="single"/>
          <w:lang w:val="en-US"/>
        </w:rPr>
        <w:t>A mesh STA</w:t>
      </w:r>
      <w:r w:rsidRPr="00A45D13">
        <w:rPr>
          <w:rFonts w:ascii="TimesNewRomanPSMT" w:hAnsi="TimesNewRomanPSMT" w:cs="TimesNewRomanPSMT"/>
          <w:sz w:val="20"/>
          <w:u w:val="single"/>
          <w:lang w:val="en-US"/>
        </w:rPr>
        <w:t xml:space="preserve"> may guide</w:t>
      </w:r>
      <w:r w:rsidR="00AC3EA0">
        <w:rPr>
          <w:rFonts w:ascii="TimesNewRomanPSMT" w:hAnsi="TimesNewRomanPSMT" w:cs="TimesNewRomanPSMT"/>
          <w:sz w:val="20"/>
          <w:u w:val="single"/>
          <w:lang w:val="en-US"/>
        </w:rPr>
        <w:t xml:space="preserve"> peer mesh</w:t>
      </w:r>
      <w:r w:rsidRPr="00A45D13">
        <w:rPr>
          <w:rFonts w:ascii="TimesNewRomanPSMT" w:hAnsi="TimesNewRomanPSMT" w:cs="TimesNewRomanPSMT"/>
          <w:sz w:val="20"/>
          <w:u w:val="single"/>
          <w:lang w:val="en-US"/>
        </w:rPr>
        <w:t xml:space="preserve"> STAs that the channel switch target is in the future by setting the Channel Switch Mode field in the Channel Switch Announcement element to 2.</w:t>
      </w:r>
      <w:r w:rsidRPr="00A45D13">
        <w:rPr>
          <w:u w:val="single"/>
        </w:rPr>
        <w:t>”</w:t>
      </w:r>
    </w:p>
    <w:p w:rsidR="00962524" w:rsidRDefault="00962524" w:rsidP="003829C9">
      <w:pPr>
        <w:autoSpaceDE w:val="0"/>
        <w:autoSpaceDN w:val="0"/>
        <w:adjustRightInd w:val="0"/>
        <w:rPr>
          <w:rFonts w:ascii="TimesNewRomanPSMT" w:hAnsi="TimesNewRomanPSMT" w:cs="TimesNewRomanPSMT"/>
          <w:sz w:val="20"/>
          <w:lang w:val="en-US"/>
        </w:rPr>
      </w:pPr>
      <w:r>
        <w:t>At 164</w:t>
      </w:r>
      <w:r w:rsidR="003829C9">
        <w:t>8</w:t>
      </w:r>
      <w:r>
        <w:t>.</w:t>
      </w:r>
      <w:r w:rsidR="003829C9">
        <w:t>51</w:t>
      </w:r>
      <w:r>
        <w:t xml:space="preserve">, </w:t>
      </w:r>
      <w:r w:rsidR="003829C9">
        <w:t>change</w:t>
      </w:r>
      <w:r>
        <w:t xml:space="preserve"> as shown: “</w:t>
      </w:r>
      <w:r w:rsidR="003829C9">
        <w:rPr>
          <w:rFonts w:ascii="TimesNewRomanPSMT" w:hAnsi="TimesNewRomanPSMT" w:cs="TimesNewRomanPSMT"/>
          <w:sz w:val="20"/>
          <w:lang w:val="en-US"/>
        </w:rPr>
        <w:t xml:space="preserve">frame. </w:t>
      </w:r>
      <w:r w:rsidR="003829C9" w:rsidRPr="003829C9">
        <w:rPr>
          <w:rFonts w:ascii="TimesNewRomanPSMT" w:hAnsi="TimesNewRomanPSMT" w:cs="TimesNewRomanPSMT"/>
          <w:sz w:val="20"/>
          <w:u w:val="single"/>
          <w:lang w:val="en-US"/>
        </w:rPr>
        <w:t xml:space="preserve">If the Channel Switch Mode value is not 2, </w:t>
      </w:r>
      <w:proofErr w:type="spellStart"/>
      <w:r w:rsidR="003829C9" w:rsidRPr="003829C9">
        <w:rPr>
          <w:rFonts w:ascii="TimesNewRomanPSMT" w:hAnsi="TimesNewRomanPSMT" w:cs="TimesNewRomanPSMT"/>
          <w:sz w:val="20"/>
          <w:u w:val="single"/>
          <w:lang w:val="en-US"/>
        </w:rPr>
        <w:t>t</w:t>
      </w:r>
      <w:r w:rsidR="003829C9" w:rsidRPr="003829C9">
        <w:rPr>
          <w:rFonts w:ascii="TimesNewRomanPSMT" w:hAnsi="TimesNewRomanPSMT" w:cs="TimesNewRomanPSMT"/>
          <w:strike/>
          <w:sz w:val="20"/>
          <w:lang w:val="en-US"/>
        </w:rPr>
        <w:t>T</w:t>
      </w:r>
      <w:r w:rsidR="003829C9">
        <w:rPr>
          <w:rFonts w:ascii="TimesNewRomanPSMT" w:hAnsi="TimesNewRomanPSMT" w:cs="TimesNewRomanPSMT"/>
          <w:sz w:val="20"/>
          <w:lang w:val="en-US"/>
        </w:rPr>
        <w:t>he</w:t>
      </w:r>
      <w:proofErr w:type="spellEnd"/>
      <w:r w:rsidR="003829C9">
        <w:rPr>
          <w:rFonts w:ascii="TimesNewRomanPSMT" w:hAnsi="TimesNewRomanPSMT" w:cs="TimesNewRomanPSMT"/>
          <w:sz w:val="20"/>
          <w:lang w:val="en-US"/>
        </w:rPr>
        <w:t xml:space="preserve"> fields”</w:t>
      </w:r>
    </w:p>
    <w:p w:rsidR="003829C9" w:rsidRPr="00BE0FA8" w:rsidRDefault="003829C9" w:rsidP="00BE0FA8">
      <w:pPr>
        <w:autoSpaceDE w:val="0"/>
        <w:autoSpaceDN w:val="0"/>
        <w:adjustRightInd w:val="0"/>
        <w:rPr>
          <w:u w:val="single"/>
        </w:rPr>
      </w:pPr>
      <w:r>
        <w:rPr>
          <w:rFonts w:ascii="TimesNewRomanPSMT" w:hAnsi="TimesNewRomanPSMT" w:cs="TimesNewRomanPSMT"/>
          <w:sz w:val="20"/>
          <w:lang w:val="en-US"/>
        </w:rPr>
        <w:t>At 1648.</w:t>
      </w:r>
      <w:r w:rsidR="00BE0FA8">
        <w:rPr>
          <w:rFonts w:ascii="TimesNewRomanPSMT" w:hAnsi="TimesNewRomanPSMT" w:cs="TimesNewRomanPSMT"/>
          <w:sz w:val="20"/>
          <w:lang w:val="en-US"/>
        </w:rPr>
        <w:t>54, change as shown: “minus 1.</w:t>
      </w:r>
      <w:r w:rsidR="00BE0FA8">
        <w:rPr>
          <w:rFonts w:ascii="TimesNewRomanPSMT" w:hAnsi="TimesNewRomanPSMT" w:cs="TimesNewRomanPSMT"/>
          <w:sz w:val="20"/>
          <w:u w:val="single"/>
          <w:lang w:val="en-US"/>
        </w:rPr>
        <w:t xml:space="preserve"> If the Channel Switch Mode value is 2, </w:t>
      </w:r>
      <w:r w:rsidR="00BE0FA8" w:rsidRPr="00BE0FA8">
        <w:rPr>
          <w:rFonts w:ascii="TimesNewRomanPSMT" w:hAnsi="TimesNewRomanPSMT" w:cs="TimesNewRomanPSMT"/>
          <w:sz w:val="20"/>
          <w:u w:val="single"/>
          <w:lang w:val="en-US"/>
        </w:rPr>
        <w:t>the fields in the Mesh Channel Switch Parameters element shall be</w:t>
      </w:r>
      <w:r w:rsidR="00BE0FA8">
        <w:rPr>
          <w:rFonts w:ascii="TimesNewRomanPSMT" w:hAnsi="TimesNewRomanPSMT" w:cs="TimesNewRomanPSMT"/>
          <w:sz w:val="20"/>
          <w:u w:val="single"/>
          <w:lang w:val="en-US"/>
        </w:rPr>
        <w:t xml:space="preserve"> </w:t>
      </w:r>
      <w:r w:rsidR="00BE0FA8" w:rsidRPr="00BE0FA8">
        <w:rPr>
          <w:rFonts w:ascii="TimesNewRomanPSMT" w:hAnsi="TimesNewRomanPSMT" w:cs="TimesNewRomanPSMT"/>
          <w:sz w:val="20"/>
          <w:u w:val="single"/>
          <w:lang w:val="en-US"/>
        </w:rPr>
        <w:t>set to the values identical to those in the received Mesh Channel Switch Parameters element.</w:t>
      </w:r>
      <w:r w:rsidR="00BE0FA8">
        <w:rPr>
          <w:rFonts w:ascii="TimesNewRomanPSMT" w:hAnsi="TimesNewRomanPSMT" w:cs="TimesNewRomanPSMT"/>
          <w:sz w:val="20"/>
          <w:u w:val="single"/>
          <w:lang w:val="en-US"/>
        </w:rPr>
        <w:t>”</w:t>
      </w:r>
      <w:r w:rsidR="00BE0FA8" w:rsidRPr="00BE0FA8">
        <w:rPr>
          <w:rFonts w:ascii="TimesNewRomanPSMT" w:hAnsi="TimesNewRomanPSMT" w:cs="TimesNewRomanPSMT"/>
          <w:sz w:val="20"/>
          <w:u w:val="single"/>
          <w:lang w:val="en-US"/>
        </w:rPr>
        <w:t xml:space="preserve"> </w:t>
      </w:r>
    </w:p>
    <w:p w:rsidR="002D2B30" w:rsidRDefault="002D2B30" w:rsidP="00C65621"/>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8"/>
        <w:gridCol w:w="2755"/>
        <w:gridCol w:w="2024"/>
        <w:gridCol w:w="1094"/>
        <w:gridCol w:w="830"/>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the comment indicates, in countries that have non-global operating classes, management information has to be sent with one country element to STAs that do not support the Global operating classes, and 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bookmarkStart w:id="0" w:name="_GoBack"/>
      <w:bookmarkEnd w:id="0"/>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t>Revised. Make changes under CID 5971 in &lt;this-document&gt;.</w:t>
      </w:r>
    </w:p>
    <w:p w:rsidR="00067917" w:rsidRDefault="00067917" w:rsidP="00992D25">
      <w:r>
        <w:t>At 13</w:t>
      </w:r>
      <w:r w:rsidR="00C05338">
        <w:t>20</w:t>
      </w:r>
      <w:r>
        <w:t>.</w:t>
      </w:r>
      <w:r w:rsidR="00C05338">
        <w:t>50</w:t>
      </w:r>
      <w:r>
        <w:t xml:space="preserve"> </w:t>
      </w:r>
      <w:r w:rsidR="00C05338">
        <w:t>insert: 9.21.</w:t>
      </w:r>
      <w:r w:rsidR="00497123">
        <w:t>3a</w:t>
      </w:r>
      <w:r w:rsidR="00C05338">
        <w:t xml:space="preserve"> </w:t>
      </w:r>
      <w:r w:rsidR="00215189">
        <w:rPr>
          <w:rFonts w:ascii="Arial-BoldMT" w:hAnsi="Arial-BoldMT" w:cs="Arial-BoldMT"/>
          <w:b/>
          <w:bCs/>
          <w:sz w:val="20"/>
          <w:lang w:val="en-US"/>
        </w:rPr>
        <w:t>Operation with multiple country elements</w:t>
      </w:r>
    </w:p>
    <w:p w:rsidR="006875AA" w:rsidRPr="009544B2" w:rsidRDefault="006875AA"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Where a BSS includes STAs that do not support global operating classes, then all requests and Action frames to those STAs that convey elements containing operating classes shall use </w:t>
      </w:r>
      <w:proofErr w:type="spellStart"/>
      <w:r w:rsidRPr="009544B2">
        <w:rPr>
          <w:rFonts w:ascii="TimesNewRomanPSMT" w:hAnsi="TimesNewRomanPSMT" w:cs="TimesNewRomanPSMT"/>
          <w:szCs w:val="22"/>
          <w:lang w:val="en-US"/>
        </w:rPr>
        <w:t>nonglobal</w:t>
      </w:r>
      <w:proofErr w:type="spellEnd"/>
      <w:r w:rsidRPr="009544B2">
        <w:rPr>
          <w:rFonts w:ascii="TimesNewRomanPSMT" w:hAnsi="TimesNewRomanPSMT" w:cs="TimesNewRomanPSMT"/>
          <w:szCs w:val="22"/>
          <w:lang w:val="en-US"/>
        </w:rPr>
        <w:t xml:space="preserve"> operating class values.</w:t>
      </w:r>
      <w:r w:rsidR="009544B2">
        <w:rPr>
          <w:rFonts w:ascii="TimesNewRomanPSMT" w:hAnsi="TimesNewRomanPSMT" w:cs="TimesNewRomanPSMT"/>
          <w:szCs w:val="22"/>
          <w:lang w:val="en-US"/>
        </w:rPr>
        <w:t xml:space="preserve"> Where a BSS includes STAs that support global operating classes</w:t>
      </w:r>
      <w:r w:rsidR="009544B2" w:rsidRPr="009544B2">
        <w:rPr>
          <w:rFonts w:ascii="TimesNewRomanPSMT" w:hAnsi="TimesNewRomanPSMT" w:cs="TimesNewRomanPSMT"/>
          <w:szCs w:val="22"/>
          <w:lang w:val="en-US"/>
        </w:rPr>
        <w:t xml:space="preserve">, then all requests and Action frames to those STAs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lastRenderedPageBreak/>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6875AA" w:rsidRPr="009544B2">
        <w:rPr>
          <w:rFonts w:ascii="TimesNewRomanPSMT" w:hAnsi="TimesNewRomanPSMT" w:cs="TimesNewRomanPSMT"/>
          <w:szCs w:val="22"/>
          <w:lang w:val="en-US"/>
        </w:rPr>
        <w:t xml:space="preserve">some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006875AA" w:rsidRPr="009544B2">
        <w:rPr>
          <w:rFonts w:ascii="TimesNewRomanPSMT" w:hAnsi="TimesNewRomanPSMT" w:cs="TimesNewRomanPSMT"/>
          <w:szCs w:val="22"/>
          <w:lang w:val="en-US"/>
        </w:rPr>
        <w:t>UseEirpForVHTTxPowEnv</w:t>
      </w:r>
      <w:proofErr w:type="spellEnd"/>
      <w:r w:rsidR="006875AA" w:rsidRPr="009544B2">
        <w:rPr>
          <w:rFonts w:ascii="TimesNewRomanPSMT" w:hAnsi="TimesNewRomanPSMT" w:cs="TimesNewRomanPSMT"/>
          <w:szCs w:val="22"/>
          <w:lang w:val="en-US"/>
        </w:rPr>
        <w:t>.”</w:t>
      </w:r>
    </w:p>
    <w:p w:rsidR="002E3BAD" w:rsidRDefault="002E3BAD" w:rsidP="002E3BAD">
      <w:pPr>
        <w:rPr>
          <w:rFonts w:ascii="TimesNewRomanPSMT" w:hAnsi="TimesNewRomanPSMT" w:cs="TimesNewRomanPSMT"/>
          <w:sz w:val="20"/>
          <w:lang w:val="en-US"/>
        </w:rPr>
      </w:pPr>
    </w:p>
    <w:p w:rsidR="002E3BAD" w:rsidRDefault="002E3BAD" w:rsidP="002E3BAD"/>
    <w:p w:rsidR="00C65621" w:rsidRDefault="00C65621" w:rsidP="00067917">
      <w:r>
        <w:t xml:space="preserve">At </w:t>
      </w:r>
      <w:r w:rsidR="00067917">
        <w:t>27</w:t>
      </w:r>
      <w:r w:rsidR="009544B2">
        <w:t>3</w:t>
      </w:r>
      <w:r w:rsidR="00067917">
        <w:t>0.</w:t>
      </w:r>
      <w:r w:rsidR="009544B2">
        <w:t>54</w:t>
      </w:r>
      <w:r w:rsidR="00067917">
        <w:t xml:space="preserve">, </w:t>
      </w:r>
      <w:r w:rsidR="00722C7E">
        <w:t>insert</w:t>
      </w:r>
      <w:r w:rsidR="00067917">
        <w:t>: “</w:t>
      </w:r>
      <w:r w:rsidR="009544B2">
        <w:t>OC8</w:t>
      </w:r>
      <w:r w:rsidR="00722C7E">
        <w:tab/>
      </w:r>
      <w:r w:rsidR="00067917">
        <w:t xml:space="preserve">Operation with </w:t>
      </w:r>
      <w:r w:rsidR="00DF1600">
        <w:t>multiple country elements</w:t>
      </w:r>
      <w:r w:rsidR="00722C7E">
        <w:tab/>
        <w:t>9.21.3a</w:t>
      </w:r>
      <w:r w:rsidR="00722C7E">
        <w:tab/>
      </w:r>
      <w:r w:rsidR="009544B2">
        <w:t>OC1</w:t>
      </w:r>
      <w:proofErr w:type="gramStart"/>
      <w:r w:rsidR="00722C7E">
        <w:t>:O</w:t>
      </w:r>
      <w:proofErr w:type="gramEnd"/>
      <w:r w:rsidR="00722C7E">
        <w:tab/>
      </w:r>
      <w:r w:rsidR="00722C7E">
        <w:rPr>
          <w:rFonts w:ascii="TimesNewRomanPSMT" w:hAnsi="TimesNewRomanPSMT" w:cs="TimesNewRomanPSMT"/>
          <w:sz w:val="18"/>
          <w:szCs w:val="18"/>
          <w:lang w:val="en-US"/>
        </w:rPr>
        <w:t xml:space="preserve">Yes </w:t>
      </w:r>
      <w:r w:rsidR="00722C7E">
        <w:rPr>
          <w:rFonts w:ascii="Wingdings-Regular" w:eastAsia="Wingdings-Regular" w:hAnsi="TimesNewRomanPSMT" w:cs="Wingdings-Regular" w:hint="eastAsia"/>
          <w:sz w:val="18"/>
          <w:szCs w:val="18"/>
          <w:lang w:val="en-US"/>
        </w:rPr>
        <w:t></w:t>
      </w:r>
      <w:r w:rsidR="00722C7E">
        <w:rPr>
          <w:rFonts w:ascii="Wingdings-Regular" w:eastAsia="Wingdings-Regular" w:hAnsi="TimesNewRomanPSMT" w:cs="Wingdings-Regular"/>
          <w:sz w:val="18"/>
          <w:szCs w:val="18"/>
          <w:lang w:val="en-US"/>
        </w:rPr>
        <w:t xml:space="preserve"> </w:t>
      </w:r>
      <w:r w:rsidR="00722C7E">
        <w:rPr>
          <w:rFonts w:ascii="TimesNewRomanPSMT" w:hAnsi="TimesNewRomanPSMT" w:cs="TimesNewRomanPSMT"/>
          <w:sz w:val="18"/>
          <w:szCs w:val="18"/>
          <w:lang w:val="en-US"/>
        </w:rPr>
        <w:t xml:space="preserve">No </w:t>
      </w:r>
      <w:r w:rsidR="00722C7E">
        <w:rPr>
          <w:rFonts w:ascii="Wingdings-Regular" w:eastAsia="Wingdings-Regular" w:hAnsi="TimesNewRomanPSMT" w:cs="Wingdings-Regular" w:hint="eastAsia"/>
          <w:sz w:val="18"/>
          <w:szCs w:val="18"/>
          <w:lang w:val="en-US"/>
        </w:rPr>
        <w:t></w:t>
      </w:r>
      <w:r w:rsidR="00722C7E">
        <w:rPr>
          <w:rFonts w:ascii="Wingdings-Regular" w:eastAsia="Wingdings-Regular" w:hAnsi="TimesNewRomanPSMT" w:cs="Wingdings-Regular"/>
          <w:sz w:val="18"/>
          <w:szCs w:val="18"/>
          <w:lang w:val="en-US"/>
        </w:rPr>
        <w:t xml:space="preserve"> </w:t>
      </w:r>
      <w:r w:rsidR="00722C7E">
        <w:rPr>
          <w:rFonts w:ascii="TimesNewRomanPSMT" w:hAnsi="TimesNewRomanPSMT" w:cs="TimesNewRomanPSMT"/>
          <w:sz w:val="18"/>
          <w:szCs w:val="18"/>
          <w:lang w:val="en-US"/>
        </w:rPr>
        <w:t xml:space="preserve">N/A </w:t>
      </w:r>
      <w:r w:rsidR="00722C7E">
        <w:rPr>
          <w:rFonts w:ascii="Wingdings-Regular" w:eastAsia="Wingdings-Regular" w:hAnsi="TimesNewRomanPSMT" w:cs="Wingdings-Regular" w:hint="eastAsia"/>
          <w:sz w:val="18"/>
          <w:szCs w:val="18"/>
          <w:lang w:val="en-US"/>
        </w:rPr>
        <w:t></w:t>
      </w:r>
      <w:r w:rsidR="00722C7E">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7"/>
        <w:gridCol w:w="2209"/>
        <w:gridCol w:w="2425"/>
        <w:gridCol w:w="1094"/>
        <w:gridCol w:w="843"/>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The sentence that begins "For operating classes that encompass a primary channel but do not identify the location of 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Replace the full sentence that begins "For operating classes that </w:t>
            </w:r>
            <w:proofErr w:type="gramStart"/>
            <w:r w:rsidRPr="00A5777C">
              <w:rPr>
                <w:rFonts w:ascii="Arial" w:hAnsi="Arial" w:cs="Arial"/>
                <w:color w:val="000000"/>
                <w:sz w:val="20"/>
                <w:lang w:eastAsia="en-GB"/>
              </w:rPr>
              <w:t>encompass ..</w:t>
            </w:r>
            <w:proofErr w:type="gramEnd"/>
            <w:r w:rsidRPr="00A5777C">
              <w:rPr>
                <w:rFonts w:ascii="Arial" w:hAnsi="Arial" w:cs="Arial"/>
                <w:color w:val="000000"/>
                <w:sz w:val="20"/>
                <w:lang w:eastAsia="en-GB"/>
              </w:rPr>
              <w:t>".</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w:t>
            </w:r>
            <w:proofErr w:type="spellStart"/>
            <w:r w:rsidRPr="00A5777C">
              <w:rPr>
                <w:rFonts w:ascii="Arial" w:hAnsi="Arial" w:cs="Arial"/>
                <w:color w:val="000000"/>
                <w:sz w:val="20"/>
                <w:lang w:eastAsia="en-GB"/>
              </w:rPr>
              <w:t>subelement</w:t>
            </w:r>
            <w:proofErr w:type="spellEnd"/>
            <w:r w:rsidRPr="00A5777C">
              <w:rPr>
                <w:rFonts w:ascii="Arial" w:hAnsi="Arial" w:cs="Arial"/>
                <w:color w:val="000000"/>
                <w:sz w:val="20"/>
                <w:lang w:eastAsia="en-GB"/>
              </w:rPr>
              <w:t xml:space="preserve">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operating class indicated by the value of 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frame does not identify the location of that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lastRenderedPageBreak/>
              <w:t>"  --</w:t>
            </w:r>
            <w:proofErr w:type="gramEnd"/>
            <w:r w:rsidRPr="00A5777C">
              <w:rPr>
                <w:rFonts w:ascii="Arial" w:hAnsi="Arial" w:cs="Arial"/>
                <w:color w:val="000000"/>
                <w:sz w:val="20"/>
                <w:lang w:eastAsia="en-GB"/>
              </w:rPr>
              <w:t xml:space="preserve">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w:t>
      </w:r>
      <w:proofErr w:type="spellStart"/>
      <w:r>
        <w:t>subelement</w:t>
      </w:r>
      <w:proofErr w:type="spellEnd"/>
      <w:r>
        <w:t xml:space="preserve">.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5"/>
        <w:gridCol w:w="2991"/>
        <w:gridCol w:w="1772"/>
        <w:gridCol w:w="1094"/>
        <w:gridCol w:w="839"/>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t>
            </w:r>
            <w:proofErr w:type="gramStart"/>
            <w:r w:rsidRPr="00375A61">
              <w:rPr>
                <w:rFonts w:ascii="Arial" w:hAnsi="Arial" w:cs="Arial"/>
                <w:color w:val="000000"/>
                <w:sz w:val="20"/>
                <w:lang w:eastAsia="en-GB"/>
              </w:rPr>
              <w:t>why  is</w:t>
            </w:r>
            <w:proofErr w:type="gramEnd"/>
            <w:r w:rsidRPr="00375A61">
              <w:rPr>
                <w:rFonts w:ascii="Arial" w:hAnsi="Arial" w:cs="Arial"/>
                <w:color w:val="000000"/>
                <w:sz w:val="20"/>
                <w:lang w:eastAsia="en-GB"/>
              </w:rPr>
              <w:t xml:space="preserve"> there no specification of the use of Country, Power Constraint and VHT Transmit Power Envelope elements, as well as Maximum Transmit Power Level field, etc. with respect to mesh STAs?  Are mesh STAs not subject to power </w:t>
            </w:r>
            <w:proofErr w:type="spellStart"/>
            <w:r w:rsidRPr="00375A61">
              <w:rPr>
                <w:rFonts w:ascii="Arial" w:hAnsi="Arial" w:cs="Arial"/>
                <w:color w:val="000000"/>
                <w:sz w:val="20"/>
                <w:lang w:eastAsia="en-GB"/>
              </w:rPr>
              <w:t>contraint</w:t>
            </w:r>
            <w:proofErr w:type="spellEnd"/>
            <w:r w:rsidRPr="00375A61">
              <w:rPr>
                <w:rFonts w:ascii="Arial" w:hAnsi="Arial" w:cs="Arial"/>
                <w:color w:val="000000"/>
                <w:sz w:val="20"/>
                <w:lang w:eastAsia="en-GB"/>
              </w:rPr>
              <w:t xml:space="preserve">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Insert a new paragraph specifying the use of power constraint facilities to 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where</w:t>
      </w:r>
      <w:proofErr w:type="gramEnd"/>
      <w:r>
        <w:rPr>
          <w:rFonts w:ascii="TimesNewRomanPSMT" w:hAnsi="TimesNewRomanPSMT" w:cs="TimesNewRomanPSMT"/>
          <w:sz w:val="20"/>
          <w:lang w:val="en-US"/>
        </w:rPr>
        <w:t xml:space="preserv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40 MHz </w:t>
      </w:r>
      <w:proofErr w:type="spellStart"/>
      <w:r>
        <w:rPr>
          <w:rFonts w:ascii="TimesNewRomanPSMT" w:hAnsi="TimesNewRomanPSMT" w:cs="TimesNewRomanPSMT"/>
          <w:sz w:val="20"/>
          <w:lang w:val="en-US"/>
        </w:rPr>
        <w:t>Subband</w:t>
      </w:r>
      <w:proofErr w:type="spellEnd"/>
      <w:r>
        <w:rPr>
          <w:rFonts w:ascii="TimesNewRomanPSMT" w:hAnsi="TimesNewRomanPSMT" w:cs="TimesNewRomanPSMT"/>
          <w:sz w:val="20"/>
          <w:lang w:val="en-US"/>
        </w:rPr>
        <w:t xml:space="preserve">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subfield</w:t>
      </w:r>
      <w:proofErr w:type="gramEnd"/>
      <w:r>
        <w:rPr>
          <w:rFonts w:ascii="TimesNewRomanPSMT" w:hAnsi="TimesNewRomanPSMT" w:cs="TimesNewRomanPSMT"/>
          <w:sz w:val="20"/>
          <w:lang w:val="en-US"/>
        </w:rPr>
        <w:t>,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20 MHz and Local Maximum Transmit Power </w:t>
      </w: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the same as the indicated local power constraint expressed by the combination of Country element</w:t>
      </w:r>
    </w:p>
    <w:p w:rsidR="009202B1" w:rsidRDefault="009202B1" w:rsidP="009202B1">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7"/>
        <w:gridCol w:w="3187"/>
        <w:gridCol w:w="1476"/>
        <w:gridCol w:w="1094"/>
        <w:gridCol w:w="89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4"/>
        <w:gridCol w:w="2684"/>
        <w:gridCol w:w="1848"/>
        <w:gridCol w:w="1094"/>
        <w:gridCol w:w="93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t>
            </w:r>
            <w:proofErr w:type="gramStart"/>
            <w:r w:rsidRPr="00375A61">
              <w:rPr>
                <w:rFonts w:ascii="Arial" w:hAnsi="Arial" w:cs="Arial"/>
                <w:color w:val="000000"/>
                <w:sz w:val="20"/>
                <w:lang w:eastAsia="en-GB"/>
              </w:rPr>
              <w:t>within</w:t>
            </w:r>
            <w:proofErr w:type="gramEnd"/>
            <w:r w:rsidRPr="00375A61">
              <w:rPr>
                <w:rFonts w:ascii="Arial" w:hAnsi="Arial" w:cs="Arial"/>
                <w:color w:val="000000"/>
                <w:sz w:val="20"/>
                <w:lang w:eastAsia="en-GB"/>
              </w:rPr>
              <w:t xml:space="preserve"> a spectrum-managed IBSS":  but there is no definition of "spectrum-managed" </w:t>
            </w:r>
            <w:proofErr w:type="spellStart"/>
            <w:r w:rsidRPr="00375A61">
              <w:rPr>
                <w:rFonts w:ascii="Arial" w:hAnsi="Arial" w:cs="Arial"/>
                <w:color w:val="000000"/>
                <w:sz w:val="20"/>
                <w:lang w:eastAsia="en-GB"/>
              </w:rPr>
              <w:t>anythng</w:t>
            </w:r>
            <w:proofErr w:type="spellEnd"/>
            <w:r w:rsidRPr="00375A61">
              <w:rPr>
                <w:rFonts w:ascii="Arial" w:hAnsi="Arial" w:cs="Arial"/>
                <w:color w:val="000000"/>
                <w:sz w:val="20"/>
                <w:lang w:eastAsia="en-GB"/>
              </w:rPr>
              <w:t xml:space="preserve">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1"/>
        <w:gridCol w:w="2169"/>
        <w:gridCol w:w="2579"/>
        <w:gridCol w:w="1094"/>
        <w:gridCol w:w="848"/>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w:t>
      </w:r>
      <w:proofErr w:type="spellStart"/>
      <w:r w:rsidR="006357A8">
        <w:t>Behavior</w:t>
      </w:r>
      <w:proofErr w:type="spellEnd"/>
      <w:r w:rsidR="006357A8">
        <w:t xml:space="preserve">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8"/>
        <w:gridCol w:w="2585"/>
        <w:gridCol w:w="2325"/>
        <w:gridCol w:w="1094"/>
        <w:gridCol w:w="903"/>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 xml:space="preserve">The </w:t>
            </w:r>
            <w:proofErr w:type="spellStart"/>
            <w:r w:rsidRPr="00C65621">
              <w:rPr>
                <w:rFonts w:ascii="Arial" w:hAnsi="Arial" w:cs="Arial"/>
                <w:color w:val="000000"/>
                <w:sz w:val="20"/>
                <w:lang w:eastAsia="en-GB"/>
              </w:rPr>
              <w:t>behavior</w:t>
            </w:r>
            <w:proofErr w:type="spellEnd"/>
            <w:r w:rsidRPr="00C65621">
              <w:rPr>
                <w:rFonts w:ascii="Arial" w:hAnsi="Arial" w:cs="Arial"/>
                <w:color w:val="000000"/>
                <w:sz w:val="20"/>
                <w:lang w:eastAsia="en-GB"/>
              </w:rPr>
              <w:t xml:space="preserve">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 xml:space="preserve">class that includes a value of </w:t>
      </w:r>
      <w:proofErr w:type="spellStart"/>
      <w:r w:rsidR="006078E8" w:rsidRPr="004F351F">
        <w:rPr>
          <w:szCs w:val="22"/>
          <w:lang w:val="en-US"/>
        </w:rPr>
        <w:t>PrimaryChannelLowerBehavior</w:t>
      </w:r>
      <w:proofErr w:type="spellEnd"/>
      <w:r w:rsidR="006078E8" w:rsidRPr="004F351F">
        <w:rPr>
          <w:szCs w:val="22"/>
          <w:lang w:val="en-US"/>
        </w:rPr>
        <w:t xml:space="preserve"> or </w:t>
      </w:r>
      <w:proofErr w:type="spellStart"/>
      <w:r w:rsidR="006078E8" w:rsidRPr="004F351F">
        <w:rPr>
          <w:szCs w:val="22"/>
          <w:lang w:val="en-US"/>
        </w:rPr>
        <w:t>PrimaryChannelUpperBehavior</w:t>
      </w:r>
      <w:proofErr w:type="spellEnd"/>
      <w:r w:rsidR="006078E8" w:rsidRPr="004F351F">
        <w:rPr>
          <w:szCs w:val="22"/>
          <w:lang w:val="en-US"/>
        </w:rPr>
        <w:t xml:space="preserve">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 xml:space="preserve">does not include 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 xml:space="preserve">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w:t>
      </w:r>
      <w:proofErr w:type="gramStart"/>
      <w:r w:rsidR="004F351F" w:rsidRPr="004F351F">
        <w:rPr>
          <w:szCs w:val="22"/>
        </w:rPr>
        <w:t xml:space="preserve">and </w:t>
      </w:r>
      <w:r w:rsidRPr="004F351F">
        <w:rPr>
          <w:szCs w:val="22"/>
        </w:rPr>
        <w:t xml:space="preserve"> replace</w:t>
      </w:r>
      <w:proofErr w:type="gramEnd"/>
      <w:r w:rsidRPr="004F351F">
        <w:rPr>
          <w:szCs w:val="22"/>
        </w:rPr>
        <w:t xml:space="preserv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proofErr w:type="gramStart"/>
      <w:r w:rsidR="00255C4F">
        <w:t>”.</w:t>
      </w:r>
      <w:proofErr w:type="gramEnd"/>
    </w:p>
    <w:p w:rsidR="00DA5F5B" w:rsidRPr="00FC1AB1" w:rsidRDefault="00DA5F5B" w:rsidP="00DA5F5B">
      <w:pPr>
        <w:autoSpaceDE w:val="0"/>
        <w:autoSpaceDN w:val="0"/>
        <w:adjustRightInd w:val="0"/>
        <w:rPr>
          <w:szCs w:val="22"/>
          <w:lang w:val="en-US"/>
        </w:rPr>
      </w:pPr>
      <w:r w:rsidRPr="00FC1AB1">
        <w:rPr>
          <w:szCs w:val="22"/>
        </w:rPr>
        <w:lastRenderedPageBreak/>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 xml:space="preserve">if the Behavior Limit parameter of the selected row contains the value </w:t>
      </w:r>
      <w:proofErr w:type="spellStart"/>
      <w:r w:rsidRPr="00FC1AB1">
        <w:rPr>
          <w:szCs w:val="22"/>
          <w:lang w:val="en-US"/>
        </w:rPr>
        <w:t>PrimaryChannelLowerBehavior</w:t>
      </w:r>
      <w:proofErr w:type="spellEnd"/>
      <w:r w:rsidRPr="00FC1AB1">
        <w:rPr>
          <w:szCs w:val="22"/>
          <w:lang w:val="en-US"/>
        </w:rPr>
        <w:t>”</w:t>
      </w:r>
    </w:p>
    <w:p w:rsidR="00DA5F5B" w:rsidRPr="00FC1AB1" w:rsidRDefault="00DA5F5B" w:rsidP="00DA5F5B">
      <w:pPr>
        <w:autoSpaceDE w:val="0"/>
        <w:autoSpaceDN w:val="0"/>
        <w:adjustRightInd w:val="0"/>
        <w:rPr>
          <w:szCs w:val="22"/>
          <w:lang w:val="en-US"/>
        </w:rPr>
      </w:pPr>
      <w:r w:rsidRPr="00FC1AB1">
        <w:rPr>
          <w:szCs w:val="22"/>
          <w:lang w:val="en-US"/>
        </w:rPr>
        <w:t xml:space="preserve">At 1694.21, replace “selected row contains the value 14” with “selected row contains the value </w:t>
      </w:r>
      <w:proofErr w:type="spellStart"/>
      <w:r w:rsidRPr="00FC1AB1">
        <w:rPr>
          <w:szCs w:val="22"/>
          <w:lang w:val="en-US"/>
        </w:rPr>
        <w:t>PrimaryChannelUpperBehavior</w:t>
      </w:r>
      <w:proofErr w:type="spellEnd"/>
      <w:r w:rsidRPr="00FC1AB1">
        <w:rPr>
          <w:szCs w:val="22"/>
          <w:lang w:val="en-US"/>
        </w:rPr>
        <w:t>”.</w:t>
      </w:r>
    </w:p>
    <w:p w:rsidR="00DA5F5B" w:rsidRDefault="00DA5F5B" w:rsidP="00DA5F5B">
      <w:pPr>
        <w:autoSpaceDE w:val="0"/>
        <w:autoSpaceDN w:val="0"/>
        <w:adjustRightInd w:val="0"/>
        <w:rPr>
          <w:szCs w:val="22"/>
          <w:lang w:val="en-US"/>
        </w:rPr>
      </w:pPr>
      <w:r w:rsidRPr="00FC1AB1">
        <w:rPr>
          <w:szCs w:val="22"/>
          <w:lang w:val="en-US"/>
        </w:rPr>
        <w:t xml:space="preserve">At 1694.24, replace “selected row contains neither the value 13 nor the value 14” with “selected row contains neither the value </w:t>
      </w:r>
      <w:proofErr w:type="spellStart"/>
      <w:r w:rsidRPr="00FC1AB1">
        <w:rPr>
          <w:szCs w:val="22"/>
          <w:lang w:val="en-US"/>
        </w:rPr>
        <w:t>PrimaryChannelLowerBehavior</w:t>
      </w:r>
      <w:proofErr w:type="spellEnd"/>
      <w:r w:rsidRPr="00FC1AB1">
        <w:rPr>
          <w:szCs w:val="22"/>
          <w:lang w:val="en-US"/>
        </w:rPr>
        <w:t xml:space="preserve"> nor the value </w:t>
      </w:r>
      <w:proofErr w:type="spellStart"/>
      <w:r w:rsidRPr="00FC1AB1">
        <w:rPr>
          <w:szCs w:val="22"/>
          <w:lang w:val="en-US"/>
        </w:rPr>
        <w:t>PrimaryChannelUpperBehavior</w:t>
      </w:r>
      <w:proofErr w:type="spellEnd"/>
      <w:r w:rsidRPr="00FC1AB1">
        <w:rPr>
          <w:szCs w:val="22"/>
          <w:lang w:val="en-US"/>
        </w:rPr>
        <w:t>”</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 xml:space="preserve">At 3352.43 , replace “STAs operating under the behavior limits set 17” with “STAs operating with a behavior limits set value of </w:t>
      </w:r>
      <w:proofErr w:type="spellStart"/>
      <w:r w:rsidRPr="000E7ED4">
        <w:rPr>
          <w:szCs w:val="22"/>
          <w:lang w:val="en-US"/>
        </w:rPr>
        <w:t>ITS_nonmobile_operations</w:t>
      </w:r>
      <w:proofErr w:type="spellEnd"/>
      <w:r w:rsidRPr="000E7ED4">
        <w:rPr>
          <w:szCs w:val="22"/>
          <w:lang w:val="en-US"/>
        </w:rPr>
        <w:t>”.</w:t>
      </w:r>
    </w:p>
    <w:sectPr w:rsidR="000E7ED4" w:rsidRPr="000E7ED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20" w:rsidRDefault="00443420">
      <w:r>
        <w:separator/>
      </w:r>
    </w:p>
  </w:endnote>
  <w:endnote w:type="continuationSeparator" w:id="0">
    <w:p w:rsidR="00443420" w:rsidRDefault="0044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D90C5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F7196">
      <w:rPr>
        <w:noProof/>
      </w:rPr>
      <w:t>6</w:t>
    </w:r>
    <w:r>
      <w:fldChar w:fldCharType="end"/>
    </w:r>
    <w:r>
      <w:tab/>
      <w:t>Peter Ecclesine, Cisco Systems</w:t>
    </w:r>
  </w:p>
  <w:p w:rsidR="00D90C57" w:rsidRDefault="00D90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20" w:rsidRDefault="00443420">
      <w:r>
        <w:separator/>
      </w:r>
    </w:p>
  </w:footnote>
  <w:footnote w:type="continuationSeparator" w:id="0">
    <w:p w:rsidR="00443420" w:rsidRDefault="0044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D90C57">
    <w:pPr>
      <w:pStyle w:val="Header"/>
      <w:tabs>
        <w:tab w:val="clear" w:pos="6480"/>
        <w:tab w:val="center" w:pos="4680"/>
        <w:tab w:val="right" w:pos="9360"/>
      </w:tabs>
    </w:pPr>
    <w:fldSimple w:instr=" KEYWORDS  \* MERGEFORMAT ">
      <w:r>
        <w:t>July 2015</w:t>
      </w:r>
    </w:fldSimple>
    <w:r>
      <w:tab/>
    </w:r>
    <w:r>
      <w:tab/>
    </w:r>
    <w:fldSimple w:instr=" TITLE  \* MERGEFORMAT ">
      <w:r>
        <w:t>doc.: IEEE 802.11-15/0828r1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004052"/>
    <w:rsid w:val="0002568E"/>
    <w:rsid w:val="00046FE6"/>
    <w:rsid w:val="00047E34"/>
    <w:rsid w:val="00066FEC"/>
    <w:rsid w:val="00067917"/>
    <w:rsid w:val="00077997"/>
    <w:rsid w:val="00081CEE"/>
    <w:rsid w:val="000966D7"/>
    <w:rsid w:val="000C1232"/>
    <w:rsid w:val="000C34FB"/>
    <w:rsid w:val="000D21E8"/>
    <w:rsid w:val="000E3E22"/>
    <w:rsid w:val="000E7ED4"/>
    <w:rsid w:val="00101002"/>
    <w:rsid w:val="00122B56"/>
    <w:rsid w:val="001365EE"/>
    <w:rsid w:val="00191DEB"/>
    <w:rsid w:val="001A62A6"/>
    <w:rsid w:val="001C1B56"/>
    <w:rsid w:val="001C577A"/>
    <w:rsid w:val="001D6003"/>
    <w:rsid w:val="001D723B"/>
    <w:rsid w:val="001E6C98"/>
    <w:rsid w:val="001F4DE0"/>
    <w:rsid w:val="00215189"/>
    <w:rsid w:val="002153CC"/>
    <w:rsid w:val="002315FC"/>
    <w:rsid w:val="00253539"/>
    <w:rsid w:val="00255C4F"/>
    <w:rsid w:val="00261268"/>
    <w:rsid w:val="0029020B"/>
    <w:rsid w:val="00291CF8"/>
    <w:rsid w:val="002B02A9"/>
    <w:rsid w:val="002B0C68"/>
    <w:rsid w:val="002D2B30"/>
    <w:rsid w:val="002D44BE"/>
    <w:rsid w:val="002E3BAD"/>
    <w:rsid w:val="003430EE"/>
    <w:rsid w:val="003656EB"/>
    <w:rsid w:val="00375A61"/>
    <w:rsid w:val="00380756"/>
    <w:rsid w:val="003816DC"/>
    <w:rsid w:val="003829C9"/>
    <w:rsid w:val="00393A1B"/>
    <w:rsid w:val="003A174B"/>
    <w:rsid w:val="003D4D31"/>
    <w:rsid w:val="003F2472"/>
    <w:rsid w:val="003F4F33"/>
    <w:rsid w:val="003F7196"/>
    <w:rsid w:val="00442037"/>
    <w:rsid w:val="00443420"/>
    <w:rsid w:val="00452023"/>
    <w:rsid w:val="004530CE"/>
    <w:rsid w:val="004557CC"/>
    <w:rsid w:val="00467CAA"/>
    <w:rsid w:val="00471EE0"/>
    <w:rsid w:val="00472BD5"/>
    <w:rsid w:val="00477319"/>
    <w:rsid w:val="00497123"/>
    <w:rsid w:val="004A1981"/>
    <w:rsid w:val="004B064B"/>
    <w:rsid w:val="004B7A20"/>
    <w:rsid w:val="004D4F18"/>
    <w:rsid w:val="004E184C"/>
    <w:rsid w:val="004F351F"/>
    <w:rsid w:val="00501E01"/>
    <w:rsid w:val="00502E1D"/>
    <w:rsid w:val="00512198"/>
    <w:rsid w:val="005352A4"/>
    <w:rsid w:val="005461B6"/>
    <w:rsid w:val="005A1014"/>
    <w:rsid w:val="005A7E26"/>
    <w:rsid w:val="006078E8"/>
    <w:rsid w:val="0062440B"/>
    <w:rsid w:val="006357A8"/>
    <w:rsid w:val="006875AA"/>
    <w:rsid w:val="006933E2"/>
    <w:rsid w:val="006C0727"/>
    <w:rsid w:val="006C5175"/>
    <w:rsid w:val="006D3C63"/>
    <w:rsid w:val="006E142E"/>
    <w:rsid w:val="006E145F"/>
    <w:rsid w:val="007133EF"/>
    <w:rsid w:val="00714B8B"/>
    <w:rsid w:val="00722C7E"/>
    <w:rsid w:val="00724281"/>
    <w:rsid w:val="00747B6D"/>
    <w:rsid w:val="00761F33"/>
    <w:rsid w:val="007621A7"/>
    <w:rsid w:val="007645DE"/>
    <w:rsid w:val="00770572"/>
    <w:rsid w:val="007806BA"/>
    <w:rsid w:val="00786A71"/>
    <w:rsid w:val="00792181"/>
    <w:rsid w:val="007943FA"/>
    <w:rsid w:val="007A11CF"/>
    <w:rsid w:val="007B6782"/>
    <w:rsid w:val="007D133C"/>
    <w:rsid w:val="008045D7"/>
    <w:rsid w:val="00810535"/>
    <w:rsid w:val="00853699"/>
    <w:rsid w:val="008858C4"/>
    <w:rsid w:val="008927D5"/>
    <w:rsid w:val="008C7D0D"/>
    <w:rsid w:val="008D0209"/>
    <w:rsid w:val="008D23F8"/>
    <w:rsid w:val="008D2EB6"/>
    <w:rsid w:val="008E4898"/>
    <w:rsid w:val="008F1DBB"/>
    <w:rsid w:val="009002FA"/>
    <w:rsid w:val="009202B1"/>
    <w:rsid w:val="00922D25"/>
    <w:rsid w:val="009544B2"/>
    <w:rsid w:val="00962524"/>
    <w:rsid w:val="00992D25"/>
    <w:rsid w:val="009948CF"/>
    <w:rsid w:val="009A5F60"/>
    <w:rsid w:val="009D5610"/>
    <w:rsid w:val="009E46B5"/>
    <w:rsid w:val="009F2FBC"/>
    <w:rsid w:val="009F6737"/>
    <w:rsid w:val="00A027C3"/>
    <w:rsid w:val="00A14342"/>
    <w:rsid w:val="00A307CB"/>
    <w:rsid w:val="00A45D13"/>
    <w:rsid w:val="00A53240"/>
    <w:rsid w:val="00A5777C"/>
    <w:rsid w:val="00A90CEA"/>
    <w:rsid w:val="00A935CA"/>
    <w:rsid w:val="00AA38A7"/>
    <w:rsid w:val="00AA3BB6"/>
    <w:rsid w:val="00AA427C"/>
    <w:rsid w:val="00AC3EA0"/>
    <w:rsid w:val="00AD726B"/>
    <w:rsid w:val="00AE2E77"/>
    <w:rsid w:val="00AF4A77"/>
    <w:rsid w:val="00B04B10"/>
    <w:rsid w:val="00B21AC4"/>
    <w:rsid w:val="00B41F49"/>
    <w:rsid w:val="00B804BF"/>
    <w:rsid w:val="00B9167E"/>
    <w:rsid w:val="00BA337E"/>
    <w:rsid w:val="00BA49F6"/>
    <w:rsid w:val="00BC755A"/>
    <w:rsid w:val="00BE0FA8"/>
    <w:rsid w:val="00BE68C2"/>
    <w:rsid w:val="00BF2127"/>
    <w:rsid w:val="00BF3D86"/>
    <w:rsid w:val="00C05338"/>
    <w:rsid w:val="00C14413"/>
    <w:rsid w:val="00C65621"/>
    <w:rsid w:val="00CA09B2"/>
    <w:rsid w:val="00CB38B4"/>
    <w:rsid w:val="00CB5387"/>
    <w:rsid w:val="00CE15AD"/>
    <w:rsid w:val="00CE2A15"/>
    <w:rsid w:val="00D37070"/>
    <w:rsid w:val="00D513F5"/>
    <w:rsid w:val="00D63802"/>
    <w:rsid w:val="00D74A18"/>
    <w:rsid w:val="00D90C57"/>
    <w:rsid w:val="00DA5F5B"/>
    <w:rsid w:val="00DB6835"/>
    <w:rsid w:val="00DC5A7B"/>
    <w:rsid w:val="00DF1600"/>
    <w:rsid w:val="00E44DD4"/>
    <w:rsid w:val="00E70FA1"/>
    <w:rsid w:val="00E9019C"/>
    <w:rsid w:val="00ED4226"/>
    <w:rsid w:val="00EF1659"/>
    <w:rsid w:val="00F1250C"/>
    <w:rsid w:val="00F30024"/>
    <w:rsid w:val="00F4133C"/>
    <w:rsid w:val="00F468A7"/>
    <w:rsid w:val="00F66B0E"/>
    <w:rsid w:val="00F71398"/>
    <w:rsid w:val="00F8141D"/>
    <w:rsid w:val="00FA0570"/>
    <w:rsid w:val="00FC1AB1"/>
    <w:rsid w:val="00FD1483"/>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4296-4278-472E-8482-3B93E93C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454</TotalTime>
  <Pages>9</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11</cp:revision>
  <cp:lastPrinted>2013-04-08T20:44:00Z</cp:lastPrinted>
  <dcterms:created xsi:type="dcterms:W3CDTF">2015-07-16T23:20:00Z</dcterms:created>
  <dcterms:modified xsi:type="dcterms:W3CDTF">2015-09-07T18:45:00Z</dcterms:modified>
</cp:coreProperties>
</file>