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7634C" w:rsidP="00C45514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 w:rsidRPr="00F7634C">
              <w:t>ditorial resolution of cross reference issue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634C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</w:t>
            </w:r>
            <w:r w:rsidR="00400406">
              <w:rPr>
                <w:rFonts w:hint="eastAsia"/>
                <w:b w:val="0"/>
                <w:sz w:val="20"/>
                <w:lang w:eastAsia="zh-CN"/>
              </w:rPr>
              <w:t>5-0</w:t>
            </w:r>
            <w:r w:rsidR="00F7634C">
              <w:rPr>
                <w:rFonts w:hint="eastAsia"/>
                <w:b w:val="0"/>
                <w:sz w:val="20"/>
                <w:lang w:eastAsia="zh-CN"/>
              </w:rPr>
              <w:t>6</w:t>
            </w:r>
            <w:r w:rsidR="00B31990">
              <w:rPr>
                <w:rFonts w:hint="eastAsia"/>
                <w:b w:val="0"/>
                <w:sz w:val="20"/>
                <w:lang w:eastAsia="zh-CN"/>
              </w:rPr>
              <w:t>-</w:t>
            </w:r>
            <w:r w:rsidR="00F7634C">
              <w:rPr>
                <w:rFonts w:hint="eastAsia"/>
                <w:b w:val="0"/>
                <w:sz w:val="20"/>
                <w:lang w:eastAsia="zh-CN"/>
              </w:rPr>
              <w:t>09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Huawei Technologies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4D7C6E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p</w:t>
            </w:r>
            <w:r w:rsidR="00B10E88"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</w:tbl>
    <w:p w:rsidR="00CA09B2" w:rsidRDefault="00595901">
      <w:pPr>
        <w:pStyle w:val="T1"/>
        <w:spacing w:after="120"/>
        <w:rPr>
          <w:sz w:val="22"/>
        </w:rPr>
      </w:pPr>
      <w:r w:rsidRPr="00595901"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A55C4" w:rsidRDefault="00EA55C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00406" w:rsidRDefault="00EA55C4" w:rsidP="00400406">
                  <w:pPr>
                    <w:jc w:val="both"/>
                    <w:rPr>
                      <w:lang w:eastAsia="zh-CN"/>
                    </w:rPr>
                  </w:pPr>
                  <w:r>
                    <w:t xml:space="preserve">This document provides </w:t>
                  </w:r>
                  <w:r w:rsidR="00F7634C">
                    <w:rPr>
                      <w:rFonts w:hint="eastAsia"/>
                      <w:lang w:eastAsia="zh-CN"/>
                    </w:rPr>
                    <w:t>e</w:t>
                  </w:r>
                  <w:r w:rsidR="00F7634C" w:rsidRPr="00F7634C">
                    <w:t xml:space="preserve">ditorial resolution of </w:t>
                  </w:r>
                  <w:proofErr w:type="gramStart"/>
                  <w:r w:rsidR="00F7634C" w:rsidRPr="00F7634C">
                    <w:t>cross reference</w:t>
                  </w:r>
                  <w:proofErr w:type="gramEnd"/>
                  <w:r w:rsidR="00F7634C" w:rsidRPr="00F7634C">
                    <w:t xml:space="preserve"> issue</w:t>
                  </w:r>
                  <w:r w:rsidR="00400406">
                    <w:rPr>
                      <w:rFonts w:hint="eastAsia"/>
                      <w:lang w:eastAsia="zh-CN"/>
                    </w:rPr>
                    <w:t>.</w:t>
                  </w:r>
                </w:p>
                <w:p w:rsidR="006D5C78" w:rsidRDefault="006D5C78">
                  <w:pPr>
                    <w:jc w:val="both"/>
                    <w:rPr>
                      <w:lang w:eastAsia="zh-CN"/>
                    </w:rPr>
                  </w:pPr>
                </w:p>
                <w:p w:rsidR="00EA55C4" w:rsidRPr="00C3055C" w:rsidRDefault="00EA55C4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Pr="007E3F7E" w:rsidRDefault="007E3F7E">
      <w:pPr>
        <w:rPr>
          <w:b/>
          <w:lang w:eastAsia="zh-CN"/>
        </w:rPr>
      </w:pPr>
      <w:r w:rsidRPr="007E3F7E">
        <w:rPr>
          <w:rFonts w:hint="eastAsia"/>
          <w:b/>
          <w:lang w:eastAsia="zh-CN"/>
        </w:rPr>
        <w:t>Discussion</w:t>
      </w:r>
      <w:r w:rsidR="00F7634C">
        <w:rPr>
          <w:rFonts w:hint="eastAsia"/>
          <w:b/>
          <w:lang w:eastAsia="zh-CN"/>
        </w:rPr>
        <w:t>:</w:t>
      </w:r>
    </w:p>
    <w:p w:rsidR="00F7634C" w:rsidRDefault="00F7634C">
      <w:pPr>
        <w:rPr>
          <w:lang w:eastAsia="zh-CN"/>
        </w:rPr>
      </w:pPr>
      <w:r>
        <w:rPr>
          <w:rFonts w:hint="eastAsia"/>
          <w:lang w:eastAsia="zh-CN"/>
        </w:rPr>
        <w:t xml:space="preserve">In clause </w:t>
      </w:r>
      <w:r w:rsidRPr="00F7634C">
        <w:rPr>
          <w:lang w:eastAsia="zh-CN"/>
        </w:rPr>
        <w:t>11.11.2.3.2</w:t>
      </w:r>
      <w:r>
        <w:rPr>
          <w:rFonts w:hint="eastAsia"/>
          <w:lang w:eastAsia="zh-CN"/>
        </w:rPr>
        <w:t xml:space="preserve"> of D4.5</w:t>
      </w:r>
      <w:r w:rsidR="00484DAD">
        <w:rPr>
          <w:rFonts w:hint="eastAsia"/>
          <w:lang w:eastAsia="zh-CN"/>
        </w:rPr>
        <w:t>, there is a paragraph as below:</w:t>
      </w:r>
      <w:r>
        <w:rPr>
          <w:rFonts w:hint="eastAsia"/>
          <w:lang w:eastAsia="zh-CN"/>
        </w:rPr>
        <w:t xml:space="preserve"> </w:t>
      </w:r>
    </w:p>
    <w:p w:rsidR="00F7634C" w:rsidRDefault="00F7634C" w:rsidP="00F7634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/>
        </w:rPr>
        <w:t>The STA then constructs an Authentication frame with the Authentication algorithm number set to 4 (FILS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authentication) (see 8.4.1.1 (Authentication Algorithm Number field)) and the Authentication transaction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sequence number set to 1. The random nonce shall be encoded in the FILS Nonce field (see 8.4.1.58 (FILS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Nonce field)), and the FILS Authentication Type field shall be set to FILS shared key authentication as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defined in Table 8-257c (Key Type). If a list of PMKSA identifiers was generated, it shall be used to construct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PMKID List elements. The EAP-Initiate/Re-auth packet, if generated, shall be copied into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FILS Wrapped Data field (see 8.4.2.183 (FILS Wrapped Data element)). If PFS is desired, the chosen finite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cyclic group shall be encoded in the Finite Cyclic Group field (see 8.4.1.42 (Finite Cyclic Group field)) and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ephemeral public key shall be encoded in the Element field (see 8.4.1.40 (Element field)) according to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element to octet-string conversion in 11.3.7.2.4 (Element to octet string conversion).</w:t>
      </w:r>
    </w:p>
    <w:p w:rsidR="007E3F7E" w:rsidRDefault="007E3F7E" w:rsidP="007E3F7E">
      <w:pPr>
        <w:rPr>
          <w:lang w:eastAsia="zh-CN"/>
        </w:rPr>
      </w:pPr>
    </w:p>
    <w:p w:rsidR="00484DAD" w:rsidRDefault="00484DAD" w:rsidP="007E3F7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t xml:space="preserve">here is a reference to Table 8-257c (Key Type) which </w:t>
      </w:r>
      <w:r>
        <w:rPr>
          <w:rFonts w:hint="eastAsia"/>
          <w:lang w:eastAsia="zh-CN"/>
        </w:rPr>
        <w:t>is</w:t>
      </w:r>
      <w:r>
        <w:t xml:space="preserve"> right.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fter offline discussion with George and Dan, it is confirmed that the reference is supposed to be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T</w:t>
      </w:r>
      <w:r w:rsidRPr="00484DAD">
        <w:rPr>
          <w:rFonts w:ascii="TimesNewRomanPSMT" w:hAnsi="TimesNewRomanPSMT" w:cs="TimesNewRomanPSMT"/>
          <w:sz w:val="20"/>
          <w:lang w:val="en-US"/>
        </w:rPr>
        <w:t>able 8-73a (Values of FILS Authentication Type Field)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. And </w:t>
      </w:r>
      <w:r>
        <w:rPr>
          <w:rFonts w:ascii="TimesNewRomanPSMT" w:hAnsi="TimesNewRomanPSMT" w:cs="TimesNewRomanPSMT"/>
          <w:sz w:val="20"/>
          <w:lang w:val="en-US" w:eastAsia="zh-CN"/>
        </w:rPr>
        <w:t>“</w:t>
      </w:r>
      <w:r w:rsidRPr="00484DAD">
        <w:rPr>
          <w:rFonts w:ascii="TimesNewRomanPSMT" w:hAnsi="TimesNewRomanPSMT" w:cs="TimesNewRomanPSMT"/>
          <w:sz w:val="20"/>
          <w:lang w:val="en-US"/>
        </w:rPr>
        <w:t>depending on whether</w:t>
      </w:r>
      <w:r w:rsidR="006B6563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Pr="00484DAD">
        <w:rPr>
          <w:rFonts w:ascii="TimesNewRomanPSMT" w:hAnsi="TimesNewRomanPSMT" w:cs="TimesNewRomanPSMT"/>
          <w:sz w:val="20"/>
          <w:lang w:val="en-US"/>
        </w:rPr>
        <w:t>PFS is used</w:t>
      </w:r>
      <w:r>
        <w:rPr>
          <w:rFonts w:ascii="TimesNewRomanPSMT" w:hAnsi="TimesNewRomanPSMT" w:cs="TimesNewRomanPSMT"/>
          <w:sz w:val="20"/>
          <w:lang w:val="en-US" w:eastAsia="zh-CN"/>
        </w:rPr>
        <w:t>”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is </w:t>
      </w:r>
      <w:r>
        <w:rPr>
          <w:rFonts w:ascii="TimesNewRomanPSMT" w:hAnsi="TimesNewRomanPSMT" w:cs="TimesNewRomanPSMT"/>
          <w:sz w:val="20"/>
          <w:lang w:val="en-US" w:eastAsia="zh-CN"/>
        </w:rPr>
        <w:t>recommended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by Dan g</w:t>
      </w:r>
      <w:r w:rsidR="006B6563">
        <w:rPr>
          <w:rFonts w:ascii="TimesNewRomanPSMT" w:hAnsi="TimesNewRomanPSMT" w:cs="TimesNewRomanPSMT" w:hint="eastAsia"/>
          <w:sz w:val="20"/>
          <w:lang w:val="en-US" w:eastAsia="zh-CN"/>
        </w:rPr>
        <w:t>iving the fact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that there are two values for </w:t>
      </w:r>
      <w:r>
        <w:t>FILS shared key authentication</w:t>
      </w:r>
      <w:r>
        <w:rPr>
          <w:rFonts w:hint="eastAsia"/>
          <w:lang w:eastAsia="zh-CN"/>
        </w:rPr>
        <w:t xml:space="preserve"> in the table.</w:t>
      </w:r>
    </w:p>
    <w:p w:rsidR="00F7634C" w:rsidRDefault="00F7634C" w:rsidP="007E3F7E">
      <w:pPr>
        <w:rPr>
          <w:lang w:eastAsia="zh-CN"/>
        </w:rPr>
      </w:pPr>
    </w:p>
    <w:p w:rsidR="00CA0A57" w:rsidRDefault="00CA0A57" w:rsidP="00CA0A57">
      <w:pPr>
        <w:rPr>
          <w:b/>
          <w:sz w:val="24"/>
          <w:lang w:eastAsia="zh-CN"/>
        </w:rPr>
      </w:pPr>
      <w:r>
        <w:rPr>
          <w:b/>
          <w:sz w:val="24"/>
        </w:rPr>
        <w:t xml:space="preserve">Instructions for Editor: please modify the text </w:t>
      </w:r>
      <w:r w:rsidR="007E3F7E">
        <w:rPr>
          <w:rFonts w:hint="eastAsia"/>
          <w:b/>
          <w:sz w:val="24"/>
          <w:lang w:eastAsia="zh-CN"/>
        </w:rPr>
        <w:t xml:space="preserve">in </w:t>
      </w:r>
      <w:r w:rsidR="00484DAD" w:rsidRPr="00484DAD">
        <w:rPr>
          <w:b/>
          <w:sz w:val="24"/>
          <w:lang w:eastAsia="zh-CN"/>
        </w:rPr>
        <w:t>11.11.2.3.2</w:t>
      </w:r>
      <w:r w:rsidR="007E3F7E">
        <w:rPr>
          <w:rFonts w:hint="eastAsia"/>
          <w:b/>
          <w:sz w:val="24"/>
          <w:lang w:eastAsia="zh-CN"/>
        </w:rPr>
        <w:t xml:space="preserve"> as below</w:t>
      </w:r>
      <w:r w:rsidR="00E22A2D">
        <w:rPr>
          <w:b/>
          <w:sz w:val="24"/>
          <w:lang w:eastAsia="zh-CN"/>
        </w:rPr>
        <w:t xml:space="preserve"> (P141L15)</w:t>
      </w:r>
      <w:r>
        <w:rPr>
          <w:b/>
          <w:sz w:val="24"/>
        </w:rPr>
        <w:t>:</w:t>
      </w:r>
    </w:p>
    <w:p w:rsidR="00AA27FD" w:rsidRDefault="00484DAD" w:rsidP="00CA0A57">
      <w:pPr>
        <w:rPr>
          <w:b/>
          <w:sz w:val="24"/>
          <w:lang w:eastAsia="zh-CN"/>
        </w:rPr>
      </w:pPr>
      <w:r>
        <w:rPr>
          <w:b/>
          <w:sz w:val="24"/>
          <w:lang w:eastAsia="zh-CN"/>
        </w:rPr>
        <w:t>C</w:t>
      </w:r>
      <w:r>
        <w:rPr>
          <w:rFonts w:hint="eastAsia"/>
          <w:b/>
          <w:sz w:val="24"/>
          <w:lang w:eastAsia="zh-CN"/>
        </w:rPr>
        <w:t xml:space="preserve">hange the sentence </w:t>
      </w:r>
    </w:p>
    <w:p w:rsidR="00484DAD" w:rsidRDefault="00484DAD" w:rsidP="00CA0A57">
      <w:pPr>
        <w:rPr>
          <w:b/>
          <w:sz w:val="24"/>
          <w:lang w:eastAsia="zh-CN"/>
        </w:rPr>
      </w:pPr>
      <w:r w:rsidRPr="00484DAD">
        <w:rPr>
          <w:rFonts w:ascii="TimesNewRomanPSMT" w:hAnsi="TimesNewRomanPSMT" w:cs="TimesNewRomanPSMT"/>
          <w:sz w:val="20"/>
          <w:lang w:val="en-US"/>
        </w:rPr>
        <w:t>“</w:t>
      </w:r>
      <w:r>
        <w:rPr>
          <w:rFonts w:ascii="TimesNewRomanPSMT" w:hAnsi="TimesNewRomanPSMT" w:cs="TimesNewRomanPSMT"/>
          <w:sz w:val="20"/>
          <w:lang w:val="en-US"/>
        </w:rPr>
        <w:t>The random nonce shall be encoded in the FILS Nonce field (see 8.4.1.58 (FILS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Nonce field)), and the FILS Authentication Type field shall be set to FILS shared key authentication as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defined in Table 8-257c (Key Type).</w:t>
      </w:r>
      <w:r>
        <w:rPr>
          <w:rFonts w:ascii="TimesNewRomanPSMT" w:hAnsi="TimesNewRomanPSMT" w:cs="TimesNewRomanPSMT"/>
          <w:sz w:val="20"/>
          <w:lang w:val="en-US" w:eastAsia="zh-CN"/>
        </w:rPr>
        <w:t>”</w:t>
      </w:r>
    </w:p>
    <w:p w:rsidR="00484DAD" w:rsidRDefault="00484DAD" w:rsidP="00CA0A57">
      <w:pPr>
        <w:rPr>
          <w:b/>
          <w:sz w:val="24"/>
          <w:lang w:eastAsia="zh-CN"/>
        </w:rPr>
      </w:pPr>
      <w:proofErr w:type="gramStart"/>
      <w:r>
        <w:rPr>
          <w:rFonts w:hint="eastAsia"/>
          <w:b/>
          <w:sz w:val="24"/>
          <w:lang w:eastAsia="zh-CN"/>
        </w:rPr>
        <w:t>to</w:t>
      </w:r>
      <w:proofErr w:type="gramEnd"/>
    </w:p>
    <w:p w:rsidR="007E3F7E" w:rsidRDefault="00484DAD">
      <w:pPr>
        <w:rPr>
          <w:b/>
          <w:sz w:val="24"/>
          <w:lang w:eastAsia="zh-CN"/>
        </w:rPr>
      </w:pPr>
      <w:r w:rsidRPr="00484DAD">
        <w:rPr>
          <w:rFonts w:ascii="TimesNewRomanPSMT" w:hAnsi="TimesNewRomanPSMT" w:cs="TimesNewRomanPSMT" w:hint="eastAsia"/>
          <w:sz w:val="20"/>
          <w:lang w:val="en-US"/>
        </w:rPr>
        <w:t>“</w:t>
      </w:r>
      <w:r w:rsidRPr="00484DAD">
        <w:rPr>
          <w:rFonts w:ascii="TimesNewRomanPSMT" w:hAnsi="TimesNewRomanPSMT" w:cs="TimesNewRomanPSMT"/>
          <w:sz w:val="20"/>
          <w:lang w:val="en-US"/>
        </w:rPr>
        <w:t xml:space="preserve">The random nonce shall be encoded in the FILS Nonce field (see 8.4.1.58 (FILS Nonce field)), and the FILS </w:t>
      </w:r>
      <w:r w:rsidR="00A431B7">
        <w:rPr>
          <w:rFonts w:ascii="TimesNewRomanPSMT" w:hAnsi="TimesNewRomanPSMT" w:cs="TimesNewRomanPSMT"/>
          <w:sz w:val="20"/>
          <w:lang w:val="en-US"/>
        </w:rPr>
        <w:t>A</w:t>
      </w:r>
      <w:r w:rsidR="00A431B7" w:rsidRPr="00484DAD">
        <w:rPr>
          <w:rFonts w:ascii="TimesNewRomanPSMT" w:hAnsi="TimesNewRomanPSMT" w:cs="TimesNewRomanPSMT"/>
          <w:sz w:val="20"/>
          <w:lang w:val="en-US"/>
        </w:rPr>
        <w:t xml:space="preserve">uthentication </w:t>
      </w:r>
      <w:r w:rsidR="00A431B7">
        <w:rPr>
          <w:rFonts w:ascii="TimesNewRomanPSMT" w:hAnsi="TimesNewRomanPSMT" w:cs="TimesNewRomanPSMT"/>
          <w:sz w:val="20"/>
          <w:lang w:val="en-US"/>
        </w:rPr>
        <w:t>T</w:t>
      </w:r>
      <w:r w:rsidR="00A431B7" w:rsidRPr="00484DAD">
        <w:rPr>
          <w:rFonts w:ascii="TimesNewRomanPSMT" w:hAnsi="TimesNewRomanPSMT" w:cs="TimesNewRomanPSMT"/>
          <w:sz w:val="20"/>
          <w:lang w:val="en-US"/>
        </w:rPr>
        <w:t xml:space="preserve">ype </w:t>
      </w:r>
      <w:r w:rsidR="00A431B7">
        <w:rPr>
          <w:rFonts w:ascii="TimesNewRomanPSMT" w:hAnsi="TimesNewRomanPSMT" w:cs="TimesNewRomanPSMT"/>
          <w:sz w:val="20"/>
          <w:lang w:val="en-US"/>
        </w:rPr>
        <w:t xml:space="preserve">field </w:t>
      </w:r>
      <w:r w:rsidRPr="00484DAD">
        <w:rPr>
          <w:rFonts w:ascii="TimesNewRomanPSMT" w:hAnsi="TimesNewRomanPSMT" w:cs="TimesNewRomanPSMT"/>
          <w:sz w:val="20"/>
          <w:lang w:val="en-US"/>
        </w:rPr>
        <w:t xml:space="preserve">shall be set to one of the FILS shared key authentication values as defined </w:t>
      </w:r>
      <w:r>
        <w:rPr>
          <w:rFonts w:ascii="TimesNewRomanPSMT" w:hAnsi="TimesNewRomanPSMT" w:cs="TimesNewRomanPSMT"/>
          <w:sz w:val="20"/>
          <w:lang w:val="en-US"/>
        </w:rPr>
        <w:t xml:space="preserve">in 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>T</w:t>
      </w:r>
      <w:r w:rsidRPr="00484DAD">
        <w:rPr>
          <w:rFonts w:ascii="TimesNewRomanPSMT" w:hAnsi="TimesNewRomanPSMT" w:cs="TimesNewRomanPSMT"/>
          <w:sz w:val="20"/>
          <w:lang w:val="en-US"/>
        </w:rPr>
        <w:t xml:space="preserve">able 8-73a (Values of FILS Authentication Type </w:t>
      </w:r>
      <w:r w:rsidR="00A431B7">
        <w:rPr>
          <w:rFonts w:ascii="TimesNewRomanPSMT" w:hAnsi="TimesNewRomanPSMT" w:cs="TimesNewRomanPSMT"/>
          <w:sz w:val="20"/>
          <w:lang w:val="en-US"/>
        </w:rPr>
        <w:t>f</w:t>
      </w:r>
      <w:r w:rsidR="00A431B7" w:rsidRPr="00484DAD">
        <w:rPr>
          <w:rFonts w:ascii="TimesNewRomanPSMT" w:hAnsi="TimesNewRomanPSMT" w:cs="TimesNewRomanPSMT"/>
          <w:sz w:val="20"/>
          <w:lang w:val="en-US"/>
        </w:rPr>
        <w:t>ield</w:t>
      </w:r>
      <w:r w:rsidRPr="00484DAD">
        <w:rPr>
          <w:rFonts w:ascii="TimesNewRomanPSMT" w:hAnsi="TimesNewRomanPSMT" w:cs="TimesNewRomanPSMT"/>
          <w:sz w:val="20"/>
          <w:lang w:val="en-US"/>
        </w:rPr>
        <w:t>) depending on whether PFS is used.”</w:t>
      </w:r>
      <w:r>
        <w:rPr>
          <w:b/>
          <w:sz w:val="24"/>
          <w:lang w:eastAsia="zh-CN"/>
        </w:rPr>
        <w:t xml:space="preserve"> </w:t>
      </w:r>
      <w:r w:rsidR="007E3F7E">
        <w:rPr>
          <w:b/>
          <w:sz w:val="24"/>
          <w:lang w:eastAsia="zh-CN"/>
        </w:rPr>
        <w:br w:type="page"/>
      </w:r>
    </w:p>
    <w:p w:rsidR="00B31990" w:rsidRDefault="00B31990">
      <w:pPr>
        <w:rPr>
          <w:b/>
          <w:sz w:val="24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AE1ABA" w:rsidRPr="00AE1ABA" w:rsidRDefault="00AE1ABA" w:rsidP="00AE1ABA">
      <w:pPr>
        <w:pStyle w:val="Listenabsatz"/>
        <w:numPr>
          <w:ilvl w:val="0"/>
          <w:numId w:val="4"/>
          <w:numberingChange w:id="0" w:author="Marc Emmelmann" w:date="2015-06-09T16:45:00Z" w:original="%1:1:0:)"/>
        </w:numPr>
        <w:rPr>
          <w:b/>
          <w:bCs/>
          <w:sz w:val="28"/>
          <w:szCs w:val="28"/>
          <w:lang w:val="en-US"/>
        </w:rPr>
      </w:pPr>
      <w:r w:rsidRPr="00AE1ABA">
        <w:rPr>
          <w:b/>
          <w:bCs/>
          <w:sz w:val="28"/>
          <w:szCs w:val="28"/>
          <w:lang w:val="en-US"/>
        </w:rPr>
        <w:t>IEEE P802.11ai™/D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4</w:t>
      </w:r>
      <w:r w:rsidRPr="00AE1ABA">
        <w:rPr>
          <w:b/>
          <w:bCs/>
          <w:sz w:val="28"/>
          <w:szCs w:val="28"/>
          <w:lang w:val="en-US"/>
        </w:rPr>
        <w:t>.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3</w:t>
      </w:r>
      <w:r w:rsidRPr="00AE1ABA">
        <w:rPr>
          <w:b/>
          <w:bCs/>
          <w:sz w:val="28"/>
          <w:szCs w:val="28"/>
          <w:lang w:val="en-US"/>
        </w:rPr>
        <w:t xml:space="preserve">, 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May</w:t>
      </w:r>
      <w:r w:rsidRPr="00AE1ABA">
        <w:rPr>
          <w:b/>
          <w:bCs/>
          <w:sz w:val="28"/>
          <w:szCs w:val="28"/>
          <w:lang w:val="en-US"/>
        </w:rPr>
        <w:t xml:space="preserve"> 201</w:t>
      </w:r>
      <w:r w:rsidR="007E3F7E">
        <w:rPr>
          <w:rFonts w:hint="eastAsia"/>
          <w:b/>
          <w:bCs/>
          <w:sz w:val="28"/>
          <w:szCs w:val="28"/>
          <w:lang w:val="en-US" w:eastAsia="zh-CN"/>
        </w:rPr>
        <w:t>5</w:t>
      </w: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AE1ABA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Default="00CA09B2"/>
    <w:sectPr w:rsidR="00CA09B2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8F" w:rsidRDefault="00F9608F">
      <w:r>
        <w:separator/>
      </w:r>
    </w:p>
  </w:endnote>
  <w:endnote w:type="continuationSeparator" w:id="0">
    <w:p w:rsidR="00F9608F" w:rsidRDefault="00F9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595901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8B0F8D">
        <w:t>Submission</w:t>
      </w:r>
    </w:fldSimple>
    <w:r w:rsidR="00EA55C4">
      <w:tab/>
      <w:t xml:space="preserve">page </w:t>
    </w:r>
    <w:r>
      <w:fldChar w:fldCharType="begin"/>
    </w:r>
    <w:r w:rsidR="00EA55C4">
      <w:instrText xml:space="preserve">page </w:instrText>
    </w:r>
    <w:r>
      <w:fldChar w:fldCharType="separate"/>
    </w:r>
    <w:r w:rsidR="000A1010">
      <w:rPr>
        <w:noProof/>
      </w:rPr>
      <w:t>2</w:t>
    </w:r>
    <w:r>
      <w:fldChar w:fldCharType="end"/>
    </w:r>
    <w:r w:rsidR="00EA55C4">
      <w:tab/>
    </w:r>
    <w:r>
      <w:fldChar w:fldCharType="begin"/>
    </w:r>
    <w:r>
      <w:instrText xml:space="preserve"> COMMENTS  \* MERGEFORMAT </w:instrText>
    </w:r>
    <w:r>
      <w:fldChar w:fldCharType="separate"/>
    </w:r>
    <w:r w:rsidR="00CA5A5B">
      <w:t>Ping Fang (</w:t>
    </w:r>
    <w:proofErr w:type="spellStart"/>
    <w:r w:rsidR="00CA5A5B">
      <w:t>Huawei</w:t>
    </w:r>
    <w:proofErr w:type="spellEnd"/>
    <w:r w:rsidR="00CA5A5B">
      <w:t xml:space="preserve"> Device)</w:t>
    </w:r>
    <w:r>
      <w:fldChar w:fldCharType="end"/>
    </w:r>
  </w:p>
  <w:p w:rsidR="00EA55C4" w:rsidRDefault="00EA55C4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8F" w:rsidRDefault="00F9608F">
      <w:r>
        <w:separator/>
      </w:r>
    </w:p>
  </w:footnote>
  <w:footnote w:type="continuationSeparator" w:id="0">
    <w:p w:rsidR="00F9608F" w:rsidRDefault="00F960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595901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045927">
        <w:rPr>
          <w:lang w:eastAsia="zh-CN"/>
        </w:rPr>
        <w:t>June</w:t>
      </w:r>
      <w:r w:rsidR="00045927">
        <w:t xml:space="preserve"> 2015</w:t>
      </w:r>
    </w:fldSimple>
    <w:r w:rsidR="00EA55C4">
      <w:tab/>
    </w:r>
    <w:r w:rsidR="00EA55C4">
      <w:tab/>
    </w:r>
    <w:fldSimple w:instr=" TITLE  \* MERGEFORMAT ">
      <w:r w:rsidR="00937B94">
        <w:t>doc.: IEEE 802.11-15/0755r0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27711"/>
    <w:multiLevelType w:val="hybridMultilevel"/>
    <w:tmpl w:val="39CEE9D4"/>
    <w:lvl w:ilvl="0" w:tplc="C76C24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B003DC6"/>
    <w:multiLevelType w:val="hybridMultilevel"/>
    <w:tmpl w:val="57A853FE"/>
    <w:lvl w:ilvl="0" w:tplc="C76C24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DC16C6"/>
    <w:multiLevelType w:val="hybridMultilevel"/>
    <w:tmpl w:val="889AE5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EB627B"/>
    <w:multiLevelType w:val="hybridMultilevel"/>
    <w:tmpl w:val="989E6F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09253C"/>
    <w:multiLevelType w:val="hybridMultilevel"/>
    <w:tmpl w:val="373EC970"/>
    <w:lvl w:ilvl="0" w:tplc="371448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B293438"/>
    <w:multiLevelType w:val="hybridMultilevel"/>
    <w:tmpl w:val="30B277B0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C400614"/>
    <w:multiLevelType w:val="hybridMultilevel"/>
    <w:tmpl w:val="1182EC74"/>
    <w:lvl w:ilvl="0" w:tplc="E2462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BA695C"/>
    <w:multiLevelType w:val="hybridMultilevel"/>
    <w:tmpl w:val="58B0CADA"/>
    <w:lvl w:ilvl="0" w:tplc="04090011">
      <w:start w:val="1"/>
      <w:numFmt w:val="decimal"/>
      <w:lvlText w:val="%1)"/>
      <w:lvlJc w:val="left"/>
      <w:pPr>
        <w:ind w:left="475" w:hanging="420"/>
      </w:pPr>
    </w:lvl>
    <w:lvl w:ilvl="1" w:tplc="04090019" w:tentative="1">
      <w:start w:val="1"/>
      <w:numFmt w:val="lowerLetter"/>
      <w:lvlText w:val="%2)"/>
      <w:lvlJc w:val="left"/>
      <w:pPr>
        <w:ind w:left="895" w:hanging="420"/>
      </w:pPr>
    </w:lvl>
    <w:lvl w:ilvl="2" w:tplc="0409001B" w:tentative="1">
      <w:start w:val="1"/>
      <w:numFmt w:val="lowerRoman"/>
      <w:lvlText w:val="%3."/>
      <w:lvlJc w:val="righ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9" w:tentative="1">
      <w:start w:val="1"/>
      <w:numFmt w:val="lowerLetter"/>
      <w:lvlText w:val="%5)"/>
      <w:lvlJc w:val="left"/>
      <w:pPr>
        <w:ind w:left="2155" w:hanging="420"/>
      </w:pPr>
    </w:lvl>
    <w:lvl w:ilvl="5" w:tplc="0409001B" w:tentative="1">
      <w:start w:val="1"/>
      <w:numFmt w:val="lowerRoman"/>
      <w:lvlText w:val="%6."/>
      <w:lvlJc w:val="righ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9" w:tentative="1">
      <w:start w:val="1"/>
      <w:numFmt w:val="lowerLetter"/>
      <w:lvlText w:val="%8)"/>
      <w:lvlJc w:val="left"/>
      <w:pPr>
        <w:ind w:left="3415" w:hanging="420"/>
      </w:pPr>
    </w:lvl>
    <w:lvl w:ilvl="8" w:tplc="0409001B" w:tentative="1">
      <w:start w:val="1"/>
      <w:numFmt w:val="lowerRoman"/>
      <w:lvlText w:val="%9."/>
      <w:lvlJc w:val="right"/>
      <w:pPr>
        <w:ind w:left="3835" w:hanging="420"/>
      </w:pPr>
    </w:lvl>
  </w:abstractNum>
  <w:abstractNum w:abstractNumId="10">
    <w:nsid w:val="69077B20"/>
    <w:multiLevelType w:val="hybridMultilevel"/>
    <w:tmpl w:val="973C5BFA"/>
    <w:lvl w:ilvl="0" w:tplc="A6720D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BC3547F"/>
    <w:multiLevelType w:val="hybridMultilevel"/>
    <w:tmpl w:val="B490A136"/>
    <w:lvl w:ilvl="0" w:tplc="371448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9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trackRevisions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149A2"/>
    <w:rsid w:val="000423B2"/>
    <w:rsid w:val="00045927"/>
    <w:rsid w:val="00061C3D"/>
    <w:rsid w:val="00072045"/>
    <w:rsid w:val="000846C1"/>
    <w:rsid w:val="00086BBE"/>
    <w:rsid w:val="000979D0"/>
    <w:rsid w:val="000A101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5DD5"/>
    <w:rsid w:val="001171AF"/>
    <w:rsid w:val="0014280C"/>
    <w:rsid w:val="001464A1"/>
    <w:rsid w:val="00155F03"/>
    <w:rsid w:val="00157AE7"/>
    <w:rsid w:val="001610A7"/>
    <w:rsid w:val="00170A3C"/>
    <w:rsid w:val="0017432E"/>
    <w:rsid w:val="001747DB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CC8"/>
    <w:rsid w:val="00210E83"/>
    <w:rsid w:val="00217BB3"/>
    <w:rsid w:val="002322A5"/>
    <w:rsid w:val="0023440C"/>
    <w:rsid w:val="0024174B"/>
    <w:rsid w:val="002476F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127AC"/>
    <w:rsid w:val="00320E15"/>
    <w:rsid w:val="00336EB9"/>
    <w:rsid w:val="003471BA"/>
    <w:rsid w:val="00356FE9"/>
    <w:rsid w:val="003642E1"/>
    <w:rsid w:val="003929FD"/>
    <w:rsid w:val="00397A0B"/>
    <w:rsid w:val="003D5CB0"/>
    <w:rsid w:val="003E013D"/>
    <w:rsid w:val="003F3CC2"/>
    <w:rsid w:val="00400406"/>
    <w:rsid w:val="00425B89"/>
    <w:rsid w:val="00440C98"/>
    <w:rsid w:val="00442037"/>
    <w:rsid w:val="00442979"/>
    <w:rsid w:val="00451CDF"/>
    <w:rsid w:val="00457AB0"/>
    <w:rsid w:val="004655C4"/>
    <w:rsid w:val="00484DAD"/>
    <w:rsid w:val="00487876"/>
    <w:rsid w:val="0049405F"/>
    <w:rsid w:val="004A046D"/>
    <w:rsid w:val="004B064B"/>
    <w:rsid w:val="004D7C6E"/>
    <w:rsid w:val="004F6745"/>
    <w:rsid w:val="00512AA7"/>
    <w:rsid w:val="0051498D"/>
    <w:rsid w:val="00515F3E"/>
    <w:rsid w:val="005162BF"/>
    <w:rsid w:val="0053793F"/>
    <w:rsid w:val="005413DE"/>
    <w:rsid w:val="00545AAE"/>
    <w:rsid w:val="00572A4A"/>
    <w:rsid w:val="00583917"/>
    <w:rsid w:val="005840CB"/>
    <w:rsid w:val="0059472C"/>
    <w:rsid w:val="00595901"/>
    <w:rsid w:val="005A3CE6"/>
    <w:rsid w:val="005D0034"/>
    <w:rsid w:val="005D78DC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A6701"/>
    <w:rsid w:val="006B225F"/>
    <w:rsid w:val="006B6563"/>
    <w:rsid w:val="006B69CF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32A57"/>
    <w:rsid w:val="00750393"/>
    <w:rsid w:val="00754351"/>
    <w:rsid w:val="00754E21"/>
    <w:rsid w:val="00766F49"/>
    <w:rsid w:val="00767C0C"/>
    <w:rsid w:val="00770572"/>
    <w:rsid w:val="00775643"/>
    <w:rsid w:val="00791E38"/>
    <w:rsid w:val="007A2DFA"/>
    <w:rsid w:val="007A3F63"/>
    <w:rsid w:val="007A6CEE"/>
    <w:rsid w:val="007C0CF5"/>
    <w:rsid w:val="007D784F"/>
    <w:rsid w:val="007E3F7E"/>
    <w:rsid w:val="007E71CA"/>
    <w:rsid w:val="007F5A40"/>
    <w:rsid w:val="007F630E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716F"/>
    <w:rsid w:val="008E1AA4"/>
    <w:rsid w:val="008E6CB5"/>
    <w:rsid w:val="008F2B43"/>
    <w:rsid w:val="008F3AF0"/>
    <w:rsid w:val="008F4B97"/>
    <w:rsid w:val="00924385"/>
    <w:rsid w:val="009243BB"/>
    <w:rsid w:val="00933C84"/>
    <w:rsid w:val="00937B94"/>
    <w:rsid w:val="00942A4D"/>
    <w:rsid w:val="0095278A"/>
    <w:rsid w:val="00953D42"/>
    <w:rsid w:val="00960BFD"/>
    <w:rsid w:val="009625AA"/>
    <w:rsid w:val="00967441"/>
    <w:rsid w:val="00971189"/>
    <w:rsid w:val="009801D5"/>
    <w:rsid w:val="00982161"/>
    <w:rsid w:val="00984B9F"/>
    <w:rsid w:val="009A03D6"/>
    <w:rsid w:val="009A0E12"/>
    <w:rsid w:val="009C03B2"/>
    <w:rsid w:val="009C15C2"/>
    <w:rsid w:val="009D0604"/>
    <w:rsid w:val="009D212F"/>
    <w:rsid w:val="009E0773"/>
    <w:rsid w:val="009E56E1"/>
    <w:rsid w:val="009F2FBC"/>
    <w:rsid w:val="009F357B"/>
    <w:rsid w:val="009F4C4A"/>
    <w:rsid w:val="00A027CE"/>
    <w:rsid w:val="00A0756E"/>
    <w:rsid w:val="00A103CD"/>
    <w:rsid w:val="00A426A5"/>
    <w:rsid w:val="00A431B7"/>
    <w:rsid w:val="00A57EA7"/>
    <w:rsid w:val="00A636F8"/>
    <w:rsid w:val="00A70E98"/>
    <w:rsid w:val="00A74D34"/>
    <w:rsid w:val="00A85D27"/>
    <w:rsid w:val="00A9130D"/>
    <w:rsid w:val="00A92B13"/>
    <w:rsid w:val="00A95B70"/>
    <w:rsid w:val="00AA27FD"/>
    <w:rsid w:val="00AA427C"/>
    <w:rsid w:val="00AC17EE"/>
    <w:rsid w:val="00AC328B"/>
    <w:rsid w:val="00AC4515"/>
    <w:rsid w:val="00AD76AA"/>
    <w:rsid w:val="00AE0E63"/>
    <w:rsid w:val="00AE1ABA"/>
    <w:rsid w:val="00AE315F"/>
    <w:rsid w:val="00AE6FCA"/>
    <w:rsid w:val="00AE749E"/>
    <w:rsid w:val="00AF188C"/>
    <w:rsid w:val="00AF3E17"/>
    <w:rsid w:val="00AF70AD"/>
    <w:rsid w:val="00B10E88"/>
    <w:rsid w:val="00B178EF"/>
    <w:rsid w:val="00B25C5F"/>
    <w:rsid w:val="00B31990"/>
    <w:rsid w:val="00B32CAF"/>
    <w:rsid w:val="00B35D90"/>
    <w:rsid w:val="00B57840"/>
    <w:rsid w:val="00B60DEC"/>
    <w:rsid w:val="00B61F3F"/>
    <w:rsid w:val="00B63F27"/>
    <w:rsid w:val="00B729CF"/>
    <w:rsid w:val="00B846DE"/>
    <w:rsid w:val="00B917AB"/>
    <w:rsid w:val="00BA78A5"/>
    <w:rsid w:val="00BC6CED"/>
    <w:rsid w:val="00BD15F5"/>
    <w:rsid w:val="00BD223A"/>
    <w:rsid w:val="00BD5501"/>
    <w:rsid w:val="00BD582C"/>
    <w:rsid w:val="00BE28DB"/>
    <w:rsid w:val="00BE68C2"/>
    <w:rsid w:val="00BF01DF"/>
    <w:rsid w:val="00BF6FFD"/>
    <w:rsid w:val="00C02394"/>
    <w:rsid w:val="00C14144"/>
    <w:rsid w:val="00C2559A"/>
    <w:rsid w:val="00C30506"/>
    <w:rsid w:val="00C3055C"/>
    <w:rsid w:val="00C35600"/>
    <w:rsid w:val="00C37B5E"/>
    <w:rsid w:val="00C45514"/>
    <w:rsid w:val="00C45EDA"/>
    <w:rsid w:val="00C556BC"/>
    <w:rsid w:val="00C55AB8"/>
    <w:rsid w:val="00C604D2"/>
    <w:rsid w:val="00C60ED6"/>
    <w:rsid w:val="00C801EB"/>
    <w:rsid w:val="00C976DB"/>
    <w:rsid w:val="00CA028E"/>
    <w:rsid w:val="00CA09B2"/>
    <w:rsid w:val="00CA0A57"/>
    <w:rsid w:val="00CA2AFB"/>
    <w:rsid w:val="00CA5A5B"/>
    <w:rsid w:val="00CC72A5"/>
    <w:rsid w:val="00CD6382"/>
    <w:rsid w:val="00CD64CE"/>
    <w:rsid w:val="00D02630"/>
    <w:rsid w:val="00D06A2B"/>
    <w:rsid w:val="00D1138B"/>
    <w:rsid w:val="00D12945"/>
    <w:rsid w:val="00D1634B"/>
    <w:rsid w:val="00D22B2B"/>
    <w:rsid w:val="00D44EA1"/>
    <w:rsid w:val="00D55C96"/>
    <w:rsid w:val="00D57696"/>
    <w:rsid w:val="00D6751B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13A7D"/>
    <w:rsid w:val="00E22A2D"/>
    <w:rsid w:val="00E25F1F"/>
    <w:rsid w:val="00E3115F"/>
    <w:rsid w:val="00E3487D"/>
    <w:rsid w:val="00E35F58"/>
    <w:rsid w:val="00E431C1"/>
    <w:rsid w:val="00E543CC"/>
    <w:rsid w:val="00E5520E"/>
    <w:rsid w:val="00E56331"/>
    <w:rsid w:val="00E60ED9"/>
    <w:rsid w:val="00E7149A"/>
    <w:rsid w:val="00E72A24"/>
    <w:rsid w:val="00E74670"/>
    <w:rsid w:val="00E773D3"/>
    <w:rsid w:val="00E866B3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7634C"/>
    <w:rsid w:val="00F84DE3"/>
    <w:rsid w:val="00F91DE3"/>
    <w:rsid w:val="00F93C16"/>
    <w:rsid w:val="00F9608F"/>
    <w:rsid w:val="00F9748C"/>
    <w:rsid w:val="00FC707A"/>
    <w:rsid w:val="00FD072A"/>
    <w:rsid w:val="00FD16C8"/>
    <w:rsid w:val="00FD217F"/>
    <w:rsid w:val="00FF3C77"/>
    <w:rsid w:val="00FF55D7"/>
  </w:rsids>
  <m:mathPr>
    <m:mathFont m:val="Trebuchet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0DEC"/>
    <w:rPr>
      <w:sz w:val="22"/>
      <w:lang w:val="en-GB"/>
    </w:rPr>
  </w:style>
  <w:style w:type="paragraph" w:styleId="berschrift1">
    <w:name w:val="heading 1"/>
    <w:basedOn w:val="Standard"/>
    <w:next w:val="Standard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572A4A"/>
    <w:pPr>
      <w:ind w:left="720" w:hanging="720"/>
    </w:pPr>
  </w:style>
  <w:style w:type="character" w:styleId="Link">
    <w:name w:val="Hyperlink"/>
    <w:rsid w:val="00572A4A"/>
    <w:rPr>
      <w:color w:val="0000FF"/>
      <w:u w:val="single"/>
    </w:rPr>
  </w:style>
  <w:style w:type="character" w:styleId="Kommentarzeichen">
    <w:name w:val="annotation reference"/>
    <w:basedOn w:val="Absatzstandardschriftart"/>
    <w:uiPriority w:val="99"/>
    <w:unhideWhenUsed/>
    <w:rsid w:val="00356FE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Sprechblasentext">
    <w:name w:val="Balloon Text"/>
    <w:basedOn w:val="Standard"/>
    <w:link w:val="SprechblasentextZeichen"/>
    <w:rsid w:val="00356FE9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enabsatz">
    <w:name w:val="List Paragraph"/>
    <w:basedOn w:val="Standard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Standard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5766-E733-564D-BF0D-72274905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\Documents\802\14_09_Athens\Working\802-11-Submission-Portrait.dot</Template>
  <TotalTime>0</TotalTime>
  <Pages>3</Pages>
  <Words>381</Words>
  <Characters>2033</Characters>
  <Application>Microsoft Macintosh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802.11-15/0755r0</vt:lpstr>
    </vt:vector>
  </TitlesOfParts>
  <Manager/>
  <Company>Some Company</Company>
  <LinksUpToDate>false</LinksUpToDate>
  <CharactersWithSpaces>2392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802.11-15/0755r1</dc:title>
  <dc:subject>Submission</dc:subject>
  <dc:creator>Ping Fang</dc:creator>
  <cp:keywords>June 2015</cp:keywords>
  <dc:description>Ping Fang (Huawei Device)</dc:description>
  <cp:lastModifiedBy>Marc Emmelmann</cp:lastModifiedBy>
  <cp:revision>5</cp:revision>
  <cp:lastPrinted>2014-09-05T21:13:00Z</cp:lastPrinted>
  <dcterms:created xsi:type="dcterms:W3CDTF">2015-06-09T14:31:00Z</dcterms:created>
  <dcterms:modified xsi:type="dcterms:W3CDTF">2015-06-09T14:45:00Z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(3)f+c9qT4pH3UbR6SMo8VfXNk7sx1TuPiAkk8FiDnVtXf67bM1p7TQYhnEc7M4NSsL3DyO7TZE
hccC2twlJ/+w/d7aGeTgu4+0xTMDV1OsVm1bw0wJYM5qyCmbiD4/lM51z4WqyNzzuaJEXjOo
wEZdE2Rdya3nHhYXlSnndrSQX4bnUJ0RjgWQpn4vIRUBqXS7iDOVYQyIqs7SlCi+/e9nrh2F
VTTgHSUbs4o0xeYNO5</vt:lpwstr>
  </property>
  <property fmtid="{D5CDD505-2E9C-101B-9397-08002B2CF9AE}" pid="3" name="_new_ms_pID_725431">
    <vt:lpwstr>XPY1BYVdRi2+UVNAuFDeKvRJmUoYQ23wtIw++JMDA8jBF5e18ZaAcW
hvHO8ZB+FHMzcVHpSo6azY35UsZY4y5MR8xIA0Wo/9HluF9qQM/VsbrfhpQAWQRRxAHt/0uK
wZ4J3ZwYvHE33t91C8YvFAJ+x+ywPLJuvSakSxCHLcaibG9+zrH3VtrdxEtSFb2qMJk+jXvB
qlzF8zZYQLfu09TvLQRsjuuF5s13pMXkkmS9</vt:lpwstr>
  </property>
  <property fmtid="{D5CDD505-2E9C-101B-9397-08002B2CF9AE}" pid="4" name="_new_ms_pID_725432">
    <vt:lpwstr>aWmsCYvUAyf/sSR+FWUpnLU3QLdmBDH1rwwa
Y5woRpSPNul4DUKHC1Bv+Y6KHuV5SA==</vt:lpwstr>
  </property>
  <property fmtid="{D5CDD505-2E9C-101B-9397-08002B2CF9AE}" pid="5" name="sflag">
    <vt:lpwstr>1433812430</vt:lpwstr>
  </property>
</Properties>
</file>