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684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2160"/>
        <w:gridCol w:w="2632"/>
        <w:gridCol w:w="1715"/>
        <w:gridCol w:w="1683"/>
      </w:tblGrid>
      <w:tr w:rsidR="00CA09B2" w:rsidTr="00C8541A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684" w:type="dxa"/>
            <w:gridSpan w:val="5"/>
            <w:vAlign w:val="center"/>
          </w:tcPr>
          <w:p w:rsidR="00CA09B2" w:rsidRDefault="005F1A54">
            <w:pPr>
              <w:pStyle w:val="T2"/>
            </w:pPr>
            <w:proofErr w:type="spellStart"/>
            <w:r w:rsidRPr="005F1A54">
              <w:t>REVmc</w:t>
            </w:r>
            <w:proofErr w:type="spellEnd"/>
            <w:r w:rsidRPr="005F1A54">
              <w:t xml:space="preserve"> </w:t>
            </w:r>
            <w:proofErr w:type="spellStart"/>
            <w:r w:rsidRPr="005F1A54">
              <w:t>Telecon</w:t>
            </w:r>
            <w:proofErr w:type="spellEnd"/>
            <w:r w:rsidRPr="005F1A54">
              <w:t xml:space="preserve"> 1 May</w:t>
            </w:r>
            <w:r>
              <w:t xml:space="preserve"> </w:t>
            </w:r>
            <w:r w:rsidRPr="005F1A54">
              <w:t>2015</w:t>
            </w:r>
          </w:p>
        </w:tc>
      </w:tr>
      <w:tr w:rsidR="00CA09B2" w:rsidTr="00C8541A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684" w:type="dxa"/>
            <w:gridSpan w:val="5"/>
            <w:vAlign w:val="center"/>
          </w:tcPr>
          <w:p w:rsidR="00CA09B2" w:rsidRDefault="00CA09B2" w:rsidP="0066009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6009E">
              <w:rPr>
                <w:b w:val="0"/>
                <w:sz w:val="20"/>
              </w:rPr>
              <w:t>2015-05-01</w:t>
            </w:r>
          </w:p>
        </w:tc>
      </w:tr>
      <w:tr w:rsidR="00CA09B2" w:rsidTr="00C8541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84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C854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9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60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63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83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C854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94" w:type="dxa"/>
            <w:vAlign w:val="center"/>
          </w:tcPr>
          <w:p w:rsidR="00CA09B2" w:rsidRDefault="0066009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Jon Rosdahl</w:t>
            </w:r>
          </w:p>
        </w:tc>
        <w:tc>
          <w:tcPr>
            <w:tcW w:w="2160" w:type="dxa"/>
            <w:vAlign w:val="center"/>
          </w:tcPr>
          <w:p w:rsidR="00CA09B2" w:rsidRDefault="0066009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CSR Technologies Inc.</w:t>
            </w:r>
          </w:p>
        </w:tc>
        <w:tc>
          <w:tcPr>
            <w:tcW w:w="2632" w:type="dxa"/>
            <w:vAlign w:val="center"/>
          </w:tcPr>
          <w:p w:rsidR="00CA09B2" w:rsidRDefault="0066009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10871 N 5750 W</w:t>
            </w:r>
          </w:p>
          <w:p w:rsidR="0066009E" w:rsidRDefault="0066009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Highland, UT 84003</w:t>
            </w:r>
          </w:p>
        </w:tc>
        <w:tc>
          <w:tcPr>
            <w:tcW w:w="1715" w:type="dxa"/>
            <w:vAlign w:val="center"/>
          </w:tcPr>
          <w:p w:rsidR="00CA09B2" w:rsidRDefault="0066009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801-492-4023</w:t>
            </w:r>
          </w:p>
        </w:tc>
        <w:tc>
          <w:tcPr>
            <w:tcW w:w="1683" w:type="dxa"/>
            <w:vAlign w:val="center"/>
          </w:tcPr>
          <w:p w:rsidR="00CA09B2" w:rsidRDefault="0066009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Pr="009E0453">
                <w:rPr>
                  <w:rStyle w:val="Hyperlink"/>
                  <w:b w:val="0"/>
                  <w:sz w:val="16"/>
                </w:rPr>
                <w:t>jrosdahl@ieee.org</w:t>
              </w:r>
            </w:hyperlink>
          </w:p>
        </w:tc>
      </w:tr>
      <w:tr w:rsidR="00C8541A" w:rsidTr="00C854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94" w:type="dxa"/>
            <w:vAlign w:val="center"/>
          </w:tcPr>
          <w:p w:rsidR="00C8541A" w:rsidRDefault="00C854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Mark Hamilton</w:t>
            </w:r>
          </w:p>
        </w:tc>
        <w:tc>
          <w:tcPr>
            <w:tcW w:w="2160" w:type="dxa"/>
            <w:vAlign w:val="center"/>
          </w:tcPr>
          <w:p w:rsidR="00C8541A" w:rsidRDefault="00C8541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Ruckus Wireless</w:t>
            </w:r>
          </w:p>
        </w:tc>
        <w:tc>
          <w:tcPr>
            <w:tcW w:w="2632" w:type="dxa"/>
            <w:vAlign w:val="center"/>
          </w:tcPr>
          <w:p w:rsidR="00C8541A" w:rsidRDefault="00C8541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350 W Java Dr.</w:t>
            </w:r>
          </w:p>
          <w:p w:rsidR="00C8541A" w:rsidRDefault="00C8541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Sunnyvale, CA  94089</w:t>
            </w:r>
          </w:p>
        </w:tc>
        <w:tc>
          <w:tcPr>
            <w:tcW w:w="1715" w:type="dxa"/>
            <w:vAlign w:val="center"/>
          </w:tcPr>
          <w:p w:rsidR="00C8541A" w:rsidRDefault="00C8541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+1-303-818-8472</w:t>
            </w:r>
          </w:p>
        </w:tc>
        <w:tc>
          <w:tcPr>
            <w:tcW w:w="1683" w:type="dxa"/>
            <w:vAlign w:val="center"/>
          </w:tcPr>
          <w:p w:rsidR="00C8541A" w:rsidRDefault="00C8541A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hyperlink r:id="rId9" w:history="1">
              <w:r>
                <w:rPr>
                  <w:rStyle w:val="Hyperlink"/>
                  <w:sz w:val="16"/>
                  <w:lang w:val="en-US"/>
                </w:rPr>
                <w:t>mark.hamilton@ruckuswireless.com</w:t>
              </w:r>
            </w:hyperlink>
          </w:p>
        </w:tc>
      </w:tr>
    </w:tbl>
    <w:p w:rsidR="00CA09B2" w:rsidRDefault="005F1A5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F1A54" w:rsidRDefault="005F1A54">
                            <w:pPr>
                              <w:jc w:val="both"/>
                            </w:pPr>
                            <w:proofErr w:type="gramStart"/>
                            <w:r>
                              <w:t xml:space="preserve">Minutes for the 802.11REVmc </w:t>
                            </w:r>
                            <w:proofErr w:type="spellStart"/>
                            <w:r>
                              <w:t>Telecon</w:t>
                            </w:r>
                            <w:proofErr w:type="spellEnd"/>
                            <w:r>
                              <w:t xml:space="preserve"> on May 1, 2015 (10-noon ET).</w:t>
                            </w:r>
                            <w:proofErr w:type="gramEnd"/>
                          </w:p>
                          <w:p w:rsidR="0029020B" w:rsidRDefault="005F1A54">
                            <w:pPr>
                              <w:jc w:val="both"/>
                            </w:pPr>
                            <w:r>
                              <w:t>Thanks to Mark Hamilton for capturing the minutes for the conference call.</w:t>
                            </w:r>
                          </w:p>
                          <w:p w:rsidR="005F1A54" w:rsidRDefault="005F1A5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F1A54" w:rsidRDefault="005F1A54">
                      <w:pPr>
                        <w:jc w:val="both"/>
                      </w:pPr>
                      <w:proofErr w:type="gramStart"/>
                      <w:r>
                        <w:t xml:space="preserve">Minutes for the 802.11REVmc </w:t>
                      </w:r>
                      <w:proofErr w:type="spellStart"/>
                      <w:r>
                        <w:t>Telecon</w:t>
                      </w:r>
                      <w:proofErr w:type="spellEnd"/>
                      <w:r>
                        <w:t xml:space="preserve"> on May 1, 2015 (10-noon ET).</w:t>
                      </w:r>
                      <w:proofErr w:type="gramEnd"/>
                    </w:p>
                    <w:p w:rsidR="0029020B" w:rsidRDefault="005F1A54">
                      <w:pPr>
                        <w:jc w:val="both"/>
                      </w:pPr>
                      <w:r>
                        <w:t>Thanks to Mark Hamilton for capturing the minutes for the conference call.</w:t>
                      </w:r>
                    </w:p>
                    <w:p w:rsidR="005F1A54" w:rsidRDefault="005F1A5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>
      <w:r>
        <w:br w:type="page"/>
      </w:r>
    </w:p>
    <w:p w:rsidR="005F1A54" w:rsidRPr="005F1A54" w:rsidRDefault="005F1A54" w:rsidP="005F1A54">
      <w:pPr>
        <w:numPr>
          <w:ilvl w:val="0"/>
          <w:numId w:val="1"/>
        </w:numPr>
        <w:rPr>
          <w:rFonts w:ascii="Cambria" w:hAnsi="Cambria"/>
          <w:b/>
        </w:rPr>
      </w:pPr>
      <w:r w:rsidRPr="005F1A54">
        <w:rPr>
          <w:rFonts w:ascii="Cambria" w:hAnsi="Cambria"/>
          <w:b/>
        </w:rPr>
        <w:lastRenderedPageBreak/>
        <w:t xml:space="preserve">Minutes for 802.11 TG </w:t>
      </w:r>
      <w:proofErr w:type="spellStart"/>
      <w:r w:rsidRPr="005F1A54">
        <w:rPr>
          <w:rFonts w:ascii="Cambria" w:hAnsi="Cambria"/>
          <w:b/>
        </w:rPr>
        <w:t>REVmc</w:t>
      </w:r>
      <w:proofErr w:type="spellEnd"/>
      <w:r w:rsidRPr="005F1A54">
        <w:rPr>
          <w:rFonts w:ascii="Cambria" w:hAnsi="Cambria"/>
          <w:b/>
        </w:rPr>
        <w:t xml:space="preserve"> on Friday May 1, 2015 – </w:t>
      </w:r>
    </w:p>
    <w:p w:rsidR="005F1A54" w:rsidRPr="005F1A54" w:rsidRDefault="005F1A54" w:rsidP="005F1A54">
      <w:pPr>
        <w:numPr>
          <w:ilvl w:val="1"/>
          <w:numId w:val="1"/>
        </w:numPr>
        <w:rPr>
          <w:rFonts w:ascii="Cambria" w:hAnsi="Cambria"/>
        </w:rPr>
      </w:pPr>
      <w:r w:rsidRPr="005F1A54">
        <w:rPr>
          <w:rFonts w:ascii="Cambria" w:hAnsi="Cambria"/>
          <w:b/>
        </w:rPr>
        <w:t>Called To Order</w:t>
      </w:r>
      <w:r w:rsidRPr="005F1A54">
        <w:rPr>
          <w:rFonts w:ascii="Cambria" w:hAnsi="Cambria"/>
        </w:rPr>
        <w:t xml:space="preserve"> by  Dorothy STANLEY (Aruba), Chair,  at 10:03ET</w:t>
      </w:r>
    </w:p>
    <w:p w:rsidR="005F1A54" w:rsidRPr="005F1A54" w:rsidRDefault="005F1A54" w:rsidP="005F1A54">
      <w:pPr>
        <w:pStyle w:val="ListParagraph"/>
        <w:numPr>
          <w:ilvl w:val="1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  <w:b/>
        </w:rPr>
        <w:t>Review Patent Policy</w:t>
      </w:r>
      <w:r w:rsidRPr="005F1A54">
        <w:rPr>
          <w:rFonts w:ascii="Cambria" w:hAnsi="Cambria"/>
        </w:rPr>
        <w:t xml:space="preserve"> – Noted updated patent policy slides.  No issues noted.  </w:t>
      </w:r>
    </w:p>
    <w:p w:rsidR="005F1A54" w:rsidRPr="005F1A54" w:rsidRDefault="005F1A54" w:rsidP="005F1A54">
      <w:pPr>
        <w:pStyle w:val="ListParagraph"/>
        <w:numPr>
          <w:ilvl w:val="2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 xml:space="preserve">In response to call for potentially essential patents:  Rainer </w:t>
      </w:r>
      <w:r w:rsidR="00C8541A" w:rsidRPr="005F1A54">
        <w:rPr>
          <w:rFonts w:ascii="Cambria" w:hAnsi="Cambria"/>
        </w:rPr>
        <w:t xml:space="preserve">HACH </w:t>
      </w:r>
      <w:r w:rsidRPr="005F1A54">
        <w:rPr>
          <w:rFonts w:ascii="Cambria" w:hAnsi="Cambria"/>
        </w:rPr>
        <w:t>(</w:t>
      </w:r>
      <w:proofErr w:type="spellStart"/>
      <w:r w:rsidRPr="005F1A54">
        <w:rPr>
          <w:rFonts w:ascii="Cambria" w:hAnsi="Cambria"/>
        </w:rPr>
        <w:t>Nanotron</w:t>
      </w:r>
      <w:proofErr w:type="spellEnd"/>
      <w:r w:rsidRPr="005F1A54">
        <w:rPr>
          <w:rFonts w:ascii="Cambria" w:hAnsi="Cambria"/>
        </w:rPr>
        <w:t>) noted that he has submitted a comment to the Sponsor Ballot with a concern.</w:t>
      </w:r>
    </w:p>
    <w:p w:rsidR="005F1A54" w:rsidRPr="005F1A54" w:rsidRDefault="005F1A54" w:rsidP="005F1A54">
      <w:pPr>
        <w:pStyle w:val="ListParagraph"/>
        <w:numPr>
          <w:ilvl w:val="2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>Dorothy interpreted this as a request for an LOA to be submitted, from Intel, regarding Fine Timing Measurements.  (See CID 5223 for details.)</w:t>
      </w:r>
    </w:p>
    <w:p w:rsidR="005F1A54" w:rsidRPr="005F1A54" w:rsidRDefault="005F1A54" w:rsidP="005F1A54">
      <w:pPr>
        <w:pStyle w:val="ListParagraph"/>
        <w:numPr>
          <w:ilvl w:val="2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>No further response.</w:t>
      </w:r>
    </w:p>
    <w:p w:rsidR="005F1A54" w:rsidRPr="005F1A54" w:rsidRDefault="005F1A54" w:rsidP="005F1A54">
      <w:pPr>
        <w:pStyle w:val="ListParagraph"/>
        <w:numPr>
          <w:ilvl w:val="1"/>
          <w:numId w:val="1"/>
        </w:numPr>
        <w:spacing w:before="0" w:after="200"/>
        <w:rPr>
          <w:rFonts w:ascii="Cambria" w:eastAsia="Times New Roman" w:hAnsi="Cambria"/>
          <w:b/>
        </w:rPr>
      </w:pPr>
      <w:r w:rsidRPr="005F1A54">
        <w:rPr>
          <w:rFonts w:ascii="Cambria" w:hAnsi="Cambria"/>
          <w:b/>
        </w:rPr>
        <w:t>Review Agenda</w:t>
      </w:r>
    </w:p>
    <w:p w:rsidR="005F1A54" w:rsidRPr="005F1A54" w:rsidRDefault="005F1A54" w:rsidP="005F1A54">
      <w:pPr>
        <w:pStyle w:val="ListParagraph"/>
        <w:numPr>
          <w:ilvl w:val="2"/>
          <w:numId w:val="1"/>
        </w:numPr>
        <w:spacing w:line="240" w:lineRule="auto"/>
        <w:rPr>
          <w:rFonts w:ascii="Cambria" w:eastAsia="Times New Roman" w:hAnsi="Cambria"/>
        </w:rPr>
      </w:pPr>
      <w:r w:rsidRPr="005F1A54">
        <w:rPr>
          <w:rFonts w:ascii="Cambria" w:eastAsia="Times New Roman" w:hAnsi="Cambria"/>
        </w:rPr>
        <w:t>The agenda as previously announced:</w:t>
      </w:r>
    </w:p>
    <w:p w:rsidR="005F1A54" w:rsidRPr="00667924" w:rsidRDefault="005F1A54" w:rsidP="005F1A54">
      <w:pPr>
        <w:ind w:left="1872"/>
        <w:rPr>
          <w:sz w:val="24"/>
          <w:szCs w:val="24"/>
        </w:rPr>
      </w:pPr>
      <w:r w:rsidRPr="00667924">
        <w:rPr>
          <w:sz w:val="24"/>
          <w:szCs w:val="24"/>
        </w:rPr>
        <w:t xml:space="preserve">1. Call to order, patent policy, </w:t>
      </w:r>
      <w:r w:rsidR="00C8541A" w:rsidRPr="00667924">
        <w:rPr>
          <w:sz w:val="24"/>
          <w:szCs w:val="24"/>
        </w:rPr>
        <w:t>and attendance</w:t>
      </w:r>
    </w:p>
    <w:p w:rsidR="005F1A54" w:rsidRPr="00667924" w:rsidRDefault="005F1A54" w:rsidP="005F1A54">
      <w:pPr>
        <w:ind w:left="1440"/>
        <w:rPr>
          <w:sz w:val="24"/>
          <w:szCs w:val="24"/>
        </w:rPr>
      </w:pPr>
      <w:r w:rsidRPr="00667924">
        <w:rPr>
          <w:sz w:val="24"/>
          <w:szCs w:val="24"/>
        </w:rPr>
        <w:t xml:space="preserve">2. Editor report, </w:t>
      </w:r>
      <w:hyperlink r:id="rId10" w:history="1">
        <w:r w:rsidRPr="00667924">
          <w:rPr>
            <w:color w:val="0000FF"/>
            <w:sz w:val="24"/>
            <w:szCs w:val="24"/>
            <w:u w:val="single"/>
          </w:rPr>
          <w:t>https://mentor.ieee.org/802.11/dcn/13/11-13-0095-20-000m-editor-reports.ppt</w:t>
        </w:r>
      </w:hyperlink>
      <w:r w:rsidRPr="00667924">
        <w:rPr>
          <w:sz w:val="24"/>
          <w:szCs w:val="24"/>
        </w:rPr>
        <w:t xml:space="preserve"> </w:t>
      </w:r>
      <w:r w:rsidR="00C8541A">
        <w:rPr>
          <w:sz w:val="24"/>
          <w:szCs w:val="24"/>
        </w:rPr>
        <w:t xml:space="preserve"> (Adrian STEPHENS)</w:t>
      </w:r>
    </w:p>
    <w:p w:rsidR="005F1A54" w:rsidRPr="00667924" w:rsidRDefault="005F1A54" w:rsidP="005F1A54">
      <w:pPr>
        <w:ind w:left="1440"/>
        <w:rPr>
          <w:sz w:val="24"/>
          <w:szCs w:val="24"/>
        </w:rPr>
      </w:pPr>
      <w:r w:rsidRPr="00667924">
        <w:rPr>
          <w:sz w:val="24"/>
          <w:szCs w:val="24"/>
        </w:rPr>
        <w:t xml:space="preserve">3. Comment assignment and begin generation of proposed resolutions </w:t>
      </w:r>
    </w:p>
    <w:p w:rsidR="005F1A54" w:rsidRPr="00667924" w:rsidRDefault="005F1A54" w:rsidP="005F1A54">
      <w:pPr>
        <w:numPr>
          <w:ilvl w:val="0"/>
          <w:numId w:val="2"/>
        </w:numPr>
        <w:ind w:left="2160"/>
        <w:contextualSpacing/>
        <w:rPr>
          <w:sz w:val="24"/>
          <w:szCs w:val="24"/>
        </w:rPr>
      </w:pPr>
      <w:r w:rsidRPr="00667924">
        <w:rPr>
          <w:sz w:val="24"/>
          <w:szCs w:val="24"/>
        </w:rPr>
        <w:t>11ad comments – Tuesday PM1</w:t>
      </w:r>
    </w:p>
    <w:p w:rsidR="005F1A54" w:rsidRPr="00667924" w:rsidRDefault="005F1A54" w:rsidP="005F1A54">
      <w:pPr>
        <w:ind w:left="2160"/>
        <w:rPr>
          <w:sz w:val="24"/>
          <w:szCs w:val="24"/>
        </w:rPr>
      </w:pPr>
      <w:r w:rsidRPr="00667924">
        <w:rPr>
          <w:sz w:val="24"/>
          <w:szCs w:val="24"/>
        </w:rPr>
        <w:t xml:space="preserve">Carlos </w:t>
      </w:r>
      <w:r w:rsidR="00C8541A" w:rsidRPr="00C8541A">
        <w:rPr>
          <w:sz w:val="24"/>
          <w:szCs w:val="24"/>
        </w:rPr>
        <w:t>CORDEIRO</w:t>
      </w:r>
      <w:r w:rsidR="00C8541A">
        <w:rPr>
          <w:sz w:val="24"/>
          <w:szCs w:val="24"/>
        </w:rPr>
        <w:t xml:space="preserve"> (Intel)</w:t>
      </w:r>
      <w:r w:rsidRPr="00667924">
        <w:rPr>
          <w:sz w:val="24"/>
          <w:szCs w:val="24"/>
        </w:rPr>
        <w:t xml:space="preserve">: </w:t>
      </w:r>
      <w:hyperlink r:id="rId11" w:history="1">
        <w:r w:rsidRPr="00667924">
          <w:rPr>
            <w:color w:val="0000FF"/>
            <w:sz w:val="24"/>
            <w:szCs w:val="24"/>
            <w:u w:val="single"/>
          </w:rPr>
          <w:t>https://mentor.ieee.org/802.11/dcn/15/11-15-0534-00-000m-resolution-to-11ad-related-cids.docx</w:t>
        </w:r>
      </w:hyperlink>
      <w:r w:rsidRPr="00667924">
        <w:rPr>
          <w:sz w:val="24"/>
          <w:szCs w:val="24"/>
        </w:rPr>
        <w:t xml:space="preserve"> </w:t>
      </w:r>
    </w:p>
    <w:p w:rsidR="005F1A54" w:rsidRPr="00667924" w:rsidRDefault="005F1A54" w:rsidP="005F1A54">
      <w:pPr>
        <w:ind w:left="2160"/>
        <w:rPr>
          <w:sz w:val="24"/>
          <w:szCs w:val="24"/>
        </w:rPr>
      </w:pPr>
      <w:r w:rsidRPr="00667924">
        <w:rPr>
          <w:sz w:val="24"/>
          <w:szCs w:val="24"/>
        </w:rPr>
        <w:t xml:space="preserve">Solomon </w:t>
      </w:r>
      <w:r w:rsidR="00C8541A" w:rsidRPr="00667924">
        <w:rPr>
          <w:sz w:val="24"/>
          <w:szCs w:val="24"/>
        </w:rPr>
        <w:t>TRAININ</w:t>
      </w:r>
      <w:r w:rsidR="00C8541A">
        <w:rPr>
          <w:sz w:val="24"/>
          <w:szCs w:val="24"/>
        </w:rPr>
        <w:t xml:space="preserve"> (Intel)</w:t>
      </w:r>
      <w:r w:rsidRPr="00667924">
        <w:rPr>
          <w:sz w:val="24"/>
          <w:szCs w:val="24"/>
        </w:rPr>
        <w:t>:</w:t>
      </w:r>
    </w:p>
    <w:p w:rsidR="005F1A54" w:rsidRPr="00667924" w:rsidRDefault="005F1A54" w:rsidP="005F1A54">
      <w:pPr>
        <w:ind w:left="2160"/>
        <w:rPr>
          <w:sz w:val="24"/>
          <w:szCs w:val="24"/>
        </w:rPr>
      </w:pPr>
      <w:hyperlink r:id="rId12" w:history="1">
        <w:r w:rsidRPr="00667924">
          <w:rPr>
            <w:color w:val="0000FF"/>
            <w:sz w:val="24"/>
            <w:szCs w:val="24"/>
            <w:u w:val="single"/>
          </w:rPr>
          <w:t>https://mentor.ieee.org/802.11/dcn/15/11-15-0253-01-000m-802-11ad-grant-frame-related-clarifications.docx</w:t>
        </w:r>
      </w:hyperlink>
    </w:p>
    <w:p w:rsidR="005F1A54" w:rsidRPr="00667924" w:rsidRDefault="005F1A54" w:rsidP="005F1A54">
      <w:pPr>
        <w:ind w:left="2160"/>
        <w:rPr>
          <w:sz w:val="24"/>
          <w:szCs w:val="24"/>
        </w:rPr>
      </w:pPr>
      <w:hyperlink r:id="rId13" w:history="1">
        <w:r w:rsidRPr="00667924">
          <w:rPr>
            <w:color w:val="0000FF"/>
            <w:sz w:val="24"/>
            <w:szCs w:val="24"/>
            <w:u w:val="single"/>
          </w:rPr>
          <w:t>https://mentor.ieee.org/802.11/dcn/15/11-15-0254-01-000m-802-11ad-non-pcp-sta-power-management-clarifications.docx</w:t>
        </w:r>
      </w:hyperlink>
    </w:p>
    <w:p w:rsidR="005F1A54" w:rsidRPr="00667924" w:rsidRDefault="005F1A54" w:rsidP="005F1A54">
      <w:pPr>
        <w:ind w:left="2160"/>
        <w:rPr>
          <w:sz w:val="24"/>
          <w:szCs w:val="24"/>
        </w:rPr>
      </w:pPr>
      <w:hyperlink r:id="rId14" w:history="1">
        <w:r w:rsidRPr="00667924">
          <w:rPr>
            <w:color w:val="0000FF"/>
            <w:sz w:val="24"/>
            <w:szCs w:val="24"/>
            <w:u w:val="single"/>
          </w:rPr>
          <w:t>https://mentor.ieee.org/802.11/dcn/15/11-15-0255-01-000m-802-11ad-pcp-power-management-clarifications.docx</w:t>
        </w:r>
      </w:hyperlink>
    </w:p>
    <w:p w:rsidR="005F1A54" w:rsidRPr="00667924" w:rsidRDefault="005F1A54" w:rsidP="005F1A54">
      <w:pPr>
        <w:ind w:left="2160"/>
        <w:rPr>
          <w:sz w:val="24"/>
          <w:szCs w:val="24"/>
        </w:rPr>
      </w:pPr>
      <w:hyperlink r:id="rId15" w:history="1">
        <w:r w:rsidRPr="00667924">
          <w:rPr>
            <w:color w:val="0000FF"/>
            <w:sz w:val="24"/>
            <w:szCs w:val="24"/>
            <w:u w:val="single"/>
          </w:rPr>
          <w:t>https://mentor.ieee.org/802.11/dcn/15/11-15-0256-00-000m-802-11ad-atim-frame-usage-clarifications.docx</w:t>
        </w:r>
      </w:hyperlink>
      <w:r w:rsidRPr="00667924">
        <w:rPr>
          <w:sz w:val="24"/>
          <w:szCs w:val="24"/>
        </w:rPr>
        <w:t xml:space="preserve"> </w:t>
      </w:r>
    </w:p>
    <w:p w:rsidR="005F1A54" w:rsidRPr="00667924" w:rsidRDefault="005F1A54" w:rsidP="005F1A54">
      <w:pPr>
        <w:ind w:left="2160"/>
        <w:rPr>
          <w:sz w:val="24"/>
          <w:szCs w:val="24"/>
        </w:rPr>
      </w:pPr>
      <w:r w:rsidRPr="00667924">
        <w:rPr>
          <w:sz w:val="24"/>
          <w:szCs w:val="24"/>
        </w:rPr>
        <w:t xml:space="preserve">Payam </w:t>
      </w:r>
      <w:r w:rsidR="00C8541A" w:rsidRPr="00667924">
        <w:rPr>
          <w:sz w:val="24"/>
          <w:szCs w:val="24"/>
        </w:rPr>
        <w:t>TORAB</w:t>
      </w:r>
      <w:r w:rsidR="00C8541A">
        <w:rPr>
          <w:sz w:val="24"/>
          <w:szCs w:val="24"/>
        </w:rPr>
        <w:t xml:space="preserve"> (Broadcom)</w:t>
      </w:r>
      <w:r w:rsidRPr="00667924">
        <w:rPr>
          <w:sz w:val="24"/>
          <w:szCs w:val="24"/>
        </w:rPr>
        <w:t>:</w:t>
      </w:r>
    </w:p>
    <w:p w:rsidR="005F1A54" w:rsidRPr="00667924" w:rsidRDefault="005F1A54" w:rsidP="005F1A54">
      <w:pPr>
        <w:ind w:left="2160"/>
        <w:rPr>
          <w:sz w:val="24"/>
          <w:szCs w:val="24"/>
        </w:rPr>
      </w:pPr>
      <w:hyperlink r:id="rId16" w:history="1">
        <w:r w:rsidRPr="00667924">
          <w:rPr>
            <w:color w:val="0000FF"/>
            <w:sz w:val="24"/>
            <w:szCs w:val="24"/>
            <w:u w:val="single"/>
          </w:rPr>
          <w:t>https://mentor.ieee.org/802.11/dcn/15/11-15-0410-01-000m-dmg-control-response-frame-rate-selection.docx</w:t>
        </w:r>
      </w:hyperlink>
    </w:p>
    <w:p w:rsidR="005F1A54" w:rsidRPr="00667924" w:rsidRDefault="005F1A54" w:rsidP="005F1A54">
      <w:pPr>
        <w:ind w:left="2160"/>
        <w:rPr>
          <w:sz w:val="24"/>
          <w:szCs w:val="24"/>
        </w:rPr>
      </w:pPr>
      <w:r w:rsidRPr="00667924">
        <w:rPr>
          <w:sz w:val="24"/>
          <w:szCs w:val="24"/>
        </w:rPr>
        <w:t xml:space="preserve">Also </w:t>
      </w:r>
      <w:proofErr w:type="spellStart"/>
      <w:r w:rsidRPr="00667924">
        <w:rPr>
          <w:sz w:val="24"/>
          <w:szCs w:val="24"/>
        </w:rPr>
        <w:t>Alecsander</w:t>
      </w:r>
      <w:proofErr w:type="spellEnd"/>
      <w:r w:rsidRPr="00667924">
        <w:rPr>
          <w:sz w:val="24"/>
          <w:szCs w:val="24"/>
        </w:rPr>
        <w:t xml:space="preserve"> </w:t>
      </w:r>
      <w:proofErr w:type="spellStart"/>
      <w:r w:rsidRPr="00667924">
        <w:rPr>
          <w:sz w:val="24"/>
          <w:szCs w:val="24"/>
        </w:rPr>
        <w:t>Eitan</w:t>
      </w:r>
      <w:proofErr w:type="spellEnd"/>
      <w:r w:rsidRPr="00667924">
        <w:rPr>
          <w:sz w:val="24"/>
          <w:szCs w:val="24"/>
        </w:rPr>
        <w:t xml:space="preserve">: </w:t>
      </w:r>
      <w:hyperlink r:id="rId17" w:history="1">
        <w:r w:rsidRPr="00667924">
          <w:rPr>
            <w:color w:val="0000FF"/>
            <w:sz w:val="24"/>
            <w:szCs w:val="24"/>
            <w:u w:val="single"/>
          </w:rPr>
          <w:t>https://mentor.ieee.org/802.11/dcn/15/11-15-0533-00-0000-removal-of-dmg-ofdm-from-802-11-revmc-ballot.pptx</w:t>
        </w:r>
      </w:hyperlink>
      <w:r w:rsidRPr="00667924">
        <w:rPr>
          <w:sz w:val="24"/>
          <w:szCs w:val="24"/>
        </w:rPr>
        <w:t xml:space="preserve"> </w:t>
      </w:r>
    </w:p>
    <w:p w:rsidR="005F1A54" w:rsidRPr="00667924" w:rsidRDefault="005F1A54" w:rsidP="005F1A54">
      <w:pPr>
        <w:numPr>
          <w:ilvl w:val="0"/>
          <w:numId w:val="2"/>
        </w:numPr>
        <w:ind w:left="2160"/>
        <w:contextualSpacing/>
        <w:rPr>
          <w:sz w:val="24"/>
          <w:szCs w:val="24"/>
        </w:rPr>
      </w:pPr>
      <w:r w:rsidRPr="00667924">
        <w:rPr>
          <w:sz w:val="24"/>
          <w:szCs w:val="24"/>
        </w:rPr>
        <w:t xml:space="preserve">Dan </w:t>
      </w:r>
      <w:r w:rsidR="00C8541A" w:rsidRPr="00667924">
        <w:rPr>
          <w:sz w:val="24"/>
          <w:szCs w:val="24"/>
        </w:rPr>
        <w:t>HARKINS</w:t>
      </w:r>
      <w:r w:rsidR="00C8541A">
        <w:rPr>
          <w:sz w:val="24"/>
          <w:szCs w:val="24"/>
        </w:rPr>
        <w:t xml:space="preserve"> (Aruba)</w:t>
      </w:r>
      <w:r w:rsidRPr="00667924">
        <w:rPr>
          <w:sz w:val="24"/>
          <w:szCs w:val="24"/>
        </w:rPr>
        <w:t>: has agreed to develop resolutions to the security comments – teleconference</w:t>
      </w:r>
    </w:p>
    <w:p w:rsidR="005F1A54" w:rsidRPr="00667924" w:rsidRDefault="005F1A54" w:rsidP="005F1A54">
      <w:pPr>
        <w:numPr>
          <w:ilvl w:val="0"/>
          <w:numId w:val="2"/>
        </w:numPr>
        <w:ind w:left="2160"/>
        <w:contextualSpacing/>
        <w:rPr>
          <w:sz w:val="24"/>
          <w:szCs w:val="24"/>
        </w:rPr>
      </w:pPr>
      <w:r w:rsidRPr="00667924">
        <w:rPr>
          <w:sz w:val="24"/>
          <w:szCs w:val="24"/>
        </w:rPr>
        <w:t xml:space="preserve">Matthew </w:t>
      </w:r>
      <w:r w:rsidR="00C8541A" w:rsidRPr="00667924">
        <w:rPr>
          <w:sz w:val="24"/>
          <w:szCs w:val="24"/>
        </w:rPr>
        <w:t>FISCHER</w:t>
      </w:r>
      <w:r w:rsidR="00C8541A">
        <w:rPr>
          <w:sz w:val="24"/>
          <w:szCs w:val="24"/>
        </w:rPr>
        <w:t xml:space="preserve"> (Broadcom)</w:t>
      </w:r>
      <w:r w:rsidRPr="00667924">
        <w:rPr>
          <w:sz w:val="24"/>
          <w:szCs w:val="24"/>
        </w:rPr>
        <w:t>: CIDs – Weds PM1</w:t>
      </w:r>
    </w:p>
    <w:p w:rsidR="005F1A54" w:rsidRPr="00667924" w:rsidRDefault="005F1A54" w:rsidP="005F1A54">
      <w:pPr>
        <w:ind w:left="2160"/>
        <w:rPr>
          <w:sz w:val="24"/>
          <w:szCs w:val="24"/>
        </w:rPr>
      </w:pPr>
      <w:r w:rsidRPr="00667924">
        <w:rPr>
          <w:sz w:val="24"/>
          <w:szCs w:val="24"/>
        </w:rPr>
        <w:t xml:space="preserve">5959: </w:t>
      </w:r>
      <w:hyperlink r:id="rId18" w:history="1">
        <w:r w:rsidRPr="00667924">
          <w:rPr>
            <w:color w:val="0000FF"/>
            <w:sz w:val="24"/>
            <w:szCs w:val="24"/>
            <w:u w:val="single"/>
          </w:rPr>
          <w:t>https://mentor.ieee.org/802.11/dcn/14/11-14-1246-10-000m-cid3309-est-throughput-enhancements.docx</w:t>
        </w:r>
      </w:hyperlink>
      <w:r w:rsidRPr="00667924">
        <w:rPr>
          <w:sz w:val="24"/>
          <w:szCs w:val="24"/>
        </w:rPr>
        <w:t xml:space="preserve"> </w:t>
      </w:r>
    </w:p>
    <w:p w:rsidR="005F1A54" w:rsidRPr="00667924" w:rsidRDefault="005F1A54" w:rsidP="005F1A54">
      <w:pPr>
        <w:ind w:left="2160"/>
        <w:rPr>
          <w:sz w:val="24"/>
          <w:szCs w:val="24"/>
        </w:rPr>
      </w:pPr>
      <w:r w:rsidRPr="00667924">
        <w:rPr>
          <w:sz w:val="24"/>
          <w:szCs w:val="24"/>
        </w:rPr>
        <w:t xml:space="preserve">5960: </w:t>
      </w:r>
      <w:hyperlink r:id="rId19" w:history="1">
        <w:r w:rsidRPr="00667924">
          <w:rPr>
            <w:color w:val="0000FF"/>
            <w:sz w:val="24"/>
            <w:szCs w:val="24"/>
            <w:u w:val="single"/>
          </w:rPr>
          <w:t>https://mentor.ieee.org/802.11/dcn/14/11-14-0793-09-000m-lb202-cid3296-cid3297-bw-nss-support-partitioning.docx</w:t>
        </w:r>
      </w:hyperlink>
      <w:r w:rsidRPr="00667924">
        <w:rPr>
          <w:sz w:val="24"/>
          <w:szCs w:val="24"/>
        </w:rPr>
        <w:t xml:space="preserve"> </w:t>
      </w:r>
    </w:p>
    <w:p w:rsidR="005F1A54" w:rsidRDefault="005F1A54" w:rsidP="005F1A54">
      <w:pPr>
        <w:ind w:left="1440"/>
        <w:rPr>
          <w:sz w:val="24"/>
          <w:szCs w:val="24"/>
        </w:rPr>
      </w:pPr>
      <w:r w:rsidRPr="00667924">
        <w:rPr>
          <w:sz w:val="24"/>
          <w:szCs w:val="24"/>
        </w:rPr>
        <w:t>4. AOB</w:t>
      </w:r>
    </w:p>
    <w:p w:rsidR="005F1A54" w:rsidRPr="00667924" w:rsidRDefault="005F1A54" w:rsidP="005F1A54">
      <w:pPr>
        <w:ind w:left="2160"/>
        <w:rPr>
          <w:sz w:val="24"/>
          <w:szCs w:val="24"/>
        </w:rPr>
      </w:pPr>
      <w:r w:rsidRPr="00667924">
        <w:rPr>
          <w:sz w:val="24"/>
          <w:szCs w:val="24"/>
        </w:rPr>
        <w:t>Teleconference times: May 22, 29, June 5, June 19, June 26</w:t>
      </w:r>
    </w:p>
    <w:p w:rsidR="005F1A54" w:rsidRPr="00667924" w:rsidRDefault="005F1A54" w:rsidP="005F1A54">
      <w:pPr>
        <w:ind w:left="2160"/>
        <w:rPr>
          <w:sz w:val="24"/>
          <w:szCs w:val="24"/>
        </w:rPr>
      </w:pPr>
      <w:r w:rsidRPr="00667924">
        <w:rPr>
          <w:sz w:val="24"/>
          <w:szCs w:val="24"/>
        </w:rPr>
        <w:t xml:space="preserve">Discuss Face-to-face meeting: June 22-24 </w:t>
      </w:r>
    </w:p>
    <w:p w:rsidR="005F1A54" w:rsidRPr="00667924" w:rsidRDefault="005F1A54" w:rsidP="005F1A54">
      <w:pPr>
        <w:ind w:left="2160"/>
        <w:rPr>
          <w:sz w:val="24"/>
          <w:szCs w:val="24"/>
        </w:rPr>
      </w:pPr>
      <w:r w:rsidRPr="00667924">
        <w:rPr>
          <w:sz w:val="24"/>
          <w:szCs w:val="24"/>
        </w:rPr>
        <w:t xml:space="preserve">Also: </w:t>
      </w:r>
      <w:hyperlink r:id="rId20" w:history="1">
        <w:r w:rsidRPr="00667924">
          <w:rPr>
            <w:color w:val="0000FF"/>
            <w:sz w:val="24"/>
            <w:szCs w:val="24"/>
            <w:u w:val="single"/>
          </w:rPr>
          <w:t>https://mentor.ieee.org/802.11/dcn/15/11-15-0533-00-0000-removal-of-dmg-ofdm-from-802-11-revmc-ballot.pptx</w:t>
        </w:r>
      </w:hyperlink>
      <w:r w:rsidRPr="00667924">
        <w:rPr>
          <w:sz w:val="24"/>
          <w:szCs w:val="24"/>
        </w:rPr>
        <w:t xml:space="preserve"> </w:t>
      </w:r>
    </w:p>
    <w:p w:rsidR="005F1A54" w:rsidRPr="00667924" w:rsidRDefault="005F1A54" w:rsidP="005F1A54">
      <w:pPr>
        <w:ind w:left="1440"/>
        <w:rPr>
          <w:sz w:val="24"/>
          <w:szCs w:val="24"/>
        </w:rPr>
      </w:pPr>
      <w:r w:rsidRPr="00667924">
        <w:rPr>
          <w:rFonts w:ascii="Arial" w:hAnsi="Arial" w:cs="Arial"/>
          <w:sz w:val="20"/>
        </w:rPr>
        <w:t>5. Adjourn</w:t>
      </w:r>
    </w:p>
    <w:p w:rsidR="005F1A54" w:rsidRPr="005F1A54" w:rsidRDefault="005F1A54" w:rsidP="005F1A54">
      <w:pPr>
        <w:pStyle w:val="ListParagraph"/>
        <w:numPr>
          <w:ilvl w:val="2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eastAsia="Times New Roman" w:hAnsi="Cambria" w:cs="Arial"/>
        </w:rPr>
        <w:t>Comments on the agenda:</w:t>
      </w:r>
    </w:p>
    <w:p w:rsidR="005F1A54" w:rsidRPr="005F1A54" w:rsidRDefault="005F1A54" w:rsidP="005F1A54">
      <w:pPr>
        <w:pStyle w:val="ListParagraph"/>
        <w:numPr>
          <w:ilvl w:val="3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eastAsia="Times New Roman" w:hAnsi="Cambria" w:cs="Arial"/>
        </w:rPr>
        <w:t>Dorothy added a section to discuss BRC process at the start of the call</w:t>
      </w:r>
    </w:p>
    <w:p w:rsidR="005F1A54" w:rsidRPr="005F1A54" w:rsidRDefault="005F1A54" w:rsidP="005F1A54">
      <w:pPr>
        <w:pStyle w:val="ListParagraph"/>
        <w:numPr>
          <w:ilvl w:val="3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eastAsia="Times New Roman" w:hAnsi="Cambria" w:cs="Arial"/>
        </w:rPr>
        <w:t>Adrian requested time to discuss resolutions he has that need discussion, if we have time.  Edward has some also.</w:t>
      </w:r>
    </w:p>
    <w:p w:rsidR="005F1A54" w:rsidRPr="005F1A54" w:rsidRDefault="005F1A54" w:rsidP="005F1A54">
      <w:pPr>
        <w:pStyle w:val="ListParagraph"/>
        <w:numPr>
          <w:ilvl w:val="3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eastAsia="Times New Roman" w:hAnsi="Cambria" w:cs="Arial"/>
        </w:rPr>
        <w:lastRenderedPageBreak/>
        <w:t>Carlos asked to have Location CIDs added to his list for discussion in Vancouver</w:t>
      </w:r>
    </w:p>
    <w:p w:rsidR="005F1A54" w:rsidRPr="005F1A54" w:rsidRDefault="005F1A54" w:rsidP="005F1A54">
      <w:pPr>
        <w:pStyle w:val="ListParagraph"/>
        <w:numPr>
          <w:ilvl w:val="3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eastAsia="Times New Roman" w:hAnsi="Cambria" w:cs="Arial"/>
        </w:rPr>
        <w:t>No additional comments/changes to agenda</w:t>
      </w:r>
    </w:p>
    <w:p w:rsidR="005F1A54" w:rsidRPr="005F1A54" w:rsidRDefault="005F1A54" w:rsidP="005F1A54">
      <w:pPr>
        <w:pStyle w:val="ListParagraph"/>
        <w:numPr>
          <w:ilvl w:val="1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  <w:b/>
        </w:rPr>
        <w:t>Attendance</w:t>
      </w:r>
      <w:r w:rsidRPr="005F1A54">
        <w:rPr>
          <w:rFonts w:ascii="Cambria" w:hAnsi="Cambria"/>
        </w:rPr>
        <w:t xml:space="preserve">: Dorothy STANLEY (Aruba); Edward AU (Marvell); Mark HAMILTON (Ruckus); Mark RISON (Samsung); Emily QI (Intel); Adrian STEPHENS (Intel); Joseph </w:t>
      </w:r>
      <w:r w:rsidR="00C8541A" w:rsidRPr="005F1A54">
        <w:rPr>
          <w:rFonts w:ascii="Cambria" w:hAnsi="Cambria"/>
        </w:rPr>
        <w:t xml:space="preserve">LEVY </w:t>
      </w:r>
      <w:r w:rsidRPr="005F1A54">
        <w:rPr>
          <w:rFonts w:ascii="Cambria" w:hAnsi="Cambria"/>
        </w:rPr>
        <w:t>(</w:t>
      </w:r>
      <w:proofErr w:type="spellStart"/>
      <w:r w:rsidRPr="005F1A54">
        <w:rPr>
          <w:rFonts w:ascii="Cambria" w:hAnsi="Cambria"/>
        </w:rPr>
        <w:t>InterDigital</w:t>
      </w:r>
      <w:proofErr w:type="spellEnd"/>
      <w:r w:rsidRPr="005F1A54">
        <w:rPr>
          <w:rFonts w:ascii="Cambria" w:hAnsi="Cambria"/>
        </w:rPr>
        <w:t xml:space="preserve">); Marc </w:t>
      </w:r>
      <w:r w:rsidR="00C8541A" w:rsidRPr="005F1A54">
        <w:rPr>
          <w:rFonts w:ascii="Cambria" w:hAnsi="Cambria"/>
        </w:rPr>
        <w:t xml:space="preserve">EMMELMANN </w:t>
      </w:r>
      <w:r w:rsidRPr="005F1A54">
        <w:rPr>
          <w:rFonts w:ascii="Cambria" w:hAnsi="Cambria"/>
        </w:rPr>
        <w:t xml:space="preserve">(Self); Rainer </w:t>
      </w:r>
      <w:r w:rsidR="00C8541A" w:rsidRPr="005F1A54">
        <w:rPr>
          <w:rFonts w:ascii="Cambria" w:hAnsi="Cambria"/>
        </w:rPr>
        <w:t xml:space="preserve">HACH </w:t>
      </w:r>
      <w:r w:rsidRPr="005F1A54">
        <w:rPr>
          <w:rFonts w:ascii="Cambria" w:hAnsi="Cambria"/>
        </w:rPr>
        <w:t>(</w:t>
      </w:r>
      <w:proofErr w:type="spellStart"/>
      <w:r w:rsidRPr="005F1A54">
        <w:rPr>
          <w:rFonts w:ascii="Cambria" w:hAnsi="Cambria"/>
        </w:rPr>
        <w:t>Nanotron</w:t>
      </w:r>
      <w:proofErr w:type="spellEnd"/>
      <w:r w:rsidRPr="005F1A54">
        <w:rPr>
          <w:rFonts w:ascii="Cambria" w:hAnsi="Cambria"/>
        </w:rPr>
        <w:t xml:space="preserve">); </w:t>
      </w:r>
      <w:proofErr w:type="spellStart"/>
      <w:r w:rsidRPr="005F1A54">
        <w:rPr>
          <w:rFonts w:ascii="Cambria" w:hAnsi="Cambria"/>
        </w:rPr>
        <w:t>Sigurd</w:t>
      </w:r>
      <w:proofErr w:type="spellEnd"/>
      <w:r w:rsidRPr="005F1A54">
        <w:rPr>
          <w:rFonts w:ascii="Cambria" w:hAnsi="Cambria"/>
        </w:rPr>
        <w:t xml:space="preserve"> </w:t>
      </w:r>
      <w:r w:rsidR="00C8541A" w:rsidRPr="005F1A54">
        <w:rPr>
          <w:rFonts w:ascii="Cambria" w:hAnsi="Cambria"/>
        </w:rPr>
        <w:t xml:space="preserve">SCHELSTRAETE </w:t>
      </w:r>
      <w:r w:rsidRPr="005F1A54">
        <w:rPr>
          <w:rFonts w:ascii="Cambria" w:hAnsi="Cambria"/>
        </w:rPr>
        <w:t>(</w:t>
      </w:r>
      <w:proofErr w:type="spellStart"/>
      <w:r w:rsidRPr="005F1A54">
        <w:rPr>
          <w:rFonts w:ascii="Cambria" w:hAnsi="Cambria"/>
        </w:rPr>
        <w:t>Quantenna</w:t>
      </w:r>
      <w:proofErr w:type="spellEnd"/>
      <w:r w:rsidRPr="005F1A54">
        <w:rPr>
          <w:rFonts w:ascii="Cambria" w:hAnsi="Cambria"/>
        </w:rPr>
        <w:t xml:space="preserve">); Ganesh </w:t>
      </w:r>
      <w:r w:rsidR="00C8541A">
        <w:rPr>
          <w:color w:val="000000"/>
        </w:rPr>
        <w:t>VENKATESAN</w:t>
      </w:r>
      <w:r w:rsidR="00C8541A">
        <w:rPr>
          <w:rFonts w:ascii="Cambria" w:hAnsi="Cambria"/>
        </w:rPr>
        <w:t xml:space="preserve"> </w:t>
      </w:r>
      <w:r w:rsidRPr="005F1A54">
        <w:rPr>
          <w:rFonts w:ascii="Cambria" w:hAnsi="Cambria"/>
        </w:rPr>
        <w:t xml:space="preserve">(Intel); Matthew </w:t>
      </w:r>
      <w:r w:rsidR="00C8541A" w:rsidRPr="005F1A54">
        <w:rPr>
          <w:rFonts w:ascii="Cambria" w:hAnsi="Cambria"/>
        </w:rPr>
        <w:t xml:space="preserve">FISCHER </w:t>
      </w:r>
      <w:r w:rsidRPr="005F1A54">
        <w:rPr>
          <w:rFonts w:ascii="Cambria" w:hAnsi="Cambria"/>
        </w:rPr>
        <w:t xml:space="preserve">(Broadcom); Carlos </w:t>
      </w:r>
      <w:r w:rsidR="00C8541A" w:rsidRPr="005F1A54">
        <w:rPr>
          <w:rFonts w:ascii="Cambria" w:hAnsi="Cambria"/>
        </w:rPr>
        <w:t xml:space="preserve">ALDANA </w:t>
      </w:r>
      <w:r w:rsidRPr="005F1A54">
        <w:rPr>
          <w:rFonts w:ascii="Cambria" w:hAnsi="Cambria"/>
        </w:rPr>
        <w:t>(Qualcomm).</w:t>
      </w:r>
    </w:p>
    <w:p w:rsidR="005F1A54" w:rsidRPr="005F1A54" w:rsidRDefault="005F1A54" w:rsidP="005F1A54">
      <w:pPr>
        <w:pStyle w:val="ListParagraph"/>
        <w:numPr>
          <w:ilvl w:val="1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  <w:b/>
        </w:rPr>
        <w:t>Review procedure for Ballot Resolution Committee</w:t>
      </w:r>
      <w:r w:rsidRPr="005F1A54">
        <w:rPr>
          <w:rFonts w:ascii="Cambria" w:hAnsi="Cambria"/>
        </w:rPr>
        <w:t>:</w:t>
      </w:r>
    </w:p>
    <w:p w:rsidR="005F1A54" w:rsidRPr="005F1A54" w:rsidRDefault="005F1A54" w:rsidP="005F1A54">
      <w:pPr>
        <w:pStyle w:val="ListParagraph"/>
        <w:numPr>
          <w:ilvl w:val="2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>Dorothy reviewed her proposed procedures, based on the outline in 11-14/629r10</w:t>
      </w:r>
    </w:p>
    <w:p w:rsidR="005F1A54" w:rsidRPr="005F1A54" w:rsidRDefault="005F1A54" w:rsidP="005F1A54">
      <w:pPr>
        <w:pStyle w:val="ListParagraph"/>
        <w:numPr>
          <w:ilvl w:val="2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>Checked on 10 day announcement rule – Dorothy can announce a call with 10 days’ notice.</w:t>
      </w:r>
    </w:p>
    <w:p w:rsidR="005F1A54" w:rsidRPr="005F1A54" w:rsidRDefault="005F1A54" w:rsidP="005F1A54">
      <w:pPr>
        <w:pStyle w:val="ListParagraph"/>
        <w:numPr>
          <w:ilvl w:val="2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>No other comments</w:t>
      </w:r>
    </w:p>
    <w:p w:rsidR="005F1A54" w:rsidRPr="005F1A54" w:rsidRDefault="005F1A54" w:rsidP="005F1A54">
      <w:pPr>
        <w:pStyle w:val="ListParagraph"/>
        <w:numPr>
          <w:ilvl w:val="1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  <w:b/>
        </w:rPr>
        <w:t>Editor Report (11-13/0095r20)</w:t>
      </w:r>
      <w:r w:rsidRPr="005F1A54">
        <w:rPr>
          <w:rFonts w:ascii="Cambria" w:hAnsi="Cambria"/>
        </w:rPr>
        <w:t>:</w:t>
      </w:r>
    </w:p>
    <w:p w:rsidR="005F1A54" w:rsidRPr="005F1A54" w:rsidRDefault="005F1A54" w:rsidP="005F1A54">
      <w:pPr>
        <w:pStyle w:val="ListParagraph"/>
        <w:numPr>
          <w:ilvl w:val="2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 xml:space="preserve">Composite comments are being tracked in a new document, 11-15/0532.  This document still has all the old comments, as well.  </w:t>
      </w:r>
    </w:p>
    <w:p w:rsidR="005F1A54" w:rsidRPr="005F1A54" w:rsidRDefault="005F1A54" w:rsidP="005F1A54">
      <w:pPr>
        <w:pStyle w:val="ListParagraph"/>
        <w:numPr>
          <w:ilvl w:val="2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 xml:space="preserve">Reviewed comments by commenter.  Mark </w:t>
      </w:r>
      <w:r w:rsidR="00C8541A" w:rsidRPr="005F1A54">
        <w:rPr>
          <w:rFonts w:ascii="Cambria" w:hAnsi="Cambria"/>
        </w:rPr>
        <w:t xml:space="preserve">RISON </w:t>
      </w:r>
      <w:r w:rsidRPr="005F1A54">
        <w:rPr>
          <w:rFonts w:ascii="Cambria" w:hAnsi="Cambria"/>
        </w:rPr>
        <w:t>has the most – thanks for the hard work Mark!</w:t>
      </w:r>
    </w:p>
    <w:p w:rsidR="005F1A54" w:rsidRPr="005F1A54" w:rsidRDefault="005F1A54" w:rsidP="005F1A54">
      <w:pPr>
        <w:pStyle w:val="ListParagraph"/>
        <w:numPr>
          <w:ilvl w:val="2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>Looked at projection of how long it takes to review comments</w:t>
      </w:r>
    </w:p>
    <w:p w:rsidR="005F1A54" w:rsidRPr="005F1A54" w:rsidRDefault="005F1A54" w:rsidP="005F1A54">
      <w:pPr>
        <w:pStyle w:val="ListParagraph"/>
        <w:numPr>
          <w:ilvl w:val="3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 xml:space="preserve">Prediction based on WG ballots would indicate 445 days to resolve the number of comments we have.  That would be an 8 month delay.  11ah and 11ai would be delayed (at least at final Sponsor </w:t>
      </w:r>
      <w:proofErr w:type="spellStart"/>
      <w:r w:rsidRPr="005F1A54">
        <w:rPr>
          <w:rFonts w:ascii="Cambria" w:hAnsi="Cambria"/>
        </w:rPr>
        <w:t>recirc</w:t>
      </w:r>
      <w:proofErr w:type="spellEnd"/>
      <w:r w:rsidRPr="005F1A54">
        <w:rPr>
          <w:rFonts w:ascii="Cambria" w:hAnsi="Cambria"/>
        </w:rPr>
        <w:t xml:space="preserve">) waiting for </w:t>
      </w:r>
      <w:proofErr w:type="spellStart"/>
      <w:r w:rsidRPr="005F1A54">
        <w:rPr>
          <w:rFonts w:ascii="Cambria" w:hAnsi="Cambria"/>
        </w:rPr>
        <w:t>REVmc</w:t>
      </w:r>
      <w:proofErr w:type="spellEnd"/>
      <w:r w:rsidRPr="005F1A54">
        <w:rPr>
          <w:rFonts w:ascii="Cambria" w:hAnsi="Cambria"/>
        </w:rPr>
        <w:t xml:space="preserve"> to stabilize.  As the BRC, we can agree to change our approach to comment resolution from the WG ballot culture, and perhaps speed this up.</w:t>
      </w:r>
    </w:p>
    <w:p w:rsidR="005F1A54" w:rsidRPr="005F1A54" w:rsidRDefault="005F1A54" w:rsidP="005F1A54">
      <w:pPr>
        <w:pStyle w:val="ListParagraph"/>
        <w:numPr>
          <w:ilvl w:val="3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 xml:space="preserve">Could/should we consider rolling 11ah/11ai into </w:t>
      </w:r>
      <w:proofErr w:type="spellStart"/>
      <w:r w:rsidRPr="005F1A54">
        <w:rPr>
          <w:rFonts w:ascii="Cambria" w:hAnsi="Cambria"/>
        </w:rPr>
        <w:t>REVmc</w:t>
      </w:r>
      <w:proofErr w:type="spellEnd"/>
      <w:r w:rsidRPr="005F1A54">
        <w:rPr>
          <w:rFonts w:ascii="Cambria" w:hAnsi="Cambria"/>
        </w:rPr>
        <w:t>, then?  If we consider the likely additional impact on our schedule, it probably just makes things worse.</w:t>
      </w:r>
    </w:p>
    <w:p w:rsidR="005F1A54" w:rsidRPr="005F1A54" w:rsidRDefault="005F1A54" w:rsidP="005F1A54">
      <w:pPr>
        <w:pStyle w:val="ListParagraph"/>
        <w:numPr>
          <w:ilvl w:val="3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>We got 1889 comments, including a few rogue comments that came in late.  A lot are Editorial (more than half).  Very few PHY comments this time, so mostly only General comments went to GEN ad-hoc, which made the split between MAC and GEN ad-</w:t>
      </w:r>
      <w:proofErr w:type="spellStart"/>
      <w:r w:rsidRPr="005F1A54">
        <w:rPr>
          <w:rFonts w:ascii="Cambria" w:hAnsi="Cambria"/>
        </w:rPr>
        <w:t>hocs</w:t>
      </w:r>
      <w:proofErr w:type="spellEnd"/>
      <w:r w:rsidRPr="005F1A54">
        <w:rPr>
          <w:rFonts w:ascii="Cambria" w:hAnsi="Cambria"/>
        </w:rPr>
        <w:t xml:space="preserve"> not well balanced this time.</w:t>
      </w:r>
    </w:p>
    <w:p w:rsidR="005F1A54" w:rsidRPr="005F1A54" w:rsidRDefault="005F1A54" w:rsidP="005F1A54">
      <w:pPr>
        <w:pStyle w:val="ListParagraph"/>
        <w:numPr>
          <w:ilvl w:val="3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>There are some Editorial comments that are really a style question (like inserting the phrase “value of” in 100+ locations).  We can discuss those.</w:t>
      </w:r>
    </w:p>
    <w:p w:rsidR="005F1A54" w:rsidRPr="005F1A54" w:rsidRDefault="005F1A54" w:rsidP="005F1A54">
      <w:pPr>
        <w:pStyle w:val="ListParagraph"/>
        <w:numPr>
          <w:ilvl w:val="3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>No questions.</w:t>
      </w:r>
    </w:p>
    <w:p w:rsidR="005F1A54" w:rsidRPr="005F1A54" w:rsidRDefault="005F1A54" w:rsidP="005F1A54">
      <w:pPr>
        <w:pStyle w:val="ListParagraph"/>
        <w:numPr>
          <w:ilvl w:val="1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  <w:b/>
        </w:rPr>
        <w:t>Comment assignment:</w:t>
      </w:r>
    </w:p>
    <w:p w:rsidR="005F1A54" w:rsidRPr="005F1A54" w:rsidRDefault="005F1A54" w:rsidP="005F1A54">
      <w:pPr>
        <w:pStyle w:val="ListParagraph"/>
        <w:numPr>
          <w:ilvl w:val="2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 xml:space="preserve">Carlos </w:t>
      </w:r>
      <w:r w:rsidR="00C8541A" w:rsidRPr="005F1A54">
        <w:rPr>
          <w:rFonts w:ascii="Cambria" w:hAnsi="Cambria"/>
        </w:rPr>
        <w:t xml:space="preserve">ALDANA </w:t>
      </w:r>
      <w:r w:rsidRPr="005F1A54">
        <w:rPr>
          <w:rFonts w:ascii="Cambria" w:hAnsi="Cambria"/>
        </w:rPr>
        <w:t>will produce a document covering the Location CIDs.  Tentatively assigned to Wednesday PM1 in Vancouver.</w:t>
      </w:r>
    </w:p>
    <w:p w:rsidR="005F1A54" w:rsidRPr="005F1A54" w:rsidRDefault="005F1A54" w:rsidP="005F1A54">
      <w:pPr>
        <w:pStyle w:val="ListParagraph"/>
        <w:numPr>
          <w:ilvl w:val="2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 xml:space="preserve">Carlos </w:t>
      </w:r>
      <w:r w:rsidR="00C8541A" w:rsidRPr="005F1A54">
        <w:rPr>
          <w:rFonts w:ascii="Cambria" w:hAnsi="Cambria"/>
        </w:rPr>
        <w:t xml:space="preserve">CORDIERO </w:t>
      </w:r>
      <w:r w:rsidRPr="005F1A54">
        <w:rPr>
          <w:rFonts w:ascii="Cambria" w:hAnsi="Cambria"/>
        </w:rPr>
        <w:t>will cover 11ad related comments in Tuesday PM1.</w:t>
      </w:r>
    </w:p>
    <w:p w:rsidR="005F1A54" w:rsidRPr="005F1A54" w:rsidRDefault="005F1A54" w:rsidP="005F1A54">
      <w:pPr>
        <w:pStyle w:val="ListParagraph"/>
        <w:numPr>
          <w:ilvl w:val="3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 xml:space="preserve">Note especially the comment (CID 5857) from </w:t>
      </w:r>
      <w:proofErr w:type="spellStart"/>
      <w:r w:rsidRPr="005F1A54">
        <w:rPr>
          <w:rFonts w:ascii="Cambria" w:hAnsi="Cambria"/>
        </w:rPr>
        <w:t>Alecsander</w:t>
      </w:r>
      <w:proofErr w:type="spellEnd"/>
      <w:r w:rsidRPr="005F1A54">
        <w:rPr>
          <w:rFonts w:ascii="Cambria" w:hAnsi="Cambria"/>
        </w:rPr>
        <w:t xml:space="preserve"> </w:t>
      </w:r>
      <w:r w:rsidR="00C8541A" w:rsidRPr="005F1A54">
        <w:rPr>
          <w:rFonts w:ascii="Cambria" w:hAnsi="Cambria"/>
        </w:rPr>
        <w:t xml:space="preserve">EITAN </w:t>
      </w:r>
      <w:r w:rsidRPr="005F1A54">
        <w:rPr>
          <w:rFonts w:ascii="Cambria" w:hAnsi="Cambria"/>
        </w:rPr>
        <w:t xml:space="preserve">(and document 11-15/533r0) requesting to have DMG OFDM removed from the Standard.  This will be discussed in </w:t>
      </w:r>
      <w:proofErr w:type="spellStart"/>
      <w:r w:rsidRPr="005F1A54">
        <w:rPr>
          <w:rFonts w:ascii="Cambria" w:hAnsi="Cambria"/>
        </w:rPr>
        <w:t>TGmc</w:t>
      </w:r>
      <w:proofErr w:type="spellEnd"/>
      <w:r w:rsidRPr="005F1A54">
        <w:rPr>
          <w:rFonts w:ascii="Cambria" w:hAnsi="Cambria"/>
        </w:rPr>
        <w:t>.</w:t>
      </w:r>
    </w:p>
    <w:p w:rsidR="005F1A54" w:rsidRPr="005F1A54" w:rsidRDefault="005F1A54" w:rsidP="005F1A54">
      <w:pPr>
        <w:pStyle w:val="ListParagraph"/>
        <w:numPr>
          <w:ilvl w:val="2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 xml:space="preserve">Dan </w:t>
      </w:r>
      <w:r w:rsidR="00000B0C" w:rsidRPr="005F1A54">
        <w:rPr>
          <w:rFonts w:ascii="Cambria" w:hAnsi="Cambria"/>
        </w:rPr>
        <w:t xml:space="preserve">HARKINS </w:t>
      </w:r>
      <w:r w:rsidRPr="005F1A54">
        <w:rPr>
          <w:rFonts w:ascii="Cambria" w:hAnsi="Cambria"/>
        </w:rPr>
        <w:t>will work on security related comments.  He won’t be in Vancouver.  We’ll handle on a future teleconference.</w:t>
      </w:r>
    </w:p>
    <w:p w:rsidR="005F1A54" w:rsidRPr="005F1A54" w:rsidRDefault="005F1A54" w:rsidP="005F1A54">
      <w:pPr>
        <w:pStyle w:val="ListParagraph"/>
        <w:numPr>
          <w:ilvl w:val="2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 xml:space="preserve">Matthew </w:t>
      </w:r>
      <w:r w:rsidR="00000B0C" w:rsidRPr="005F1A54">
        <w:rPr>
          <w:rFonts w:ascii="Cambria" w:hAnsi="Cambria"/>
        </w:rPr>
        <w:t xml:space="preserve">FISCHER </w:t>
      </w:r>
      <w:r w:rsidRPr="005F1A54">
        <w:rPr>
          <w:rFonts w:ascii="Cambria" w:hAnsi="Cambria"/>
        </w:rPr>
        <w:t>will address CIDs 5959 and 5960, and any additional items he has prepared.  This is scheduled for Wednesday PM1.</w:t>
      </w:r>
    </w:p>
    <w:p w:rsidR="005F1A54" w:rsidRPr="005F1A54" w:rsidRDefault="005F1A54" w:rsidP="005F1A54">
      <w:pPr>
        <w:pStyle w:val="ListParagraph"/>
        <w:numPr>
          <w:ilvl w:val="1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  <w:b/>
        </w:rPr>
        <w:t>Comment discussion/resolution:</w:t>
      </w:r>
    </w:p>
    <w:p w:rsidR="005F1A54" w:rsidRPr="005F1A54" w:rsidRDefault="005F1A54" w:rsidP="005F1A54">
      <w:pPr>
        <w:pStyle w:val="ListParagraph"/>
        <w:numPr>
          <w:ilvl w:val="2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lastRenderedPageBreak/>
        <w:t>CID 6634 (EDITOR):</w:t>
      </w:r>
    </w:p>
    <w:p w:rsidR="005F1A54" w:rsidRPr="005F1A54" w:rsidRDefault="005F1A54" w:rsidP="005F1A54">
      <w:pPr>
        <w:pStyle w:val="ListParagraph"/>
        <w:numPr>
          <w:ilvl w:val="3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 xml:space="preserve">Should we replace these </w:t>
      </w:r>
      <w:r w:rsidR="00000B0C" w:rsidRPr="005F1A54">
        <w:rPr>
          <w:rFonts w:ascii="Cambria" w:hAnsi="Cambria"/>
        </w:rPr>
        <w:t xml:space="preserve">(“of type data” or “of type Data”) </w:t>
      </w:r>
      <w:r w:rsidRPr="005F1A54">
        <w:rPr>
          <w:rFonts w:ascii="Cambria" w:hAnsi="Cambria"/>
        </w:rPr>
        <w:t>(31 of them) with more precise language, perhaps something like “with the Type field equal to Data”?  Or document the vernacular in 1.4?</w:t>
      </w:r>
    </w:p>
    <w:p w:rsidR="005F1A54" w:rsidRPr="005F1A54" w:rsidRDefault="005F1A54" w:rsidP="005F1A54">
      <w:pPr>
        <w:pStyle w:val="ListParagraph"/>
        <w:numPr>
          <w:ilvl w:val="3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 xml:space="preserve">Straw Poll:  </w:t>
      </w:r>
    </w:p>
    <w:p w:rsidR="005F1A54" w:rsidRPr="005F1A54" w:rsidRDefault="005F1A54" w:rsidP="005F1A54">
      <w:pPr>
        <w:pStyle w:val="ListParagraph"/>
        <w:numPr>
          <w:ilvl w:val="4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>A: Should all such</w:t>
      </w:r>
      <w:r w:rsidR="00000B0C">
        <w:rPr>
          <w:rFonts w:ascii="Cambria" w:hAnsi="Cambria"/>
        </w:rPr>
        <w:t xml:space="preserve"> </w:t>
      </w:r>
      <w:r w:rsidR="00000B0C" w:rsidRPr="005F1A54">
        <w:rPr>
          <w:rFonts w:ascii="Cambria" w:hAnsi="Cambria"/>
        </w:rPr>
        <w:t>(“of type data” or “of type Data”)</w:t>
      </w:r>
      <w:r w:rsidRPr="005F1A54">
        <w:rPr>
          <w:rFonts w:ascii="Cambria" w:hAnsi="Cambria"/>
        </w:rPr>
        <w:t xml:space="preserve"> be replaced with “with the Type field equal to Data”?</w:t>
      </w:r>
    </w:p>
    <w:p w:rsidR="005F1A54" w:rsidRPr="005F1A54" w:rsidRDefault="005F1A54" w:rsidP="005F1A54">
      <w:pPr>
        <w:pStyle w:val="ListParagraph"/>
        <w:numPr>
          <w:ilvl w:val="4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>B: Keep the vernacular (“of type data” or “of type Data”) as is?</w:t>
      </w:r>
    </w:p>
    <w:p w:rsidR="005F1A54" w:rsidRPr="005F1A54" w:rsidRDefault="005F1A54" w:rsidP="005F1A54">
      <w:pPr>
        <w:pStyle w:val="ListParagraph"/>
        <w:numPr>
          <w:ilvl w:val="4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>C: Keep the vernacular and document it in 1.4?</w:t>
      </w:r>
    </w:p>
    <w:p w:rsidR="005F1A54" w:rsidRPr="005F1A54" w:rsidRDefault="005F1A54" w:rsidP="005F1A54">
      <w:pPr>
        <w:pStyle w:val="ListParagraph"/>
        <w:numPr>
          <w:ilvl w:val="4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>D: Don’t care/No opinion</w:t>
      </w:r>
    </w:p>
    <w:p w:rsidR="005F1A54" w:rsidRPr="005F1A54" w:rsidRDefault="005F1A54" w:rsidP="005F1A54">
      <w:pPr>
        <w:pStyle w:val="ListParagraph"/>
        <w:numPr>
          <w:ilvl w:val="4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 xml:space="preserve">A: 4.5  B: 1  C: 2.5  D: 3 </w:t>
      </w:r>
    </w:p>
    <w:p w:rsidR="005F1A54" w:rsidRPr="005F1A54" w:rsidRDefault="005F1A54" w:rsidP="005F1A54">
      <w:pPr>
        <w:pStyle w:val="ListParagraph"/>
        <w:numPr>
          <w:ilvl w:val="4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>Adrian will consider proceeding with “A”</w:t>
      </w:r>
    </w:p>
    <w:p w:rsidR="005F1A54" w:rsidRPr="005F1A54" w:rsidRDefault="005F1A54" w:rsidP="005F1A54">
      <w:pPr>
        <w:pStyle w:val="ListParagraph"/>
        <w:numPr>
          <w:ilvl w:val="2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>CID 6635 (EDITOR):</w:t>
      </w:r>
    </w:p>
    <w:p w:rsidR="005F1A54" w:rsidRPr="005F1A54" w:rsidRDefault="005F1A54" w:rsidP="005F1A54">
      <w:pPr>
        <w:pStyle w:val="ListParagraph"/>
        <w:numPr>
          <w:ilvl w:val="3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>Is similar to 6634, won’t discuss further here.</w:t>
      </w:r>
    </w:p>
    <w:p w:rsidR="005F1A54" w:rsidRPr="005F1A54" w:rsidRDefault="005F1A54" w:rsidP="005F1A54">
      <w:pPr>
        <w:pStyle w:val="ListParagraph"/>
        <w:numPr>
          <w:ilvl w:val="2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>CID 6566 (EDITOR):</w:t>
      </w:r>
    </w:p>
    <w:p w:rsidR="005F1A54" w:rsidRPr="005F1A54" w:rsidRDefault="005F1A54" w:rsidP="005F1A54">
      <w:pPr>
        <w:pStyle w:val="ListParagraph"/>
        <w:numPr>
          <w:ilvl w:val="3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 xml:space="preserve">“IEEE 802*” or “IEEE </w:t>
      </w:r>
      <w:proofErr w:type="spellStart"/>
      <w:r w:rsidRPr="005F1A54">
        <w:rPr>
          <w:rFonts w:ascii="Cambria" w:hAnsi="Cambria"/>
        </w:rPr>
        <w:t>Std</w:t>
      </w:r>
      <w:proofErr w:type="spellEnd"/>
      <w:r w:rsidRPr="005F1A54">
        <w:rPr>
          <w:rFonts w:ascii="Cambria" w:hAnsi="Cambria"/>
        </w:rPr>
        <w:t xml:space="preserve"> 802*”, </w:t>
      </w:r>
      <w:proofErr w:type="spellStart"/>
      <w:r w:rsidRPr="005F1A54">
        <w:rPr>
          <w:rFonts w:ascii="Cambria" w:hAnsi="Cambria"/>
        </w:rPr>
        <w:t>etc</w:t>
      </w:r>
      <w:proofErr w:type="spellEnd"/>
    </w:p>
    <w:p w:rsidR="005F1A54" w:rsidRPr="005F1A54" w:rsidRDefault="005F1A54" w:rsidP="005F1A54">
      <w:pPr>
        <w:pStyle w:val="ListParagraph"/>
        <w:numPr>
          <w:ilvl w:val="3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>567 instances of this, just for “</w:t>
      </w:r>
      <w:proofErr w:type="spellStart"/>
      <w:r w:rsidRPr="005F1A54">
        <w:rPr>
          <w:rFonts w:ascii="Cambria" w:hAnsi="Cambria"/>
        </w:rPr>
        <w:t>std</w:t>
      </w:r>
      <w:proofErr w:type="spellEnd"/>
      <w:r w:rsidRPr="005F1A54">
        <w:rPr>
          <w:rFonts w:ascii="Cambria" w:hAnsi="Cambria"/>
        </w:rPr>
        <w:t xml:space="preserve"> 802.11”</w:t>
      </w:r>
    </w:p>
    <w:p w:rsidR="005F1A54" w:rsidRPr="005F1A54" w:rsidRDefault="005F1A54" w:rsidP="005F1A54">
      <w:pPr>
        <w:pStyle w:val="ListParagraph"/>
        <w:numPr>
          <w:ilvl w:val="3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>Thought about this before.  Nobody had the time to sort this out, previously.  Does the group care (enough) this time?</w:t>
      </w:r>
    </w:p>
    <w:p w:rsidR="005F1A54" w:rsidRPr="005F1A54" w:rsidRDefault="005F1A54" w:rsidP="005F1A54">
      <w:pPr>
        <w:pStyle w:val="ListParagraph"/>
        <w:numPr>
          <w:ilvl w:val="3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>We really need the “</w:t>
      </w:r>
      <w:proofErr w:type="spellStart"/>
      <w:r w:rsidRPr="005F1A54">
        <w:rPr>
          <w:rFonts w:ascii="Cambria" w:hAnsi="Cambria"/>
        </w:rPr>
        <w:t>Std</w:t>
      </w:r>
      <w:proofErr w:type="spellEnd"/>
      <w:r w:rsidRPr="005F1A54">
        <w:rPr>
          <w:rFonts w:ascii="Cambria" w:hAnsi="Cambria"/>
        </w:rPr>
        <w:t xml:space="preserve">” (et al) when we reference a Standard.  There are places where we reference our own MAC, so we say “802.11 MAC”, and then we end up adding the “IEEE </w:t>
      </w:r>
      <w:proofErr w:type="spellStart"/>
      <w:proofErr w:type="gramStart"/>
      <w:r w:rsidRPr="005F1A54">
        <w:rPr>
          <w:rFonts w:ascii="Cambria" w:hAnsi="Cambria"/>
        </w:rPr>
        <w:t>Std</w:t>
      </w:r>
      <w:proofErr w:type="spellEnd"/>
      <w:proofErr w:type="gramEnd"/>
      <w:r w:rsidRPr="005F1A54">
        <w:rPr>
          <w:rFonts w:ascii="Cambria" w:hAnsi="Cambria"/>
        </w:rPr>
        <w:t>” even though we probably don’t need it.  But, we’re not sure.</w:t>
      </w:r>
    </w:p>
    <w:p w:rsidR="005F1A54" w:rsidRPr="005F1A54" w:rsidRDefault="005F1A54" w:rsidP="005F1A54">
      <w:pPr>
        <w:pStyle w:val="ListParagraph"/>
        <w:numPr>
          <w:ilvl w:val="3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>Straw Poll:</w:t>
      </w:r>
    </w:p>
    <w:p w:rsidR="005F1A54" w:rsidRPr="005F1A54" w:rsidRDefault="005F1A54" w:rsidP="005F1A54">
      <w:pPr>
        <w:pStyle w:val="ListParagraph"/>
        <w:numPr>
          <w:ilvl w:val="4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 xml:space="preserve">The current level of use of the term “IEEE </w:t>
      </w:r>
      <w:proofErr w:type="spellStart"/>
      <w:proofErr w:type="gramStart"/>
      <w:r w:rsidRPr="005F1A54">
        <w:rPr>
          <w:rFonts w:ascii="Cambria" w:hAnsi="Cambria"/>
        </w:rPr>
        <w:t>Std</w:t>
      </w:r>
      <w:proofErr w:type="spellEnd"/>
      <w:proofErr w:type="gramEnd"/>
      <w:r w:rsidRPr="005F1A54">
        <w:rPr>
          <w:rFonts w:ascii="Cambria" w:hAnsi="Cambria"/>
        </w:rPr>
        <w:t xml:space="preserve"> 802.11” is excessive and should be fixed?   A: Yes   B: No   C: Don’t care/no opinion</w:t>
      </w:r>
    </w:p>
    <w:p w:rsidR="005F1A54" w:rsidRPr="005F1A54" w:rsidRDefault="005F1A54" w:rsidP="005F1A54">
      <w:pPr>
        <w:pStyle w:val="ListParagraph"/>
        <w:numPr>
          <w:ilvl w:val="4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 xml:space="preserve">A: 5   B: 2   C: 5  </w:t>
      </w:r>
    </w:p>
    <w:p w:rsidR="005F1A54" w:rsidRPr="005F1A54" w:rsidRDefault="005F1A54" w:rsidP="005F1A54">
      <w:pPr>
        <w:pStyle w:val="ListParagraph"/>
        <w:numPr>
          <w:ilvl w:val="4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>Adrian will  consider proceeding with “A”</w:t>
      </w:r>
    </w:p>
    <w:p w:rsidR="005F1A54" w:rsidRPr="005F1A54" w:rsidRDefault="005F1A54" w:rsidP="005F1A54">
      <w:pPr>
        <w:pStyle w:val="ListParagraph"/>
        <w:numPr>
          <w:ilvl w:val="2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>CID 6487 (EDITOR):</w:t>
      </w:r>
    </w:p>
    <w:p w:rsidR="005F1A54" w:rsidRPr="005F1A54" w:rsidRDefault="005F1A54" w:rsidP="005F1A54">
      <w:pPr>
        <w:pStyle w:val="ListParagraph"/>
        <w:numPr>
          <w:ilvl w:val="3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>Adrian agrees it should be fixed.  Which way?</w:t>
      </w:r>
    </w:p>
    <w:p w:rsidR="005F1A54" w:rsidRPr="005F1A54" w:rsidRDefault="005F1A54" w:rsidP="005F1A54">
      <w:pPr>
        <w:pStyle w:val="ListParagraph"/>
        <w:numPr>
          <w:ilvl w:val="3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>Some felt that “status” was the response/report of an action.  “State” is a condition being reported.</w:t>
      </w:r>
    </w:p>
    <w:p w:rsidR="005F1A54" w:rsidRPr="005F1A54" w:rsidRDefault="005F1A54" w:rsidP="005F1A54">
      <w:pPr>
        <w:pStyle w:val="ListParagraph"/>
        <w:numPr>
          <w:ilvl w:val="3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>Straw Poll:</w:t>
      </w:r>
    </w:p>
    <w:p w:rsidR="005F1A54" w:rsidRPr="005F1A54" w:rsidRDefault="005F1A54" w:rsidP="005F1A54">
      <w:pPr>
        <w:pStyle w:val="ListParagraph"/>
        <w:numPr>
          <w:ilvl w:val="4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>A: State</w:t>
      </w:r>
    </w:p>
    <w:p w:rsidR="005F1A54" w:rsidRPr="005F1A54" w:rsidRDefault="005F1A54" w:rsidP="005F1A54">
      <w:pPr>
        <w:pStyle w:val="ListParagraph"/>
        <w:numPr>
          <w:ilvl w:val="4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>B: Status</w:t>
      </w:r>
    </w:p>
    <w:p w:rsidR="005F1A54" w:rsidRPr="005F1A54" w:rsidRDefault="005F1A54" w:rsidP="005F1A54">
      <w:pPr>
        <w:pStyle w:val="ListParagraph"/>
        <w:numPr>
          <w:ilvl w:val="4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>C: Don’t care</w:t>
      </w:r>
    </w:p>
    <w:p w:rsidR="005F1A54" w:rsidRPr="005F1A54" w:rsidRDefault="005F1A54" w:rsidP="005F1A54">
      <w:pPr>
        <w:pStyle w:val="ListParagraph"/>
        <w:numPr>
          <w:ilvl w:val="4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>No objection to choosing “State”.  Adrian will proceed.</w:t>
      </w:r>
    </w:p>
    <w:p w:rsidR="005F1A54" w:rsidRPr="005F1A54" w:rsidRDefault="005F1A54" w:rsidP="005F1A54">
      <w:pPr>
        <w:pStyle w:val="ListParagraph"/>
        <w:numPr>
          <w:ilvl w:val="2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>CID 6420 (EDITOR):</w:t>
      </w:r>
    </w:p>
    <w:p w:rsidR="005F1A54" w:rsidRPr="005F1A54" w:rsidRDefault="005F1A54" w:rsidP="005F1A54">
      <w:pPr>
        <w:pStyle w:val="ListParagraph"/>
        <w:numPr>
          <w:ilvl w:val="3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>Adrian agrees it should be fixed (small enough number of occurrences).  Which way?</w:t>
      </w:r>
    </w:p>
    <w:p w:rsidR="005F1A54" w:rsidRPr="005F1A54" w:rsidRDefault="005F1A54" w:rsidP="005F1A54">
      <w:pPr>
        <w:pStyle w:val="ListParagraph"/>
        <w:numPr>
          <w:ilvl w:val="3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>Straw Poll:</w:t>
      </w:r>
    </w:p>
    <w:p w:rsidR="005F1A54" w:rsidRPr="005F1A54" w:rsidRDefault="005F1A54" w:rsidP="005F1A54">
      <w:pPr>
        <w:pStyle w:val="ListParagraph"/>
        <w:numPr>
          <w:ilvl w:val="4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>A: High rate PHY</w:t>
      </w:r>
    </w:p>
    <w:p w:rsidR="005F1A54" w:rsidRPr="005F1A54" w:rsidRDefault="005F1A54" w:rsidP="005F1A54">
      <w:pPr>
        <w:pStyle w:val="ListParagraph"/>
        <w:numPr>
          <w:ilvl w:val="4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>B: HR/DSSS PHY</w:t>
      </w:r>
    </w:p>
    <w:p w:rsidR="005F1A54" w:rsidRPr="005F1A54" w:rsidRDefault="005F1A54" w:rsidP="005F1A54">
      <w:pPr>
        <w:pStyle w:val="ListParagraph"/>
        <w:numPr>
          <w:ilvl w:val="4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>C: Don’t care</w:t>
      </w:r>
    </w:p>
    <w:p w:rsidR="005F1A54" w:rsidRPr="005F1A54" w:rsidRDefault="005F1A54" w:rsidP="005F1A54">
      <w:pPr>
        <w:pStyle w:val="ListParagraph"/>
        <w:numPr>
          <w:ilvl w:val="4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 xml:space="preserve">A: 1  B: 6  C: 3  </w:t>
      </w:r>
    </w:p>
    <w:p w:rsidR="005F1A54" w:rsidRPr="005F1A54" w:rsidRDefault="005F1A54" w:rsidP="005F1A54">
      <w:pPr>
        <w:pStyle w:val="ListParagraph"/>
        <w:numPr>
          <w:ilvl w:val="4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>Adrian will proceed.</w:t>
      </w:r>
    </w:p>
    <w:p w:rsidR="005F1A54" w:rsidRPr="005F1A54" w:rsidRDefault="005F1A54" w:rsidP="005F1A54">
      <w:pPr>
        <w:pStyle w:val="ListParagraph"/>
        <w:numPr>
          <w:ilvl w:val="2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lastRenderedPageBreak/>
        <w:t>CID 6700 (EDITOR):</w:t>
      </w:r>
    </w:p>
    <w:p w:rsidR="005F1A54" w:rsidRPr="005F1A54" w:rsidRDefault="005F1A54" w:rsidP="005F1A54">
      <w:pPr>
        <w:pStyle w:val="ListParagraph"/>
        <w:numPr>
          <w:ilvl w:val="3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>Check with the group if anyone cares if this were changed.</w:t>
      </w:r>
    </w:p>
    <w:p w:rsidR="005F1A54" w:rsidRPr="005F1A54" w:rsidRDefault="005F1A54" w:rsidP="005F1A54">
      <w:pPr>
        <w:pStyle w:val="ListParagraph"/>
        <w:numPr>
          <w:ilvl w:val="3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>Straw Poll: Agree this should be changed?   A: Yes   B: No   C: Don’t care/no opinion</w:t>
      </w:r>
    </w:p>
    <w:p w:rsidR="005F1A54" w:rsidRPr="005F1A54" w:rsidRDefault="005F1A54" w:rsidP="005F1A54">
      <w:pPr>
        <w:pStyle w:val="ListParagraph"/>
        <w:numPr>
          <w:ilvl w:val="3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 xml:space="preserve">No objection to making the change, so </w:t>
      </w:r>
      <w:proofErr w:type="gramStart"/>
      <w:r w:rsidRPr="005F1A54">
        <w:rPr>
          <w:rFonts w:ascii="Cambria" w:hAnsi="Cambria"/>
        </w:rPr>
        <w:t>Yes</w:t>
      </w:r>
      <w:proofErr w:type="gramEnd"/>
      <w:r w:rsidRPr="005F1A54">
        <w:rPr>
          <w:rFonts w:ascii="Cambria" w:hAnsi="Cambria"/>
        </w:rPr>
        <w:t>.</w:t>
      </w:r>
    </w:p>
    <w:p w:rsidR="005F1A54" w:rsidRPr="005F1A54" w:rsidRDefault="005F1A54" w:rsidP="005F1A54">
      <w:pPr>
        <w:pStyle w:val="ListParagraph"/>
        <w:numPr>
          <w:ilvl w:val="3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>Adrian will proceed.</w:t>
      </w:r>
    </w:p>
    <w:p w:rsidR="005F1A54" w:rsidRPr="005F1A54" w:rsidRDefault="005F1A54" w:rsidP="005F1A54">
      <w:pPr>
        <w:pStyle w:val="ListParagraph"/>
        <w:numPr>
          <w:ilvl w:val="2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>CID 5308 (EDITOR) – and about 150 similar comments (cf. CID 5312, 5420):</w:t>
      </w:r>
    </w:p>
    <w:p w:rsidR="005F1A54" w:rsidRPr="005F1A54" w:rsidRDefault="005F1A54" w:rsidP="005F1A54">
      <w:pPr>
        <w:pStyle w:val="ListParagraph"/>
        <w:numPr>
          <w:ilvl w:val="3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>In 1.4 we have a convention to not use “value of” in the context of “set to” or “equal to” (setting or checking) a field.  It doesn’t explicitly cover a case like this (using “indicates”).</w:t>
      </w:r>
    </w:p>
    <w:p w:rsidR="005F1A54" w:rsidRPr="005F1A54" w:rsidRDefault="005F1A54" w:rsidP="005F1A54">
      <w:pPr>
        <w:pStyle w:val="ListParagraph"/>
        <w:numPr>
          <w:ilvl w:val="3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>Straw Poll:  We should avoid “decoration” of field/subfield/element/</w:t>
      </w:r>
      <w:proofErr w:type="spellStart"/>
      <w:r w:rsidRPr="005F1A54">
        <w:rPr>
          <w:rFonts w:ascii="Cambria" w:hAnsi="Cambria"/>
        </w:rPr>
        <w:t>subelement</w:t>
      </w:r>
      <w:proofErr w:type="spellEnd"/>
      <w:r w:rsidRPr="005F1A54">
        <w:rPr>
          <w:rFonts w:ascii="Cambria" w:hAnsi="Cambria"/>
        </w:rPr>
        <w:t xml:space="preserve"> references with “value of”?  A: Yes (decline the comment, possibly extend the language in 1.4 to cover this case</w:t>
      </w:r>
      <w:proofErr w:type="gramStart"/>
      <w:r w:rsidRPr="005F1A54">
        <w:rPr>
          <w:rFonts w:ascii="Cambria" w:hAnsi="Cambria"/>
        </w:rPr>
        <w:t>)  B</w:t>
      </w:r>
      <w:proofErr w:type="gramEnd"/>
      <w:r w:rsidRPr="005F1A54">
        <w:rPr>
          <w:rFonts w:ascii="Cambria" w:hAnsi="Cambria"/>
        </w:rPr>
        <w:t>: No  C: Don’t know.</w:t>
      </w:r>
    </w:p>
    <w:p w:rsidR="005F1A54" w:rsidRPr="005F1A54" w:rsidRDefault="005F1A54" w:rsidP="005F1A54">
      <w:pPr>
        <w:pStyle w:val="ListParagraph"/>
        <w:numPr>
          <w:ilvl w:val="3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>Any objection to not adding “value of”, and extending 1.4 to cover this?  No objection.</w:t>
      </w:r>
    </w:p>
    <w:p w:rsidR="005F1A54" w:rsidRPr="005F1A54" w:rsidRDefault="005F1A54" w:rsidP="005F1A54">
      <w:pPr>
        <w:pStyle w:val="ListParagraph"/>
        <w:numPr>
          <w:ilvl w:val="3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>Will apply to “parameter” “subfield” also.  Will consider how/if can apply to “element” and “</w:t>
      </w:r>
      <w:proofErr w:type="spellStart"/>
      <w:r w:rsidRPr="005F1A54">
        <w:rPr>
          <w:rFonts w:ascii="Cambria" w:hAnsi="Cambria"/>
        </w:rPr>
        <w:t>subelement</w:t>
      </w:r>
      <w:proofErr w:type="spellEnd"/>
      <w:r w:rsidRPr="005F1A54">
        <w:rPr>
          <w:rFonts w:ascii="Cambria" w:hAnsi="Cambria"/>
        </w:rPr>
        <w:t>”.</w:t>
      </w:r>
    </w:p>
    <w:p w:rsidR="005F1A54" w:rsidRPr="005F1A54" w:rsidRDefault="005F1A54" w:rsidP="005F1A54">
      <w:pPr>
        <w:pStyle w:val="ListParagraph"/>
        <w:numPr>
          <w:ilvl w:val="3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>Adrian will proceed.</w:t>
      </w:r>
    </w:p>
    <w:p w:rsidR="005F1A54" w:rsidRPr="005F1A54" w:rsidRDefault="005F1A54" w:rsidP="005F1A54">
      <w:pPr>
        <w:pStyle w:val="ListParagraph"/>
        <w:numPr>
          <w:ilvl w:val="2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>CID 5310 (EDITOR):</w:t>
      </w:r>
    </w:p>
    <w:p w:rsidR="005F1A54" w:rsidRPr="005F1A54" w:rsidRDefault="005F1A54" w:rsidP="005F1A54">
      <w:pPr>
        <w:pStyle w:val="ListParagraph"/>
        <w:numPr>
          <w:ilvl w:val="3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>Any objection to this change – it seems trivial – in all 37 places.  No objection.  Adrian will proceed.</w:t>
      </w:r>
    </w:p>
    <w:p w:rsidR="005F1A54" w:rsidRPr="005F1A54" w:rsidRDefault="005F1A54" w:rsidP="005F1A54">
      <w:pPr>
        <w:pStyle w:val="ListParagraph"/>
        <w:numPr>
          <w:ilvl w:val="2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>CID 5311 (EDITOR):</w:t>
      </w:r>
    </w:p>
    <w:p w:rsidR="005F1A54" w:rsidRPr="005F1A54" w:rsidRDefault="005F1A54" w:rsidP="005F1A54">
      <w:pPr>
        <w:pStyle w:val="ListParagraph"/>
        <w:numPr>
          <w:ilvl w:val="3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 xml:space="preserve">How to refer to the extensibility of </w:t>
      </w:r>
      <w:proofErr w:type="spellStart"/>
      <w:r w:rsidRPr="005F1A54">
        <w:rPr>
          <w:rFonts w:ascii="Cambria" w:hAnsi="Cambria"/>
        </w:rPr>
        <w:t>subelements</w:t>
      </w:r>
      <w:proofErr w:type="spellEnd"/>
      <w:r w:rsidRPr="005F1A54">
        <w:rPr>
          <w:rFonts w:ascii="Cambria" w:hAnsi="Cambria"/>
        </w:rPr>
        <w:t xml:space="preserve"> (versus elements) within elements that are extensible (indicated by “Yes” in the “Extensible” column)?</w:t>
      </w:r>
    </w:p>
    <w:p w:rsidR="005F1A54" w:rsidRPr="005F1A54" w:rsidRDefault="005F1A54" w:rsidP="005F1A54">
      <w:pPr>
        <w:pStyle w:val="ListParagraph"/>
        <w:numPr>
          <w:ilvl w:val="3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 xml:space="preserve">Adrian suggests maybe a new </w:t>
      </w:r>
      <w:proofErr w:type="spellStart"/>
      <w:r w:rsidRPr="005F1A54">
        <w:rPr>
          <w:rFonts w:ascii="Cambria" w:hAnsi="Cambria"/>
        </w:rPr>
        <w:t>subclause</w:t>
      </w:r>
      <w:proofErr w:type="spellEnd"/>
      <w:r w:rsidRPr="005F1A54">
        <w:rPr>
          <w:rFonts w:ascii="Cambria" w:hAnsi="Cambria"/>
        </w:rPr>
        <w:t xml:space="preserve"> to discuss this concept in one place, rather than repeating some long winded phrase in ~37 places.</w:t>
      </w:r>
    </w:p>
    <w:p w:rsidR="005F1A54" w:rsidRPr="005F1A54" w:rsidRDefault="005F1A54" w:rsidP="005F1A54">
      <w:pPr>
        <w:pStyle w:val="ListParagraph"/>
        <w:numPr>
          <w:ilvl w:val="3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>Text like what need is already in 9.27.9.  Maybe we just need to reference that more clearly here?  Adrian will work up a resolution to do that.  No objection.</w:t>
      </w:r>
    </w:p>
    <w:p w:rsidR="005F1A54" w:rsidRPr="005F1A54" w:rsidRDefault="005F1A54" w:rsidP="005F1A54">
      <w:pPr>
        <w:pStyle w:val="ListParagraph"/>
        <w:numPr>
          <w:ilvl w:val="2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>CID 5402 (EDITOR):</w:t>
      </w:r>
    </w:p>
    <w:p w:rsidR="005F1A54" w:rsidRPr="005F1A54" w:rsidRDefault="005F1A54" w:rsidP="005F1A54">
      <w:pPr>
        <w:pStyle w:val="ListParagraph"/>
        <w:numPr>
          <w:ilvl w:val="3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>“expiry” versus “expiration”</w:t>
      </w:r>
    </w:p>
    <w:p w:rsidR="005F1A54" w:rsidRPr="005F1A54" w:rsidRDefault="005F1A54" w:rsidP="005F1A54">
      <w:pPr>
        <w:pStyle w:val="ListParagraph"/>
        <w:numPr>
          <w:ilvl w:val="3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>U.S. speakers prefer “expiration”</w:t>
      </w:r>
    </w:p>
    <w:p w:rsidR="005F1A54" w:rsidRPr="005F1A54" w:rsidRDefault="005F1A54" w:rsidP="005F1A54">
      <w:pPr>
        <w:pStyle w:val="ListParagraph"/>
        <w:numPr>
          <w:ilvl w:val="3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>No objection to “expiration”.  Adrian will proceed.</w:t>
      </w:r>
    </w:p>
    <w:p w:rsidR="005F1A54" w:rsidRPr="005F1A54" w:rsidRDefault="005F1A54" w:rsidP="005F1A54">
      <w:pPr>
        <w:pStyle w:val="ListParagraph"/>
        <w:numPr>
          <w:ilvl w:val="2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>CID 5434 (EDITOR):</w:t>
      </w:r>
    </w:p>
    <w:p w:rsidR="005F1A54" w:rsidRPr="005F1A54" w:rsidRDefault="005F1A54" w:rsidP="005F1A54">
      <w:pPr>
        <w:pStyle w:val="ListParagraph"/>
        <w:numPr>
          <w:ilvl w:val="3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>“</w:t>
      </w:r>
      <w:proofErr w:type="gramStart"/>
      <w:r w:rsidRPr="005F1A54">
        <w:rPr>
          <w:rFonts w:ascii="Cambria" w:hAnsi="Cambria"/>
        </w:rPr>
        <w:t>value</w:t>
      </w:r>
      <w:proofErr w:type="gramEnd"/>
      <w:r w:rsidRPr="005F1A54">
        <w:rPr>
          <w:rFonts w:ascii="Cambria" w:hAnsi="Cambria"/>
        </w:rPr>
        <w:t xml:space="preserve"> for” versus “value in”.  Related to CID 5308, above, but a little different.</w:t>
      </w:r>
    </w:p>
    <w:p w:rsidR="005F1A54" w:rsidRPr="005F1A54" w:rsidRDefault="005F1A54" w:rsidP="005F1A54">
      <w:pPr>
        <w:pStyle w:val="ListParagraph"/>
        <w:numPr>
          <w:ilvl w:val="3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>What about “value of” – this seems to be the most common, currently.</w:t>
      </w:r>
    </w:p>
    <w:p w:rsidR="005F1A54" w:rsidRPr="005F1A54" w:rsidRDefault="005F1A54" w:rsidP="005F1A54">
      <w:pPr>
        <w:pStyle w:val="ListParagraph"/>
        <w:numPr>
          <w:ilvl w:val="3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>Sometimes “value of” doesn’t work in context, though, and “value in” is probably needed there.</w:t>
      </w:r>
    </w:p>
    <w:p w:rsidR="005F1A54" w:rsidRPr="005F1A54" w:rsidRDefault="005F1A54" w:rsidP="005F1A54">
      <w:pPr>
        <w:pStyle w:val="ListParagraph"/>
        <w:numPr>
          <w:ilvl w:val="3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>No objection.  Adrian will proceed.</w:t>
      </w:r>
    </w:p>
    <w:p w:rsidR="005F1A54" w:rsidRPr="005F1A54" w:rsidRDefault="005F1A54" w:rsidP="005F1A54">
      <w:pPr>
        <w:pStyle w:val="ListParagraph"/>
        <w:numPr>
          <w:ilvl w:val="2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>CID 5690 (EDITOR), see also CID 6432 (EDITOR):</w:t>
      </w:r>
    </w:p>
    <w:p w:rsidR="005F1A54" w:rsidRPr="005F1A54" w:rsidRDefault="005F1A54" w:rsidP="005F1A54">
      <w:pPr>
        <w:pStyle w:val="ListParagraph"/>
        <w:numPr>
          <w:ilvl w:val="3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>Will address CID 6432, and indicate in CID 5690 that it is already covered.</w:t>
      </w:r>
    </w:p>
    <w:p w:rsidR="005F1A54" w:rsidRPr="005F1A54" w:rsidRDefault="005F1A54" w:rsidP="005F1A54">
      <w:pPr>
        <w:pStyle w:val="ListParagraph"/>
        <w:numPr>
          <w:ilvl w:val="3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 xml:space="preserve">Mark </w:t>
      </w:r>
      <w:r w:rsidR="001C454F" w:rsidRPr="005F1A54">
        <w:rPr>
          <w:rFonts w:ascii="Cambria" w:hAnsi="Cambria"/>
        </w:rPr>
        <w:t xml:space="preserve">RISON </w:t>
      </w:r>
      <w:r w:rsidRPr="005F1A54">
        <w:rPr>
          <w:rFonts w:ascii="Cambria" w:hAnsi="Cambria"/>
        </w:rPr>
        <w:t>is working on CID 6432.  He’ll bring back a check with the group on direction, before doing all the work.</w:t>
      </w:r>
    </w:p>
    <w:p w:rsidR="005F1A54" w:rsidRPr="005F1A54" w:rsidRDefault="005F1A54" w:rsidP="005F1A54">
      <w:pPr>
        <w:pStyle w:val="ListParagraph"/>
        <w:numPr>
          <w:ilvl w:val="2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>CID 5730 (EDITOR), CID 5736:</w:t>
      </w:r>
    </w:p>
    <w:p w:rsidR="005F1A54" w:rsidRPr="005F1A54" w:rsidRDefault="005F1A54" w:rsidP="005F1A54">
      <w:pPr>
        <w:pStyle w:val="ListParagraph"/>
        <w:numPr>
          <w:ilvl w:val="3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lastRenderedPageBreak/>
        <w:t>Primitive or element “indicates”.  They don’t indicate</w:t>
      </w:r>
      <w:proofErr w:type="gramStart"/>
      <w:r w:rsidRPr="005F1A54">
        <w:rPr>
          <w:rFonts w:ascii="Cambria" w:hAnsi="Cambria"/>
        </w:rPr>
        <w:t>,</w:t>
      </w:r>
      <w:proofErr w:type="gramEnd"/>
      <w:r w:rsidRPr="005F1A54">
        <w:rPr>
          <w:rFonts w:ascii="Cambria" w:hAnsi="Cambria"/>
        </w:rPr>
        <w:t xml:space="preserve"> they do/are something else, which includes an indication.</w:t>
      </w:r>
    </w:p>
    <w:p w:rsidR="005F1A54" w:rsidRPr="005F1A54" w:rsidRDefault="005F1A54" w:rsidP="005F1A54">
      <w:pPr>
        <w:pStyle w:val="ListParagraph"/>
        <w:numPr>
          <w:ilvl w:val="3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>Adrian will work up a change to 1.4 to allow this phrasing to remain as is, and clarify what it means.</w:t>
      </w:r>
    </w:p>
    <w:p w:rsidR="005F1A54" w:rsidRPr="005F1A54" w:rsidRDefault="005F1A54" w:rsidP="005F1A54">
      <w:pPr>
        <w:pStyle w:val="ListParagraph"/>
        <w:numPr>
          <w:ilvl w:val="2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</w:rPr>
        <w:t>Out of time for any more of Adrian’s discussion comments.</w:t>
      </w:r>
    </w:p>
    <w:p w:rsidR="005F1A54" w:rsidRPr="005F1A54" w:rsidRDefault="005F1A54" w:rsidP="005F1A54">
      <w:pPr>
        <w:pStyle w:val="ListParagraph"/>
        <w:numPr>
          <w:ilvl w:val="1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  <w:b/>
        </w:rPr>
        <w:t xml:space="preserve">AOB: </w:t>
      </w:r>
    </w:p>
    <w:p w:rsidR="005F1A54" w:rsidRDefault="005F1A54" w:rsidP="005F1A54">
      <w:pPr>
        <w:pStyle w:val="ListParagraph"/>
        <w:numPr>
          <w:ilvl w:val="2"/>
          <w:numId w:val="1"/>
        </w:numPr>
        <w:spacing w:before="0" w:line="240" w:lineRule="auto"/>
        <w:rPr>
          <w:rFonts w:ascii="Times New Roman" w:eastAsia="Times New Roman" w:hAnsi="Times New Roman"/>
          <w:sz w:val="24"/>
          <w:szCs w:val="24"/>
        </w:rPr>
      </w:pPr>
      <w:r w:rsidRPr="006217FB">
        <w:rPr>
          <w:rFonts w:ascii="Times New Roman" w:eastAsia="Times New Roman" w:hAnsi="Times New Roman"/>
          <w:sz w:val="24"/>
          <w:szCs w:val="24"/>
        </w:rPr>
        <w:t>Teleconference times: May 22, 29, June 5, June 19, June 26</w:t>
      </w:r>
    </w:p>
    <w:p w:rsidR="005F1A54" w:rsidRDefault="005F1A54" w:rsidP="005F1A54">
      <w:pPr>
        <w:pStyle w:val="ListParagraph"/>
        <w:numPr>
          <w:ilvl w:val="3"/>
          <w:numId w:val="1"/>
        </w:numPr>
        <w:spacing w:before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May 22: no Adrian, no Mark H.  Probably can’t do.  Will consider another time of day on May 21?  Everyone please send Dorothy times that would work.</w:t>
      </w:r>
    </w:p>
    <w:p w:rsidR="005F1A54" w:rsidRPr="006217FB" w:rsidRDefault="005F1A54" w:rsidP="005F1A54">
      <w:pPr>
        <w:pStyle w:val="ListParagraph"/>
        <w:numPr>
          <w:ilvl w:val="3"/>
          <w:numId w:val="1"/>
        </w:numPr>
        <w:spacing w:before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May 29: Adrian is traveling.  Could perhaps attend, but limited.</w:t>
      </w:r>
    </w:p>
    <w:p w:rsidR="005F1A54" w:rsidRPr="006217FB" w:rsidRDefault="005F1A54" w:rsidP="005F1A54">
      <w:pPr>
        <w:pStyle w:val="ListParagraph"/>
        <w:numPr>
          <w:ilvl w:val="2"/>
          <w:numId w:val="1"/>
        </w:numPr>
        <w:spacing w:before="0" w:line="240" w:lineRule="auto"/>
        <w:rPr>
          <w:rFonts w:ascii="Times New Roman" w:eastAsia="Times New Roman" w:hAnsi="Times New Roman"/>
          <w:sz w:val="24"/>
          <w:szCs w:val="24"/>
        </w:rPr>
      </w:pPr>
      <w:r w:rsidRPr="006217FB">
        <w:rPr>
          <w:rFonts w:ascii="Times New Roman" w:eastAsia="Times New Roman" w:hAnsi="Times New Roman"/>
          <w:sz w:val="24"/>
          <w:szCs w:val="24"/>
        </w:rPr>
        <w:t>Discuss F</w:t>
      </w:r>
      <w:r>
        <w:rPr>
          <w:rFonts w:ascii="Times New Roman" w:eastAsia="Times New Roman" w:hAnsi="Times New Roman"/>
          <w:sz w:val="24"/>
          <w:szCs w:val="24"/>
        </w:rPr>
        <w:t>ace-to-face meeting: June 22-24.  Could be prior week, maybe latter part of the week?  Need a sponsor.</w:t>
      </w:r>
    </w:p>
    <w:p w:rsidR="005F1A54" w:rsidRPr="005F1A54" w:rsidRDefault="005F1A54" w:rsidP="005F1A54">
      <w:pPr>
        <w:pStyle w:val="ListParagraph"/>
        <w:numPr>
          <w:ilvl w:val="1"/>
          <w:numId w:val="1"/>
        </w:numPr>
        <w:spacing w:before="0" w:after="200"/>
        <w:rPr>
          <w:rFonts w:ascii="Cambria" w:hAnsi="Cambria"/>
        </w:rPr>
      </w:pPr>
      <w:r w:rsidRPr="005F1A54">
        <w:rPr>
          <w:rFonts w:ascii="Cambria" w:hAnsi="Cambria"/>
          <w:b/>
        </w:rPr>
        <w:t>Adjourned</w:t>
      </w:r>
      <w:r w:rsidRPr="005F1A54">
        <w:rPr>
          <w:rFonts w:ascii="Cambria" w:hAnsi="Cambria"/>
        </w:rPr>
        <w:t xml:space="preserve"> 12:03pm</w:t>
      </w:r>
    </w:p>
    <w:p w:rsidR="00CA09B2" w:rsidRDefault="00CA09B2"/>
    <w:p w:rsidR="00CA09B2" w:rsidRDefault="00CA09B2"/>
    <w:p w:rsidR="00CA09B2" w:rsidRDefault="00CA09B2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1C454F">
      <w:hyperlink r:id="rId21" w:history="1">
        <w:r w:rsidRPr="00667924">
          <w:rPr>
            <w:color w:val="0000FF"/>
            <w:sz w:val="24"/>
            <w:szCs w:val="24"/>
            <w:u w:val="single"/>
          </w:rPr>
          <w:t>https://mentor.ieee.org/802.11/dcn/13/11-13-0095-20-000m-editor-reports.ppt</w:t>
        </w:r>
      </w:hyperlink>
      <w:r w:rsidRPr="00667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bookmarkStart w:id="0" w:name="_GoBack"/>
      <w:bookmarkEnd w:id="0"/>
    </w:p>
    <w:sectPr w:rsidR="00CA09B2">
      <w:headerReference w:type="default" r:id="rId22"/>
      <w:footerReference w:type="default" r:id="rId2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2C8" w:rsidRDefault="000B22C8">
      <w:r>
        <w:separator/>
      </w:r>
    </w:p>
  </w:endnote>
  <w:endnote w:type="continuationSeparator" w:id="0">
    <w:p w:rsidR="000B22C8" w:rsidRDefault="000B2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29020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8541A"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1C454F">
      <w:rPr>
        <w:noProof/>
      </w:rPr>
      <w:t>7</w:t>
    </w:r>
    <w:r>
      <w:fldChar w:fldCharType="end"/>
    </w:r>
    <w:r>
      <w:tab/>
    </w:r>
    <w:fldSimple w:instr=" COMMENTS  \* MERGEFORMAT ">
      <w:r w:rsidR="00C8541A">
        <w:t>Jon Rosdahl, CSR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2C8" w:rsidRDefault="000B22C8">
      <w:r>
        <w:separator/>
      </w:r>
    </w:p>
  </w:footnote>
  <w:footnote w:type="continuationSeparator" w:id="0">
    <w:p w:rsidR="000B22C8" w:rsidRDefault="000B2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29020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C8541A">
        <w:t>May 2015</w:t>
      </w:r>
    </w:fldSimple>
    <w:r>
      <w:tab/>
    </w:r>
    <w:r>
      <w:tab/>
    </w:r>
    <w:fldSimple w:instr=" TITLE  \* MERGEFORMAT ">
      <w:r w:rsidR="00C8541A">
        <w:t>doc.: IEEE 802.11-15/0557r0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776BB"/>
    <w:multiLevelType w:val="multilevel"/>
    <w:tmpl w:val="2BB635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B466FEF"/>
    <w:multiLevelType w:val="hybridMultilevel"/>
    <w:tmpl w:val="25FEF9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9D"/>
    <w:rsid w:val="00000B0C"/>
    <w:rsid w:val="000B22C8"/>
    <w:rsid w:val="001C454F"/>
    <w:rsid w:val="001D723B"/>
    <w:rsid w:val="0029020B"/>
    <w:rsid w:val="002D44BE"/>
    <w:rsid w:val="00442037"/>
    <w:rsid w:val="004B064B"/>
    <w:rsid w:val="0054059D"/>
    <w:rsid w:val="005F1A54"/>
    <w:rsid w:val="0062440B"/>
    <w:rsid w:val="0066009E"/>
    <w:rsid w:val="006C0727"/>
    <w:rsid w:val="006E145F"/>
    <w:rsid w:val="00770572"/>
    <w:rsid w:val="009F2FBC"/>
    <w:rsid w:val="00AA427C"/>
    <w:rsid w:val="00BE68C2"/>
    <w:rsid w:val="00C8541A"/>
    <w:rsid w:val="00CA09B2"/>
    <w:rsid w:val="00DC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1A54"/>
    <w:pPr>
      <w:spacing w:before="480" w:line="276" w:lineRule="auto"/>
      <w:ind w:left="720" w:hanging="432"/>
      <w:contextualSpacing/>
    </w:pPr>
    <w:rPr>
      <w:rFonts w:ascii="Calibri" w:eastAsia="Calibri" w:hAnsi="Calibri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1A54"/>
    <w:pPr>
      <w:spacing w:before="480" w:line="276" w:lineRule="auto"/>
      <w:ind w:left="720" w:hanging="432"/>
      <w:contextualSpacing/>
    </w:pPr>
    <w:rPr>
      <w:rFonts w:ascii="Calibri" w:eastAsia="Calibri" w:hAnsi="Calibr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osdahl@ieee.org" TargetMode="External"/><Relationship Id="rId13" Type="http://schemas.openxmlformats.org/officeDocument/2006/relationships/hyperlink" Target="https://mentor.ieee.org/802.11/dcn/15/11-15-0254-01-000m-802-11ad-non-pcp-sta-power-management-clarifications.docx" TargetMode="External"/><Relationship Id="rId18" Type="http://schemas.openxmlformats.org/officeDocument/2006/relationships/hyperlink" Target="https://mentor.ieee.org/802.11/dcn/14/11-14-1246-10-000m-cid3309-est-throughput-enhancements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entor.ieee.org/802.11/dcn/13/11-13-0095-20-000m-editor-reports.pp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5/11-15-0253-01-000m-802-11ad-grant-frame-related-clarifications.docx" TargetMode="External"/><Relationship Id="rId17" Type="http://schemas.openxmlformats.org/officeDocument/2006/relationships/hyperlink" Target="https://mentor.ieee.org/802.11/dcn/15/11-15-0533-00-0000-removal-of-dmg-ofdm-from-802-11-revmc-ballot.ppt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entor.ieee.org/802.11/dcn/15/11-15-0410-01-000m-dmg-control-response-frame-rate-selection.docx" TargetMode="External"/><Relationship Id="rId20" Type="http://schemas.openxmlformats.org/officeDocument/2006/relationships/hyperlink" Target="https://mentor.ieee.org/802.11/dcn/15/11-15-0533-00-0000-removal-of-dmg-ofdm-from-802-11-revmc-ballot.ppt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5/11-15-0534-00-000m-resolution-to-11ad-related-cids.doc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15/11-15-0256-00-000m-802-11ad-atim-frame-usage-clarifications.docx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mentor.ieee.org/802.11/dcn/13/11-13-0095-20-000m-editor-reports.ppt" TargetMode="External"/><Relationship Id="rId19" Type="http://schemas.openxmlformats.org/officeDocument/2006/relationships/hyperlink" Target="https://mentor.ieee.org/802.11/dcn/14/11-14-0793-09-000m-lb202-cid3296-cid3297-bw-nss-support-partitioning.doc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k.hamilton@ruckuswireless.com" TargetMode="External"/><Relationship Id="rId14" Type="http://schemas.openxmlformats.org/officeDocument/2006/relationships/hyperlink" Target="https://mentor.ieee.org/802.11/dcn/15/11-15-0255-01-000m-802-11ad-pcp-power-management-clarifications.docx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05\Downloads\802-11-Submission-Portrait-word20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802-11-Submission-Portrait-word2003.dot</Template>
  <TotalTime>1737</TotalTime>
  <Pages>7</Pages>
  <Words>1740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802.11-15/0557r0</vt:lpstr>
    </vt:vector>
  </TitlesOfParts>
  <Company>Some Company</Company>
  <LinksUpToDate>false</LinksUpToDate>
  <CharactersWithSpaces>11635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802.11-15/0557r0</dc:title>
  <dc:subject>Minutes</dc:subject>
  <dc:creator>Jon Rosdahl</dc:creator>
  <cp:keywords>May 2015</cp:keywords>
  <dc:description>Jon Rosdahl, CSR</dc:description>
  <cp:lastModifiedBy>Jon Rosdahl</cp:lastModifiedBy>
  <cp:revision>2</cp:revision>
  <cp:lastPrinted>1601-01-01T00:00:00Z</cp:lastPrinted>
  <dcterms:created xsi:type="dcterms:W3CDTF">2015-05-06T20:53:00Z</dcterms:created>
  <dcterms:modified xsi:type="dcterms:W3CDTF">2015-05-08T03:40:00Z</dcterms:modified>
</cp:coreProperties>
</file>