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12734" w14:textId="77777777" w:rsidR="004C4BC9" w:rsidRPr="00A36A5F" w:rsidRDefault="004C4BC9" w:rsidP="004C4BC9">
      <w:pPr>
        <w:pStyle w:val="T1"/>
        <w:pBdr>
          <w:bottom w:val="single" w:sz="6" w:space="0" w:color="auto"/>
        </w:pBdr>
        <w:spacing w:after="240"/>
      </w:pPr>
      <w:bookmarkStart w:id="0" w:name="_GoBack"/>
      <w:r w:rsidRPr="00A36A5F">
        <w:t>IEEE P802.11</w:t>
      </w:r>
      <w:r w:rsidRPr="00A36A5F">
        <w:br/>
      </w:r>
      <w:bookmarkEnd w:id="0"/>
      <w:r w:rsidRPr="00A36A5F">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C4BC9" w:rsidRPr="00BA4F4C" w14:paraId="27B0BBEC" w14:textId="77777777" w:rsidTr="00401C8A">
        <w:trPr>
          <w:trHeight w:val="485"/>
          <w:jc w:val="center"/>
        </w:trPr>
        <w:tc>
          <w:tcPr>
            <w:tcW w:w="9576" w:type="dxa"/>
            <w:gridSpan w:val="5"/>
            <w:vAlign w:val="center"/>
          </w:tcPr>
          <w:p w14:paraId="6DF9EAC7" w14:textId="081DCBF6" w:rsidR="004C4BC9" w:rsidRPr="00BA4F4C" w:rsidRDefault="004C4BC9" w:rsidP="00013BDC">
            <w:pPr>
              <w:pStyle w:val="T2"/>
            </w:pPr>
            <w:r>
              <w:t xml:space="preserve">Proposed Resolution Text for CID </w:t>
            </w:r>
            <w:r w:rsidR="00D038CF">
              <w:t>71</w:t>
            </w:r>
            <w:r w:rsidR="00013BDC">
              <w:t>03</w:t>
            </w:r>
          </w:p>
        </w:tc>
      </w:tr>
      <w:tr w:rsidR="004C4BC9" w:rsidRPr="00BA4F4C" w14:paraId="48195B52" w14:textId="77777777" w:rsidTr="00401C8A">
        <w:trPr>
          <w:trHeight w:val="359"/>
          <w:jc w:val="center"/>
        </w:trPr>
        <w:tc>
          <w:tcPr>
            <w:tcW w:w="9576" w:type="dxa"/>
            <w:gridSpan w:val="5"/>
            <w:vAlign w:val="center"/>
          </w:tcPr>
          <w:p w14:paraId="4226084D" w14:textId="77777777" w:rsidR="004C4BC9" w:rsidRPr="007D5984" w:rsidRDefault="004C4BC9" w:rsidP="00401C8A">
            <w:pPr>
              <w:pStyle w:val="T2"/>
              <w:ind w:left="0"/>
              <w:rPr>
                <w:b w:val="0"/>
                <w:sz w:val="20"/>
              </w:rPr>
            </w:pPr>
            <w:r w:rsidRPr="00BA4F4C">
              <w:rPr>
                <w:sz w:val="20"/>
              </w:rPr>
              <w:t>Date:</w:t>
            </w:r>
            <w:r>
              <w:rPr>
                <w:b w:val="0"/>
                <w:sz w:val="20"/>
              </w:rPr>
              <w:t xml:space="preserve">  2015-1-13</w:t>
            </w:r>
          </w:p>
        </w:tc>
      </w:tr>
      <w:tr w:rsidR="004C4BC9" w:rsidRPr="00BA4F4C" w14:paraId="69C9428D" w14:textId="77777777" w:rsidTr="00401C8A">
        <w:trPr>
          <w:cantSplit/>
          <w:jc w:val="center"/>
        </w:trPr>
        <w:tc>
          <w:tcPr>
            <w:tcW w:w="9576" w:type="dxa"/>
            <w:gridSpan w:val="5"/>
            <w:vAlign w:val="center"/>
          </w:tcPr>
          <w:p w14:paraId="0FD14178" w14:textId="77777777" w:rsidR="004C4BC9" w:rsidRPr="00BA4F4C" w:rsidRDefault="004C4BC9" w:rsidP="00401C8A">
            <w:pPr>
              <w:pStyle w:val="T2"/>
              <w:spacing w:after="0"/>
              <w:ind w:left="0" w:right="0"/>
              <w:jc w:val="left"/>
              <w:rPr>
                <w:sz w:val="20"/>
              </w:rPr>
            </w:pPr>
            <w:r w:rsidRPr="00BA4F4C">
              <w:rPr>
                <w:sz w:val="20"/>
              </w:rPr>
              <w:t>Author(s):</w:t>
            </w:r>
          </w:p>
        </w:tc>
      </w:tr>
      <w:tr w:rsidR="004C4BC9" w:rsidRPr="00BA4F4C" w14:paraId="5C58C276" w14:textId="77777777" w:rsidTr="00401C8A">
        <w:trPr>
          <w:jc w:val="center"/>
        </w:trPr>
        <w:tc>
          <w:tcPr>
            <w:tcW w:w="1336" w:type="dxa"/>
            <w:vAlign w:val="center"/>
          </w:tcPr>
          <w:p w14:paraId="690B10A2" w14:textId="77777777" w:rsidR="004C4BC9" w:rsidRPr="00BA4F4C" w:rsidRDefault="004C4BC9" w:rsidP="00401C8A">
            <w:pPr>
              <w:pStyle w:val="T2"/>
              <w:spacing w:after="0"/>
              <w:ind w:left="0" w:right="0"/>
              <w:jc w:val="left"/>
              <w:rPr>
                <w:sz w:val="20"/>
              </w:rPr>
            </w:pPr>
            <w:r w:rsidRPr="00BA4F4C">
              <w:rPr>
                <w:sz w:val="20"/>
              </w:rPr>
              <w:t>Name</w:t>
            </w:r>
          </w:p>
        </w:tc>
        <w:tc>
          <w:tcPr>
            <w:tcW w:w="2064" w:type="dxa"/>
            <w:vAlign w:val="center"/>
          </w:tcPr>
          <w:p w14:paraId="688A08E4" w14:textId="77777777" w:rsidR="004C4BC9" w:rsidRPr="00BA4F4C" w:rsidRDefault="004C4BC9" w:rsidP="00401C8A">
            <w:pPr>
              <w:pStyle w:val="T2"/>
              <w:spacing w:after="0"/>
              <w:ind w:left="0" w:right="0"/>
              <w:jc w:val="left"/>
              <w:rPr>
                <w:sz w:val="20"/>
              </w:rPr>
            </w:pPr>
            <w:r w:rsidRPr="00BA4F4C">
              <w:rPr>
                <w:sz w:val="20"/>
              </w:rPr>
              <w:t>Affiliation</w:t>
            </w:r>
          </w:p>
        </w:tc>
        <w:tc>
          <w:tcPr>
            <w:tcW w:w="2814" w:type="dxa"/>
            <w:vAlign w:val="center"/>
          </w:tcPr>
          <w:p w14:paraId="1283FE34" w14:textId="77777777" w:rsidR="004C4BC9" w:rsidRPr="00BA4F4C" w:rsidRDefault="004C4BC9" w:rsidP="00401C8A">
            <w:pPr>
              <w:pStyle w:val="T2"/>
              <w:spacing w:after="0"/>
              <w:ind w:left="0" w:right="0"/>
              <w:jc w:val="left"/>
              <w:rPr>
                <w:sz w:val="20"/>
              </w:rPr>
            </w:pPr>
            <w:r w:rsidRPr="00BA4F4C">
              <w:rPr>
                <w:sz w:val="20"/>
              </w:rPr>
              <w:t>Address</w:t>
            </w:r>
          </w:p>
        </w:tc>
        <w:tc>
          <w:tcPr>
            <w:tcW w:w="1715" w:type="dxa"/>
            <w:vAlign w:val="center"/>
          </w:tcPr>
          <w:p w14:paraId="6CBBCF87" w14:textId="77777777" w:rsidR="004C4BC9" w:rsidRPr="00BA4F4C" w:rsidRDefault="004C4BC9" w:rsidP="00401C8A">
            <w:pPr>
              <w:pStyle w:val="T2"/>
              <w:spacing w:after="0"/>
              <w:ind w:left="0" w:right="0"/>
              <w:jc w:val="left"/>
              <w:rPr>
                <w:sz w:val="20"/>
              </w:rPr>
            </w:pPr>
            <w:r w:rsidRPr="00BA4F4C">
              <w:rPr>
                <w:sz w:val="20"/>
              </w:rPr>
              <w:t>Phone</w:t>
            </w:r>
          </w:p>
        </w:tc>
        <w:tc>
          <w:tcPr>
            <w:tcW w:w="1647" w:type="dxa"/>
            <w:vAlign w:val="center"/>
          </w:tcPr>
          <w:p w14:paraId="7C15688C" w14:textId="77777777" w:rsidR="004C4BC9" w:rsidRPr="00BA4F4C" w:rsidRDefault="004C4BC9" w:rsidP="00401C8A">
            <w:pPr>
              <w:pStyle w:val="T2"/>
              <w:spacing w:after="0"/>
              <w:ind w:left="0" w:right="0"/>
              <w:jc w:val="left"/>
              <w:rPr>
                <w:sz w:val="20"/>
              </w:rPr>
            </w:pPr>
            <w:r w:rsidRPr="00BA4F4C">
              <w:rPr>
                <w:sz w:val="20"/>
              </w:rPr>
              <w:t>email</w:t>
            </w:r>
          </w:p>
        </w:tc>
      </w:tr>
      <w:tr w:rsidR="004C4BC9" w:rsidRPr="00BA4F4C" w14:paraId="560B568E" w14:textId="77777777" w:rsidTr="00401C8A">
        <w:trPr>
          <w:jc w:val="center"/>
        </w:trPr>
        <w:tc>
          <w:tcPr>
            <w:tcW w:w="1336" w:type="dxa"/>
            <w:vAlign w:val="center"/>
          </w:tcPr>
          <w:p w14:paraId="54290F98" w14:textId="77777777" w:rsidR="004C4BC9" w:rsidRPr="00BA4F4C" w:rsidRDefault="004C4BC9" w:rsidP="00401C8A">
            <w:pPr>
              <w:pStyle w:val="T2"/>
              <w:spacing w:after="0"/>
              <w:ind w:left="0" w:right="0"/>
              <w:rPr>
                <w:b w:val="0"/>
                <w:sz w:val="20"/>
              </w:rPr>
            </w:pPr>
            <w:r>
              <w:rPr>
                <w:b w:val="0"/>
                <w:sz w:val="20"/>
              </w:rPr>
              <w:t>Santosh Abraham</w:t>
            </w:r>
          </w:p>
        </w:tc>
        <w:tc>
          <w:tcPr>
            <w:tcW w:w="2064" w:type="dxa"/>
            <w:vAlign w:val="center"/>
          </w:tcPr>
          <w:p w14:paraId="4648152E" w14:textId="77777777" w:rsidR="004C4BC9" w:rsidRPr="00BA4F4C" w:rsidRDefault="004C4BC9" w:rsidP="00401C8A">
            <w:pPr>
              <w:pStyle w:val="T2"/>
              <w:spacing w:after="0"/>
              <w:ind w:left="0" w:right="0"/>
              <w:rPr>
                <w:b w:val="0"/>
                <w:sz w:val="20"/>
              </w:rPr>
            </w:pPr>
            <w:r>
              <w:rPr>
                <w:b w:val="0"/>
                <w:sz w:val="20"/>
              </w:rPr>
              <w:t>Qualcomm Inc.</w:t>
            </w:r>
          </w:p>
        </w:tc>
        <w:tc>
          <w:tcPr>
            <w:tcW w:w="2814" w:type="dxa"/>
            <w:vAlign w:val="center"/>
          </w:tcPr>
          <w:p w14:paraId="5661732E" w14:textId="77777777" w:rsidR="004C4BC9" w:rsidRPr="00BA4F4C" w:rsidRDefault="004C4BC9" w:rsidP="00401C8A">
            <w:pPr>
              <w:pStyle w:val="T2"/>
              <w:spacing w:after="0"/>
              <w:ind w:left="0" w:right="0"/>
              <w:rPr>
                <w:b w:val="0"/>
                <w:sz w:val="20"/>
              </w:rPr>
            </w:pPr>
            <w:r>
              <w:rPr>
                <w:b w:val="0"/>
                <w:sz w:val="20"/>
              </w:rPr>
              <w:t>5775 Morehouse Drive, San Diego, CA 92121</w:t>
            </w:r>
          </w:p>
        </w:tc>
        <w:tc>
          <w:tcPr>
            <w:tcW w:w="1715" w:type="dxa"/>
            <w:vAlign w:val="center"/>
          </w:tcPr>
          <w:p w14:paraId="738C9402" w14:textId="77777777" w:rsidR="004C4BC9" w:rsidRPr="00BA4F4C" w:rsidRDefault="004C4BC9" w:rsidP="00401C8A">
            <w:pPr>
              <w:pStyle w:val="T2"/>
              <w:spacing w:after="0"/>
              <w:ind w:left="0" w:right="0"/>
              <w:rPr>
                <w:b w:val="0"/>
                <w:sz w:val="20"/>
              </w:rPr>
            </w:pPr>
          </w:p>
        </w:tc>
        <w:tc>
          <w:tcPr>
            <w:tcW w:w="1647" w:type="dxa"/>
            <w:vAlign w:val="center"/>
          </w:tcPr>
          <w:p w14:paraId="73170AEF" w14:textId="77777777" w:rsidR="004C4BC9" w:rsidRPr="00BA4F4C" w:rsidRDefault="004C4BC9" w:rsidP="00401C8A">
            <w:pPr>
              <w:pStyle w:val="T2"/>
              <w:spacing w:after="0"/>
              <w:ind w:left="0" w:right="0"/>
              <w:rPr>
                <w:b w:val="0"/>
                <w:sz w:val="16"/>
              </w:rPr>
            </w:pPr>
            <w:r>
              <w:rPr>
                <w:b w:val="0"/>
                <w:sz w:val="16"/>
              </w:rPr>
              <w:t>sabraham@qti.qualcomm.com</w:t>
            </w:r>
          </w:p>
        </w:tc>
      </w:tr>
      <w:tr w:rsidR="00D038CF" w:rsidRPr="00BA4F4C" w14:paraId="4CA2FC24" w14:textId="77777777" w:rsidTr="00401C8A">
        <w:trPr>
          <w:jc w:val="center"/>
        </w:trPr>
        <w:tc>
          <w:tcPr>
            <w:tcW w:w="1336" w:type="dxa"/>
            <w:vAlign w:val="center"/>
          </w:tcPr>
          <w:p w14:paraId="0C045670" w14:textId="77777777" w:rsidR="00D038CF" w:rsidRDefault="00D038CF" w:rsidP="00D038CF">
            <w:pPr>
              <w:pStyle w:val="T2"/>
              <w:spacing w:after="0"/>
              <w:ind w:left="0" w:right="0"/>
              <w:jc w:val="left"/>
              <w:rPr>
                <w:b w:val="0"/>
                <w:sz w:val="20"/>
              </w:rPr>
            </w:pPr>
          </w:p>
        </w:tc>
        <w:tc>
          <w:tcPr>
            <w:tcW w:w="2064" w:type="dxa"/>
            <w:vAlign w:val="center"/>
          </w:tcPr>
          <w:p w14:paraId="1D74B9CB" w14:textId="77777777" w:rsidR="00D038CF" w:rsidRDefault="00D038CF" w:rsidP="00401C8A">
            <w:pPr>
              <w:pStyle w:val="T2"/>
              <w:spacing w:after="0"/>
              <w:ind w:left="0" w:right="0"/>
              <w:rPr>
                <w:b w:val="0"/>
                <w:sz w:val="20"/>
              </w:rPr>
            </w:pPr>
          </w:p>
        </w:tc>
        <w:tc>
          <w:tcPr>
            <w:tcW w:w="2814" w:type="dxa"/>
            <w:vAlign w:val="center"/>
          </w:tcPr>
          <w:p w14:paraId="22084F94" w14:textId="77777777" w:rsidR="00D038CF" w:rsidRDefault="00D038CF" w:rsidP="00401C8A">
            <w:pPr>
              <w:pStyle w:val="T2"/>
              <w:spacing w:after="0"/>
              <w:ind w:left="0" w:right="0"/>
              <w:rPr>
                <w:b w:val="0"/>
                <w:sz w:val="20"/>
              </w:rPr>
            </w:pPr>
          </w:p>
        </w:tc>
        <w:tc>
          <w:tcPr>
            <w:tcW w:w="1715" w:type="dxa"/>
            <w:vAlign w:val="center"/>
          </w:tcPr>
          <w:p w14:paraId="33E1A866" w14:textId="77777777" w:rsidR="00D038CF" w:rsidRPr="00BA4F4C" w:rsidRDefault="00D038CF" w:rsidP="00401C8A">
            <w:pPr>
              <w:pStyle w:val="T2"/>
              <w:spacing w:after="0"/>
              <w:ind w:left="0" w:right="0"/>
              <w:rPr>
                <w:b w:val="0"/>
                <w:sz w:val="20"/>
              </w:rPr>
            </w:pPr>
          </w:p>
        </w:tc>
        <w:tc>
          <w:tcPr>
            <w:tcW w:w="1647" w:type="dxa"/>
            <w:vAlign w:val="center"/>
          </w:tcPr>
          <w:p w14:paraId="73061D67" w14:textId="77777777" w:rsidR="00D038CF" w:rsidRDefault="00D038CF" w:rsidP="00401C8A">
            <w:pPr>
              <w:pStyle w:val="T2"/>
              <w:spacing w:after="0"/>
              <w:ind w:left="0" w:right="0"/>
              <w:rPr>
                <w:b w:val="0"/>
                <w:sz w:val="16"/>
              </w:rPr>
            </w:pPr>
          </w:p>
        </w:tc>
      </w:tr>
    </w:tbl>
    <w:p w14:paraId="23AFD782" w14:textId="77777777" w:rsidR="004C4BC9" w:rsidRPr="00A36A5F" w:rsidRDefault="004C4BC9" w:rsidP="004C4BC9">
      <w:pPr>
        <w:pStyle w:val="T1"/>
        <w:spacing w:after="120"/>
        <w:rPr>
          <w:sz w:val="22"/>
        </w:rPr>
      </w:pPr>
      <w:r w:rsidRPr="00A36A5F">
        <w:rPr>
          <w:noProof/>
        </w:rPr>
        <mc:AlternateContent>
          <mc:Choice Requires="wps">
            <w:drawing>
              <wp:anchor distT="0" distB="0" distL="114300" distR="114300" simplePos="0" relativeHeight="251659264" behindDoc="0" locked="0" layoutInCell="1" allowOverlap="1" wp14:anchorId="025A575A" wp14:editId="5ED5CB3F">
                <wp:simplePos x="0" y="0"/>
                <wp:positionH relativeFrom="column">
                  <wp:posOffset>-62865</wp:posOffset>
                </wp:positionH>
                <wp:positionV relativeFrom="paragraph">
                  <wp:posOffset>211455</wp:posOffset>
                </wp:positionV>
                <wp:extent cx="5943600" cy="284480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A60AC" w14:textId="77777777" w:rsidR="00594593" w:rsidRDefault="00594593" w:rsidP="004C4BC9">
                            <w:pPr>
                              <w:pStyle w:val="T1"/>
                              <w:spacing w:after="120"/>
                            </w:pPr>
                            <w:r>
                              <w:t>Abstract</w:t>
                            </w:r>
                          </w:p>
                          <w:p w14:paraId="297B930F" w14:textId="2C123EC3" w:rsidR="00594593" w:rsidRDefault="00594593" w:rsidP="004C4BC9">
                            <w:pPr>
                              <w:pStyle w:val="T1"/>
                              <w:spacing w:after="120"/>
                              <w:jc w:val="left"/>
                              <w:rPr>
                                <w:b w:val="0"/>
                              </w:rPr>
                            </w:pPr>
                            <w:r>
                              <w:rPr>
                                <w:b w:val="0"/>
                              </w:rPr>
                              <w:t xml:space="preserve">This document presents resolutions to CID </w:t>
                            </w:r>
                            <w:r w:rsidR="00013BDC">
                              <w:rPr>
                                <w:b w:val="0"/>
                              </w:rPr>
                              <w:t>7103</w:t>
                            </w:r>
                          </w:p>
                          <w:p w14:paraId="04C5617F" w14:textId="77777777" w:rsidR="00594593" w:rsidRDefault="00594593" w:rsidP="004C4BC9">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575A" id="_x0000_t202" coordsize="21600,21600" o:spt="202" path="m,l,21600r21600,l21600,xe">
                <v:stroke joinstyle="miter"/>
                <v:path gradientshapeok="t" o:connecttype="rect"/>
              </v:shapetype>
              <v:shape id="Text Box 1" o:spid="_x0000_s1026" type="#_x0000_t202" style="position:absolute;left:0;text-align:left;margin-left:-4.95pt;margin-top:16.65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" stroked="f">
                <v:textbox>
                  <w:txbxContent>
                    <w:p w14:paraId="5C9A60AC" w14:textId="77777777" w:rsidR="00594593" w:rsidRDefault="00594593" w:rsidP="004C4BC9">
                      <w:pPr>
                        <w:pStyle w:val="T1"/>
                        <w:spacing w:after="120"/>
                      </w:pPr>
                      <w:r>
                        <w:t>Abstract</w:t>
                      </w:r>
                    </w:p>
                    <w:p w14:paraId="297B930F" w14:textId="2C123EC3" w:rsidR="00594593" w:rsidRDefault="00594593" w:rsidP="004C4BC9">
                      <w:pPr>
                        <w:pStyle w:val="T1"/>
                        <w:spacing w:after="120"/>
                        <w:jc w:val="left"/>
                        <w:rPr>
                          <w:b w:val="0"/>
                        </w:rPr>
                      </w:pPr>
                      <w:r>
                        <w:rPr>
                          <w:b w:val="0"/>
                        </w:rPr>
                        <w:t xml:space="preserve">This document presents resolutions to CID </w:t>
                      </w:r>
                      <w:r w:rsidR="00013BDC">
                        <w:rPr>
                          <w:b w:val="0"/>
                        </w:rPr>
                        <w:t>7103</w:t>
                      </w:r>
                    </w:p>
                    <w:p w14:paraId="04C5617F" w14:textId="77777777" w:rsidR="00594593" w:rsidRDefault="00594593" w:rsidP="004C4BC9">
                      <w:pPr>
                        <w:pStyle w:val="T1"/>
                        <w:spacing w:after="120"/>
                        <w:jc w:val="left"/>
                        <w:rPr>
                          <w:b w:val="0"/>
                        </w:rPr>
                      </w:pPr>
                    </w:p>
                  </w:txbxContent>
                </v:textbox>
              </v:shape>
            </w:pict>
          </mc:Fallback>
        </mc:AlternateContent>
      </w:r>
    </w:p>
    <w:p w14:paraId="2BEB5551" w14:textId="77777777" w:rsidR="004C4BC9" w:rsidRDefault="004C4BC9">
      <w:pPr>
        <w:rPr>
          <w:rFonts w:ascii="Arial" w:hAnsi="Arial" w:cs="Arial"/>
          <w:b/>
          <w:bCs/>
          <w:color w:val="000000"/>
        </w:rPr>
      </w:pPr>
    </w:p>
    <w:p w14:paraId="7E34DC03" w14:textId="77777777" w:rsidR="00E76AFD" w:rsidRDefault="006D1382" w:rsidP="006D1382">
      <w:pPr>
        <w:pStyle w:val="H2"/>
        <w:numPr>
          <w:ilvl w:val="0"/>
          <w:numId w:val="1"/>
        </w:numPr>
        <w:rPr>
          <w:w w:val="100"/>
        </w:rPr>
      </w:pPr>
      <w:r>
        <w:rPr>
          <w:w w:val="100"/>
        </w:rPr>
        <w:t xml:space="preserve">Action frame format details </w:t>
      </w:r>
    </w:p>
    <w:p w14:paraId="4CE96C41" w14:textId="77777777" w:rsidR="00E76AFD" w:rsidRDefault="006D1382" w:rsidP="006D1382">
      <w:pPr>
        <w:pStyle w:val="H3"/>
        <w:numPr>
          <w:ilvl w:val="0"/>
          <w:numId w:val="2"/>
        </w:numPr>
        <w:rPr>
          <w:w w:val="100"/>
        </w:rPr>
      </w:pPr>
      <w:r>
        <w:rPr>
          <w:w w:val="100"/>
        </w:rPr>
        <w:t>Public Action details</w:t>
      </w:r>
    </w:p>
    <w:p w14:paraId="31EADB8C" w14:textId="77777777" w:rsidR="00E76AFD" w:rsidRDefault="006D1382" w:rsidP="006D1382">
      <w:pPr>
        <w:pStyle w:val="H4"/>
        <w:numPr>
          <w:ilvl w:val="0"/>
          <w:numId w:val="3"/>
        </w:numPr>
        <w:rPr>
          <w:w w:val="100"/>
        </w:rPr>
      </w:pPr>
      <w:bookmarkStart w:id="1" w:name="RTF36363136383a2048342c312e"/>
      <w:r>
        <w:rPr>
          <w:w w:val="100"/>
        </w:rPr>
        <w:t>Public Action frames</w:t>
      </w:r>
      <w:bookmarkEnd w:id="1"/>
    </w:p>
    <w:p w14:paraId="19F54CD9" w14:textId="77777777" w:rsidR="00E76AFD" w:rsidRDefault="006D1382">
      <w:pPr>
        <w:pStyle w:val="T"/>
        <w:spacing w:after="240"/>
        <w:rPr>
          <w:b/>
          <w:bCs/>
          <w:i/>
          <w:iCs/>
          <w:w w:val="100"/>
        </w:rPr>
      </w:pPr>
      <w:r>
        <w:rPr>
          <w:b/>
          <w:bCs/>
          <w:i/>
          <w:iCs/>
          <w:w w:val="100"/>
        </w:rPr>
        <w:t>Insert new row into table as follows, making appropriate adjustment to value of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E76AFD" w14:paraId="61C3D2C3" w14:textId="77777777">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7291E324" w14:textId="77777777" w:rsidR="00E76AFD" w:rsidRDefault="006D1382" w:rsidP="006D1382">
            <w:pPr>
              <w:pStyle w:val="TableTitle"/>
              <w:numPr>
                <w:ilvl w:val="0"/>
                <w:numId w:val="4"/>
              </w:numPr>
            </w:pPr>
            <w:bookmarkStart w:id="2" w:name="RTF33323731313a205461626c65"/>
            <w:r>
              <w:rPr>
                <w:w w:val="100"/>
              </w:rPr>
              <w:t>Public Action field values</w:t>
            </w:r>
            <w:bookmarkEnd w:id="2"/>
          </w:p>
        </w:tc>
      </w:tr>
      <w:tr w:rsidR="00E76AFD" w14:paraId="0F94FF42" w14:textId="77777777">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797841" w14:textId="77777777" w:rsidR="00E76AFD" w:rsidRDefault="006D1382">
            <w:pPr>
              <w:pStyle w:val="CellHeading"/>
            </w:pPr>
            <w:r>
              <w:rPr>
                <w:w w:val="100"/>
              </w:rPr>
              <w:t>Public Action field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F07214B" w14:textId="77777777" w:rsidR="00E76AFD" w:rsidRDefault="006D1382">
            <w:pPr>
              <w:pStyle w:val="CellHeading"/>
            </w:pPr>
            <w:r>
              <w:rPr>
                <w:w w:val="100"/>
              </w:rPr>
              <w:t>Description</w:t>
            </w:r>
          </w:p>
        </w:tc>
      </w:tr>
      <w:tr w:rsidR="00E76AFD" w14:paraId="1D0AB7AA" w14:textId="77777777">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211459D" w14:textId="77777777" w:rsidR="00E76AFD" w:rsidRDefault="006D1382">
            <w:pPr>
              <w:pStyle w:val="CellBody"/>
              <w:jc w:val="center"/>
            </w:pPr>
            <w:r>
              <w:rPr>
                <w:w w:val="100"/>
              </w:rPr>
              <w:t>34</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BA8928B" w14:textId="77777777" w:rsidR="00E76AFD" w:rsidRDefault="006D1382">
            <w:pPr>
              <w:pStyle w:val="CellBody"/>
              <w:jc w:val="center"/>
            </w:pPr>
            <w:r>
              <w:rPr>
                <w:w w:val="100"/>
              </w:rPr>
              <w:t>FILS Discovery</w:t>
            </w:r>
          </w:p>
        </w:tc>
      </w:tr>
    </w:tbl>
    <w:p w14:paraId="3F34AE14" w14:textId="77777777" w:rsidR="00E76AFD" w:rsidRDefault="00E76AFD">
      <w:pPr>
        <w:pStyle w:val="T"/>
        <w:spacing w:after="240"/>
        <w:rPr>
          <w:b/>
          <w:bCs/>
          <w:i/>
          <w:iCs/>
          <w:w w:val="100"/>
        </w:rPr>
      </w:pPr>
    </w:p>
    <w:p w14:paraId="63070D61" w14:textId="77777777" w:rsidR="00E76AFD" w:rsidRDefault="00E76AFD">
      <w:pPr>
        <w:pStyle w:val="T"/>
        <w:spacing w:after="240"/>
        <w:rPr>
          <w:b/>
          <w:bCs/>
          <w:i/>
          <w:iCs/>
          <w:w w:val="100"/>
        </w:rPr>
      </w:pPr>
    </w:p>
    <w:p w14:paraId="503E955F" w14:textId="37EC3111" w:rsidR="00594593" w:rsidRPr="00594593" w:rsidRDefault="004C4BC9" w:rsidP="00594593">
      <w:pPr>
        <w:rPr>
          <w:rFonts w:ascii="Times New Roman" w:hAnsi="Times New Roman" w:cs="Times New Roman"/>
          <w:bCs/>
          <w:iCs/>
          <w:color w:val="000000"/>
          <w:sz w:val="20"/>
          <w:szCs w:val="20"/>
        </w:rPr>
      </w:pPr>
      <w:r>
        <w:rPr>
          <w:b/>
          <w:bCs/>
          <w:i/>
          <w:iCs/>
        </w:rPr>
        <w:br w:type="page"/>
      </w:r>
    </w:p>
    <w:p w14:paraId="5F7F86D9" w14:textId="77777777" w:rsidR="00EB0417" w:rsidRDefault="00EB0417" w:rsidP="00A3484A">
      <w:pPr>
        <w:jc w:val="center"/>
        <w:rPr>
          <w:rFonts w:ascii="Arial-BoldMT" w:hAnsi="Arial-BoldMT"/>
          <w:b/>
          <w:bCs/>
          <w:color w:val="000000"/>
          <w:sz w:val="20"/>
          <w:szCs w:val="20"/>
        </w:rPr>
      </w:pPr>
    </w:p>
    <w:p w14:paraId="5445A039" w14:textId="3E4A452F" w:rsidR="00EB0417" w:rsidRPr="00EB0417" w:rsidRDefault="00EB0417" w:rsidP="00EB0417">
      <w:pPr>
        <w:rPr>
          <w:b/>
          <w:u w:val="single"/>
        </w:rPr>
      </w:pPr>
      <w:r w:rsidRPr="00EB0417">
        <w:rPr>
          <w:b/>
          <w:u w:val="single"/>
        </w:rPr>
        <w:t>Resolution to CID 7103</w:t>
      </w:r>
    </w:p>
    <w:p w14:paraId="0E209E53" w14:textId="79EA265E" w:rsidR="00EB0417" w:rsidRDefault="00EB0417" w:rsidP="00EB0417">
      <w:pPr>
        <w:rPr>
          <w:rFonts w:ascii="Arial-BoldMT" w:hAnsi="Arial-BoldMT"/>
          <w:b/>
          <w:bCs/>
          <w:color w:val="000000"/>
          <w:sz w:val="20"/>
          <w:szCs w:val="20"/>
        </w:rPr>
      </w:pPr>
      <w:r w:rsidRPr="00A7479B">
        <w:rPr>
          <w:rFonts w:ascii="Times New Roman" w:hAnsi="Times New Roman" w:cs="Times New Roman"/>
          <w:b/>
          <w:i/>
        </w:rPr>
        <w:t>Instruction to Editor</w:t>
      </w:r>
      <w:r>
        <w:rPr>
          <w:rFonts w:ascii="Times New Roman" w:hAnsi="Times New Roman" w:cs="Times New Roman"/>
          <w:b/>
          <w:i/>
        </w:rPr>
        <w:t>:  Add the underlined to section 10.45.3</w:t>
      </w:r>
    </w:p>
    <w:p w14:paraId="72D00AB2" w14:textId="77777777" w:rsidR="00EB0417" w:rsidRDefault="00EB0417" w:rsidP="00EB0417">
      <w:pPr>
        <w:rPr>
          <w:rFonts w:ascii="Arial-BoldMT" w:hAnsi="Arial-BoldMT"/>
          <w:b/>
          <w:bCs/>
          <w:color w:val="000000"/>
          <w:sz w:val="20"/>
          <w:szCs w:val="20"/>
        </w:rPr>
      </w:pPr>
      <w:r>
        <w:rPr>
          <w:rFonts w:ascii="Arial-BoldMT" w:hAnsi="Arial-BoldMT"/>
          <w:b/>
          <w:bCs/>
          <w:color w:val="000000"/>
          <w:sz w:val="20"/>
          <w:szCs w:val="20"/>
        </w:rPr>
        <w:t>10.45.3 Higher layer setup during (re)association procedure</w:t>
      </w:r>
    </w:p>
    <w:p w14:paraId="1BA395F5" w14:textId="4B88A8C2" w:rsidR="00EB0417" w:rsidRPr="00EB0417" w:rsidRDefault="00EB0417" w:rsidP="00EB0417">
      <w:pPr>
        <w:rPr>
          <w:rFonts w:ascii="TimesNewRomanPSMT" w:hAnsi="TimesNewRomanPSMT"/>
          <w:color w:val="000000"/>
          <w:sz w:val="20"/>
          <w:szCs w:val="20"/>
          <w:u w:val="single"/>
        </w:rPr>
      </w:pPr>
      <w:r>
        <w:rPr>
          <w:rFonts w:ascii="Arial-BoldMT" w:hAnsi="Arial-BoldMT"/>
          <w:color w:val="000000"/>
          <w:sz w:val="20"/>
          <w:szCs w:val="20"/>
        </w:rPr>
        <w:br/>
      </w:r>
      <w:r>
        <w:rPr>
          <w:rFonts w:ascii="TimesNewRomanPSMT" w:hAnsi="TimesNewRomanPSMT"/>
          <w:color w:val="000000"/>
          <w:sz w:val="20"/>
          <w:szCs w:val="20"/>
        </w:rPr>
        <w:t>Higher layer setup, such as IP layer setup, may be performed during a STA’s FILS (re)association procedure. Two mechanisms are provided for higher layer setup. One is the higher layer protocol (HLP) encapsulation. The HLP encapsulation, described in clause 10.45.3.1 (Higher layer protocol encapsulation), shall be</w:t>
      </w:r>
      <w:r>
        <w:rPr>
          <w:rFonts w:ascii="TimesNewRomanPSMT" w:hAnsi="TimesNewRomanPSMT"/>
          <w:color w:val="000000"/>
          <w:sz w:val="20"/>
          <w:szCs w:val="20"/>
        </w:rPr>
        <w:t xml:space="preserve"> </w:t>
      </w:r>
      <w:r>
        <w:rPr>
          <w:rFonts w:ascii="TimesNewRomanPSMT" w:hAnsi="TimesNewRomanPSMT"/>
          <w:color w:val="000000"/>
          <w:sz w:val="20"/>
          <w:szCs w:val="20"/>
        </w:rPr>
        <w:t>supported by all FILS STAs. The other is the FILS IP address configuration. This is optional for FILS STAs</w:t>
      </w:r>
      <w:r>
        <w:rPr>
          <w:rFonts w:ascii="TimesNewRomanPSMT" w:hAnsi="TimesNewRomanPSMT"/>
          <w:color w:val="000000"/>
          <w:sz w:val="20"/>
          <w:szCs w:val="20"/>
        </w:rPr>
        <w:t xml:space="preserve"> </w:t>
      </w:r>
      <w:r>
        <w:rPr>
          <w:rFonts w:ascii="TimesNewRomanPSMT" w:hAnsi="TimesNewRomanPSMT"/>
          <w:color w:val="000000"/>
          <w:sz w:val="20"/>
          <w:szCs w:val="20"/>
        </w:rPr>
        <w:t>and described in clause 10.45.3.2 (FILS IP address configuration). FILS IP address configuration is used to</w:t>
      </w:r>
      <w:r w:rsidRPr="00A7479B">
        <w:rPr>
          <w:rFonts w:ascii="Times New Roman" w:hAnsi="Times New Roman" w:cs="Times New Roman"/>
        </w:rPr>
        <w:t xml:space="preserve"> </w:t>
      </w:r>
      <w:r>
        <w:rPr>
          <w:rFonts w:ascii="TimesNewRomanPSMT" w:hAnsi="TimesNewRomanPSMT"/>
          <w:color w:val="000000"/>
          <w:sz w:val="20"/>
          <w:szCs w:val="20"/>
        </w:rPr>
        <w:t>reduce the overhead caused by using the DHCP for the IP address assignment. However, FILS IP Address</w:t>
      </w:r>
      <w:r>
        <w:rPr>
          <w:rFonts w:ascii="TimesNewRomanPSMT" w:hAnsi="TimesNewRomanPSMT"/>
          <w:color w:val="000000"/>
          <w:sz w:val="20"/>
          <w:szCs w:val="20"/>
        </w:rPr>
        <w:t xml:space="preserve"> </w:t>
      </w:r>
      <w:r>
        <w:rPr>
          <w:rFonts w:ascii="TimesNewRomanPSMT" w:hAnsi="TimesNewRomanPSMT"/>
          <w:color w:val="000000"/>
          <w:sz w:val="20"/>
          <w:szCs w:val="20"/>
        </w:rPr>
        <w:t>Assignment method provides only a subset of features supported by the DHCP. The AP advertises whether</w:t>
      </w:r>
      <w:r>
        <w:rPr>
          <w:rFonts w:ascii="TimesNewRomanPSMT" w:hAnsi="TimesNewRomanPSMT"/>
          <w:color w:val="000000"/>
          <w:sz w:val="20"/>
          <w:szCs w:val="20"/>
        </w:rPr>
        <w:t xml:space="preserve"> </w:t>
      </w:r>
      <w:r>
        <w:rPr>
          <w:rFonts w:ascii="TimesNewRomanPSMT" w:hAnsi="TimesNewRomanPSMT"/>
          <w:color w:val="000000"/>
          <w:sz w:val="20"/>
          <w:szCs w:val="20"/>
        </w:rPr>
        <w:t xml:space="preserve">it supports the FILS IP address configuration or not by the FILS IP address configuration in the FILS Indication element </w:t>
      </w:r>
      <w:r w:rsidR="00D45B5A">
        <w:rPr>
          <w:rFonts w:ascii="TimesNewRomanPSMT" w:hAnsi="TimesNewRomanPSMT"/>
          <w:color w:val="000000"/>
          <w:sz w:val="20"/>
          <w:szCs w:val="20"/>
        </w:rPr>
        <w:t>(8.4.2.179</w:t>
      </w:r>
      <w:r>
        <w:rPr>
          <w:rFonts w:ascii="TimesNewRomanPSMT" w:hAnsi="TimesNewRomanPSMT"/>
          <w:color w:val="000000"/>
          <w:sz w:val="20"/>
          <w:szCs w:val="20"/>
        </w:rPr>
        <w:t xml:space="preserve"> (FILS Indication element)) in Beacon and Probe Response frames.</w:t>
      </w:r>
      <w:r>
        <w:rPr>
          <w:rFonts w:ascii="TimesNewRomanPSMT" w:hAnsi="TimesNewRomanPSMT"/>
          <w:color w:val="000000"/>
          <w:sz w:val="20"/>
          <w:szCs w:val="20"/>
        </w:rPr>
        <w:t xml:space="preserve"> </w:t>
      </w:r>
      <w:r>
        <w:rPr>
          <w:rFonts w:ascii="TimesNewRomanPSMT" w:hAnsi="TimesNewRomanPSMT"/>
          <w:color w:val="000000"/>
          <w:sz w:val="20"/>
          <w:szCs w:val="20"/>
          <w:u w:val="single"/>
        </w:rPr>
        <w:t>In addition, the AP may indicate the IP subnet using the the Subnet ID token which can allow STAs to make a better determination of whether to request an IP address assignment or reassignment.</w:t>
      </w:r>
    </w:p>
    <w:p w14:paraId="7622D523" w14:textId="61EF16DD" w:rsidR="00EB0417" w:rsidRDefault="00EB0417" w:rsidP="00EB0417">
      <w:pPr>
        <w:rPr>
          <w:rFonts w:ascii="TimesNewRomanPSMT" w:hAnsi="TimesNewRomanPSMT"/>
          <w:color w:val="000000"/>
          <w:sz w:val="18"/>
          <w:szCs w:val="18"/>
        </w:rPr>
      </w:pPr>
      <w:r>
        <w:rPr>
          <w:rFonts w:ascii="TimesNewRomanPSMT" w:hAnsi="TimesNewRomanPSMT"/>
          <w:color w:val="000000"/>
          <w:sz w:val="20"/>
          <w:szCs w:val="20"/>
        </w:rPr>
        <w:br/>
      </w:r>
      <w:r>
        <w:rPr>
          <w:rFonts w:ascii="TimesNewRomanPSMT" w:hAnsi="TimesNewRomanPSMT"/>
          <w:color w:val="000000"/>
          <w:sz w:val="18"/>
          <w:szCs w:val="18"/>
        </w:rPr>
        <w:t>NOTE—</w:t>
      </w:r>
      <w:r w:rsidR="00D45B5A">
        <w:rPr>
          <w:rFonts w:ascii="TimesNewRomanPSMT" w:hAnsi="TimesNewRomanPSMT"/>
          <w:color w:val="000000"/>
          <w:sz w:val="18"/>
          <w:szCs w:val="18"/>
        </w:rPr>
        <w:t>The</w:t>
      </w:r>
      <w:r>
        <w:rPr>
          <w:rFonts w:ascii="TimesNewRomanPSMT" w:hAnsi="TimesNewRomanPSMT"/>
          <w:color w:val="000000"/>
          <w:sz w:val="18"/>
          <w:szCs w:val="18"/>
        </w:rPr>
        <w:t xml:space="preserve"> non-AP STA can use the following methods to obtain an IP address. (1) FILS IP address configuration, if</w:t>
      </w:r>
      <w:r>
        <w:rPr>
          <w:rFonts w:ascii="TimesNewRomanPSMT" w:hAnsi="TimesNewRomanPSMT"/>
          <w:color w:val="000000"/>
          <w:sz w:val="18"/>
          <w:szCs w:val="18"/>
        </w:rPr>
        <w:br/>
        <w:t>supported by the AP. (2) Encapsulating higher layer protocols during association.</w:t>
      </w:r>
    </w:p>
    <w:p w14:paraId="5C750D1E" w14:textId="498D97CD" w:rsidR="00023160" w:rsidRPr="00013BDC" w:rsidRDefault="00EB0417" w:rsidP="00013BDC">
      <w:pPr>
        <w:rPr>
          <w:rFonts w:ascii="Times New Roman" w:hAnsi="Times New Roman" w:cs="Times New Roman"/>
        </w:rPr>
      </w:pPr>
      <w:r>
        <w:rPr>
          <w:rFonts w:ascii="TimesNewRomanPSMT" w:hAnsi="TimesNewRomanPSMT"/>
          <w:color w:val="000000"/>
          <w:sz w:val="18"/>
          <w:szCs w:val="18"/>
        </w:rPr>
        <w:br/>
      </w:r>
      <w:r>
        <w:rPr>
          <w:rFonts w:ascii="TimesNewRomanPSMT" w:hAnsi="TimesNewRomanPSMT"/>
          <w:color w:val="000000"/>
          <w:sz w:val="20"/>
          <w:szCs w:val="20"/>
        </w:rPr>
        <w:t>Higher layer setup information in Association Request, Association Response, Reassociation Request and</w:t>
      </w:r>
      <w:r>
        <w:rPr>
          <w:rFonts w:ascii="TimesNewRomanPSMT" w:hAnsi="TimesNewRomanPSMT"/>
          <w:color w:val="000000"/>
          <w:sz w:val="20"/>
          <w:szCs w:val="20"/>
        </w:rPr>
        <w:br/>
        <w:t xml:space="preserve">Reassociation Response frames shall be protected by the AEAD scheme </w:t>
      </w:r>
      <w:r w:rsidR="00D45B5A">
        <w:rPr>
          <w:rFonts w:ascii="TimesNewRomanPSMT" w:hAnsi="TimesNewRomanPSMT"/>
          <w:color w:val="000000"/>
          <w:sz w:val="20"/>
          <w:szCs w:val="20"/>
        </w:rPr>
        <w:t>(11.11.2.6</w:t>
      </w:r>
      <w:r>
        <w:rPr>
          <w:rFonts w:ascii="TimesNewRomanPSMT" w:hAnsi="TimesNewRomanPSMT"/>
          <w:color w:val="000000"/>
          <w:sz w:val="20"/>
          <w:szCs w:val="20"/>
        </w:rPr>
        <w:t xml:space="preserve"> (AEAD cipher mode for</w:t>
      </w:r>
      <w:r w:rsidR="00D45B5A">
        <w:rPr>
          <w:rFonts w:ascii="TimesNewRomanPSMT" w:hAnsi="TimesNewRomanPSMT"/>
          <w:color w:val="000000"/>
          <w:sz w:val="20"/>
          <w:szCs w:val="20"/>
        </w:rPr>
        <w:t xml:space="preserve"> </w:t>
      </w:r>
      <w:r>
        <w:rPr>
          <w:rFonts w:ascii="TimesNewRomanPSMT" w:hAnsi="TimesNewRomanPSMT"/>
          <w:color w:val="000000"/>
          <w:sz w:val="20"/>
          <w:szCs w:val="20"/>
        </w:rPr>
        <w:t>FILS)).</w:t>
      </w:r>
      <w:r w:rsidRPr="00A7479B">
        <w:rPr>
          <w:rFonts w:ascii="Times New Roman" w:hAnsi="Times New Roman" w:cs="Times New Roman"/>
        </w:rPr>
        <w:t xml:space="preserve"> </w:t>
      </w:r>
    </w:p>
    <w:sectPr w:rsidR="00023160" w:rsidRPr="00013BDC">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86C95" w14:textId="77777777" w:rsidR="00D26376" w:rsidRDefault="00D26376">
      <w:pPr>
        <w:spacing w:after="0" w:line="240" w:lineRule="auto"/>
      </w:pPr>
      <w:r>
        <w:separator/>
      </w:r>
    </w:p>
  </w:endnote>
  <w:endnote w:type="continuationSeparator" w:id="0">
    <w:p w14:paraId="453502B5" w14:textId="77777777" w:rsidR="00D26376" w:rsidRDefault="00D2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2B911" w14:textId="77777777" w:rsidR="00594593" w:rsidRDefault="00594593" w:rsidP="00D5036D">
    <w:pPr>
      <w:pStyle w:val="Footer"/>
      <w:tabs>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C67A0">
      <w:rPr>
        <w:noProof/>
      </w:rPr>
      <w:t>2</w:t>
    </w:r>
    <w:r>
      <w:fldChar w:fldCharType="end"/>
    </w:r>
    <w:r>
      <w:tab/>
      <w:t xml:space="preserve"> S. Abraham, Qualcomm</w:t>
    </w:r>
  </w:p>
  <w:p w14:paraId="2592BFCE" w14:textId="77777777" w:rsidR="00594593" w:rsidRDefault="00594593" w:rsidP="00D5036D"/>
  <w:p w14:paraId="09D51AA1" w14:textId="77777777" w:rsidR="00594593" w:rsidRDefault="0059459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363C" w14:textId="77777777" w:rsidR="00594593" w:rsidRDefault="00594593" w:rsidP="009B1A89">
    <w:pPr>
      <w:pStyle w:val="Footer"/>
      <w:tabs>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C67A0">
      <w:rPr>
        <w:noProof/>
      </w:rPr>
      <w:t>1</w:t>
    </w:r>
    <w:r>
      <w:fldChar w:fldCharType="end"/>
    </w:r>
    <w:r>
      <w:tab/>
      <w:t xml:space="preserve"> S. Abraham, Qualcomm</w:t>
    </w:r>
  </w:p>
  <w:p w14:paraId="42608B24" w14:textId="77777777" w:rsidR="00594593" w:rsidRDefault="00594593" w:rsidP="009B1A89"/>
  <w:p w14:paraId="0CC6BAC6" w14:textId="77777777" w:rsidR="00594593" w:rsidRDefault="00594593">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FC67A0">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A5437" w14:textId="77777777" w:rsidR="00D26376" w:rsidRDefault="00D26376">
      <w:pPr>
        <w:spacing w:after="0" w:line="240" w:lineRule="auto"/>
      </w:pPr>
      <w:r>
        <w:separator/>
      </w:r>
    </w:p>
  </w:footnote>
  <w:footnote w:type="continuationSeparator" w:id="0">
    <w:p w14:paraId="4BF2F536" w14:textId="77777777" w:rsidR="00D26376" w:rsidRDefault="00D26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9968B" w14:textId="4E1A7A6F" w:rsidR="00594593" w:rsidRPr="00D5036D" w:rsidRDefault="00594593" w:rsidP="00EE2259">
    <w:pPr>
      <w:pStyle w:val="Header"/>
      <w:tabs>
        <w:tab w:val="center" w:pos="4680"/>
        <w:tab w:val="right" w:pos="9360"/>
      </w:tabs>
      <w:rPr>
        <w:rFonts w:ascii="Times New Roman" w:hAnsi="Times New Roman" w:cs="Times New Roman"/>
        <w:b/>
        <w:sz w:val="28"/>
        <w:szCs w:val="28"/>
      </w:rPr>
    </w:pP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KEYWORDS  \* MERGEFORMAT </w:instrText>
    </w:r>
    <w:r w:rsidRPr="00D5036D">
      <w:rPr>
        <w:rFonts w:ascii="Times New Roman" w:hAnsi="Times New Roman" w:cs="Times New Roman"/>
        <w:b/>
        <w:sz w:val="28"/>
        <w:szCs w:val="28"/>
      </w:rPr>
      <w:fldChar w:fldCharType="separate"/>
    </w:r>
    <w:r>
      <w:rPr>
        <w:rFonts w:ascii="Times New Roman" w:hAnsi="Times New Roman" w:cs="Times New Roman"/>
        <w:b/>
        <w:sz w:val="28"/>
        <w:szCs w:val="28"/>
      </w:rPr>
      <w:t>March</w:t>
    </w:r>
    <w:r w:rsidRPr="00D5036D">
      <w:rPr>
        <w:rFonts w:ascii="Times New Roman" w:hAnsi="Times New Roman" w:cs="Times New Roman"/>
        <w:b/>
        <w:sz w:val="28"/>
        <w:szCs w:val="28"/>
      </w:rPr>
      <w:t xml:space="preserve"> 201</w:t>
    </w:r>
    <w:r w:rsidRPr="00D5036D">
      <w:rPr>
        <w:rFonts w:ascii="Times New Roman" w:hAnsi="Times New Roman" w:cs="Times New Roman"/>
        <w:b/>
        <w:sz w:val="28"/>
        <w:szCs w:val="28"/>
      </w:rPr>
      <w:fldChar w:fldCharType="end"/>
    </w:r>
    <w:r>
      <w:rPr>
        <w:rFonts w:ascii="Times New Roman" w:hAnsi="Times New Roman" w:cs="Times New Roman"/>
        <w:b/>
        <w:sz w:val="28"/>
        <w:szCs w:val="28"/>
      </w:rPr>
      <w:t>5</w:t>
    </w:r>
    <w:r w:rsidRPr="00D5036D">
      <w:rPr>
        <w:rFonts w:ascii="Times New Roman" w:hAnsi="Times New Roman" w:cs="Times New Roman"/>
        <w:b/>
        <w:sz w:val="28"/>
        <w:szCs w:val="28"/>
      </w:rPr>
      <w:tab/>
    </w:r>
    <w:r w:rsidRPr="00D5036D">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sidR="00FC67A0">
      <w:rPr>
        <w:rFonts w:ascii="Times New Roman" w:hAnsi="Times New Roman" w:cs="Times New Roman"/>
        <w:b/>
        <w:sz w:val="28"/>
        <w:szCs w:val="28"/>
      </w:rPr>
      <w:t>444</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FC67A0">
      <w:rPr>
        <w:rFonts w:ascii="Times New Roman" w:hAnsi="Times New Roman" w:cs="Times New Roman"/>
        <w:b/>
        <w:sz w:val="28"/>
        <w:szCs w:val="28"/>
      </w:rPr>
      <w:t>0</w:t>
    </w:r>
  </w:p>
  <w:p w14:paraId="1B514B82" w14:textId="77777777" w:rsidR="00594593" w:rsidRPr="00D5036D" w:rsidRDefault="00594593" w:rsidP="00D5036D">
    <w:pPr>
      <w:pStyle w:val="Header"/>
      <w:rPr>
        <w:rFonts w:ascii="Times New Roman" w:hAnsi="Times New Roman" w:cs="Times New Roman"/>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4CCC9" w14:textId="46F1009D" w:rsidR="00594593" w:rsidRPr="00D5036D" w:rsidRDefault="00594593" w:rsidP="00D5036D">
    <w:pPr>
      <w:pStyle w:val="Header"/>
      <w:tabs>
        <w:tab w:val="center" w:pos="4680"/>
        <w:tab w:val="right" w:pos="9360"/>
      </w:tabs>
      <w:rPr>
        <w:rFonts w:ascii="Times New Roman" w:hAnsi="Times New Roman" w:cs="Times New Roman"/>
        <w:b/>
        <w:sz w:val="28"/>
        <w:szCs w:val="28"/>
      </w:rPr>
    </w:pP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KEYWORDS  \* MERGEFORMAT </w:instrText>
    </w:r>
    <w:r w:rsidRPr="00D5036D">
      <w:rPr>
        <w:rFonts w:ascii="Times New Roman" w:hAnsi="Times New Roman" w:cs="Times New Roman"/>
        <w:b/>
        <w:sz w:val="28"/>
        <w:szCs w:val="28"/>
      </w:rPr>
      <w:fldChar w:fldCharType="separate"/>
    </w:r>
    <w:r>
      <w:rPr>
        <w:rFonts w:ascii="Times New Roman" w:hAnsi="Times New Roman" w:cs="Times New Roman"/>
        <w:b/>
        <w:sz w:val="28"/>
        <w:szCs w:val="28"/>
      </w:rPr>
      <w:t>March</w:t>
    </w:r>
    <w:r w:rsidRPr="00D5036D">
      <w:rPr>
        <w:rFonts w:ascii="Times New Roman" w:hAnsi="Times New Roman" w:cs="Times New Roman"/>
        <w:b/>
        <w:sz w:val="28"/>
        <w:szCs w:val="28"/>
      </w:rPr>
      <w:t xml:space="preserve"> 201</w:t>
    </w:r>
    <w:r w:rsidRPr="00D5036D">
      <w:rPr>
        <w:rFonts w:ascii="Times New Roman" w:hAnsi="Times New Roman" w:cs="Times New Roman"/>
        <w:b/>
        <w:sz w:val="28"/>
        <w:szCs w:val="28"/>
      </w:rPr>
      <w:fldChar w:fldCharType="end"/>
    </w:r>
    <w:r>
      <w:rPr>
        <w:rFonts w:ascii="Times New Roman" w:hAnsi="Times New Roman" w:cs="Times New Roman"/>
        <w:b/>
        <w:sz w:val="28"/>
        <w:szCs w:val="28"/>
      </w:rPr>
      <w:t>5</w:t>
    </w:r>
    <w:r w:rsidRPr="00D5036D">
      <w:rPr>
        <w:rFonts w:ascii="Times New Roman" w:hAnsi="Times New Roman" w:cs="Times New Roman"/>
        <w:b/>
        <w:sz w:val="28"/>
        <w:szCs w:val="28"/>
      </w:rPr>
      <w:tab/>
    </w:r>
    <w:r w:rsidRPr="00D5036D">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sidR="00FC67A0">
      <w:rPr>
        <w:rFonts w:ascii="Times New Roman" w:hAnsi="Times New Roman" w:cs="Times New Roman"/>
        <w:b/>
        <w:sz w:val="28"/>
        <w:szCs w:val="28"/>
      </w:rPr>
      <w:t>444</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FC67A0">
      <w:rPr>
        <w:rFonts w:ascii="Times New Roman" w:hAnsi="Times New Roman" w:cs="Times New Roman"/>
        <w:b/>
        <w:sz w:val="28"/>
        <w:szCs w:val="28"/>
      </w:rPr>
      <w:t>0</w:t>
    </w:r>
  </w:p>
  <w:p w14:paraId="26910786" w14:textId="77777777" w:rsidR="00594593" w:rsidRPr="009B1A89" w:rsidRDefault="00594593" w:rsidP="009B1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126398"/>
    <w:lvl w:ilvl="0">
      <w:numFmt w:val="bullet"/>
      <w:lvlText w:val="*"/>
      <w:lvlJc w:val="left"/>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13BDC"/>
    <w:rsid w:val="00023160"/>
    <w:rsid w:val="0006256A"/>
    <w:rsid w:val="00150FBA"/>
    <w:rsid w:val="00151347"/>
    <w:rsid w:val="00211CEA"/>
    <w:rsid w:val="00237234"/>
    <w:rsid w:val="00401C8A"/>
    <w:rsid w:val="0040375B"/>
    <w:rsid w:val="004C4BC9"/>
    <w:rsid w:val="00517E09"/>
    <w:rsid w:val="00594593"/>
    <w:rsid w:val="006D1382"/>
    <w:rsid w:val="0075061D"/>
    <w:rsid w:val="007750BE"/>
    <w:rsid w:val="007751C6"/>
    <w:rsid w:val="0085464B"/>
    <w:rsid w:val="00867000"/>
    <w:rsid w:val="00982720"/>
    <w:rsid w:val="009B1A89"/>
    <w:rsid w:val="00A3347E"/>
    <w:rsid w:val="00A3484A"/>
    <w:rsid w:val="00A7479B"/>
    <w:rsid w:val="00A92BE2"/>
    <w:rsid w:val="00B10EEC"/>
    <w:rsid w:val="00B8387E"/>
    <w:rsid w:val="00C15662"/>
    <w:rsid w:val="00D038CF"/>
    <w:rsid w:val="00D26376"/>
    <w:rsid w:val="00D45B5A"/>
    <w:rsid w:val="00D5036D"/>
    <w:rsid w:val="00D533B3"/>
    <w:rsid w:val="00E12391"/>
    <w:rsid w:val="00E76AFD"/>
    <w:rsid w:val="00EB0417"/>
    <w:rsid w:val="00ED2097"/>
    <w:rsid w:val="00EE2259"/>
    <w:rsid w:val="00F77123"/>
    <w:rsid w:val="00FC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ECA870"/>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character" w:styleId="CommentReference">
    <w:name w:val="annotation reference"/>
    <w:basedOn w:val="DefaultParagraphFont"/>
    <w:uiPriority w:val="99"/>
    <w:semiHidden/>
    <w:unhideWhenUsed/>
    <w:rsid w:val="00150FBA"/>
    <w:rPr>
      <w:sz w:val="16"/>
      <w:szCs w:val="16"/>
    </w:rPr>
  </w:style>
  <w:style w:type="paragraph" w:styleId="CommentText">
    <w:name w:val="annotation text"/>
    <w:basedOn w:val="Normal"/>
    <w:link w:val="CommentTextChar"/>
    <w:uiPriority w:val="99"/>
    <w:semiHidden/>
    <w:unhideWhenUsed/>
    <w:rsid w:val="00150FBA"/>
    <w:pPr>
      <w:spacing w:line="240" w:lineRule="auto"/>
    </w:pPr>
    <w:rPr>
      <w:sz w:val="20"/>
      <w:szCs w:val="20"/>
    </w:rPr>
  </w:style>
  <w:style w:type="character" w:customStyle="1" w:styleId="CommentTextChar">
    <w:name w:val="Comment Text Char"/>
    <w:basedOn w:val="DefaultParagraphFont"/>
    <w:link w:val="CommentText"/>
    <w:uiPriority w:val="99"/>
    <w:semiHidden/>
    <w:rsid w:val="00150FBA"/>
    <w:rPr>
      <w:sz w:val="20"/>
      <w:szCs w:val="20"/>
    </w:rPr>
  </w:style>
  <w:style w:type="paragraph" w:styleId="CommentSubject">
    <w:name w:val="annotation subject"/>
    <w:basedOn w:val="CommentText"/>
    <w:next w:val="CommentText"/>
    <w:link w:val="CommentSubjectChar"/>
    <w:uiPriority w:val="99"/>
    <w:semiHidden/>
    <w:unhideWhenUsed/>
    <w:rsid w:val="00150FBA"/>
    <w:rPr>
      <w:b/>
      <w:bCs/>
    </w:rPr>
  </w:style>
  <w:style w:type="character" w:customStyle="1" w:styleId="CommentSubjectChar">
    <w:name w:val="Comment Subject Char"/>
    <w:basedOn w:val="CommentTextChar"/>
    <w:link w:val="CommentSubject"/>
    <w:uiPriority w:val="99"/>
    <w:semiHidden/>
    <w:rsid w:val="00150FBA"/>
    <w:rPr>
      <w:b/>
      <w:bCs/>
      <w:sz w:val="20"/>
      <w:szCs w:val="20"/>
    </w:rPr>
  </w:style>
  <w:style w:type="paragraph" w:styleId="Revision">
    <w:name w:val="Revision"/>
    <w:hidden/>
    <w:uiPriority w:val="99"/>
    <w:semiHidden/>
    <w:rsid w:val="00150FBA"/>
    <w:pPr>
      <w:spacing w:after="0" w:line="240" w:lineRule="auto"/>
    </w:pPr>
  </w:style>
  <w:style w:type="paragraph" w:styleId="BalloonText">
    <w:name w:val="Balloon Text"/>
    <w:basedOn w:val="Normal"/>
    <w:link w:val="BalloonTextChar"/>
    <w:uiPriority w:val="99"/>
    <w:semiHidden/>
    <w:unhideWhenUsed/>
    <w:rsid w:val="00150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FBA"/>
    <w:rPr>
      <w:rFonts w:ascii="Segoe UI" w:hAnsi="Segoe UI" w:cs="Segoe UI"/>
      <w:sz w:val="18"/>
      <w:szCs w:val="18"/>
    </w:rPr>
  </w:style>
  <w:style w:type="table" w:styleId="TableGrid">
    <w:name w:val="Table Grid"/>
    <w:basedOn w:val="TableNormal"/>
    <w:uiPriority w:val="39"/>
    <w:rsid w:val="00A7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Santosh</dc:creator>
  <cp:keywords/>
  <dc:description/>
  <cp:lastModifiedBy>Abraham, Santosh</cp:lastModifiedBy>
  <cp:revision>3</cp:revision>
  <dcterms:created xsi:type="dcterms:W3CDTF">2015-03-11T15:16:00Z</dcterms:created>
  <dcterms:modified xsi:type="dcterms:W3CDTF">2015-03-11T15:24:00Z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1405161316</vt:i4>
  </property>
  <property fmtid="{D5CDD505-2E9C-101B-9397-08002B2CF9AE}" pid="3" name="_NewReviewCycle">
    <vt:lpwstr/>
  </property>
  <property fmtid="{D5CDD505-2E9C-101B-9397-08002B2CF9AE}" pid="4" name="_EmailSubject">
    <vt:lpwstr>Regarding some resolutions to CIDS</vt:lpwstr>
  </property>
  <property fmtid="{D5CDD505-2E9C-101B-9397-08002B2CF9AE}" pid="5" name="_AuthorEmail">
    <vt:lpwstr>gcherian@qti.qualcomm.com</vt:lpwstr>
  </property>
  <property fmtid="{D5CDD505-2E9C-101B-9397-08002B2CF9AE}" pid="6" name="_AuthorEmailDisplayName">
    <vt:lpwstr>Cherian, George</vt:lpwstr>
  </property>
  <property fmtid="{D5CDD505-2E9C-101B-9397-08002B2CF9AE}" pid="7" name="_ReviewingToolsShownOnce">
    <vt:lpwstr/>
  </property>
</Properties>
</file>