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TGax</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A01B3C">
              <w:rPr>
                <w:color w:val="000000"/>
                <w:sz w:val="20"/>
                <w:lang w:val="en-US"/>
              </w:rPr>
              <w:t>5-07-20</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Robert Stacey</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C07427" w:rsidP="00BD6FB0">
            <w:pPr>
              <w:jc w:val="center"/>
              <w:rPr>
                <w:color w:val="000000"/>
                <w:sz w:val="16"/>
                <w:szCs w:val="16"/>
                <w:lang w:val="en-US"/>
              </w:rPr>
            </w:pPr>
            <w:hyperlink r:id="rId8" w:history="1">
              <w:r w:rsidR="00175B26" w:rsidRPr="0050594A">
                <w:rPr>
                  <w:rStyle w:val="Hyperlink"/>
                  <w:sz w:val="16"/>
                  <w:szCs w:val="16"/>
                  <w:lang w:val="en-US"/>
                </w:rPr>
                <w:t>robert.stacey@intel.com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9BB" w:rsidRDefault="006539BB">
                            <w:pPr>
                              <w:pStyle w:val="T1"/>
                              <w:spacing w:after="120"/>
                            </w:pPr>
                            <w:r>
                              <w:t>Abstract</w:t>
                            </w:r>
                          </w:p>
                          <w:p w:rsidR="006539BB" w:rsidRDefault="006539BB"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w:t>
                            </w:r>
                            <w:bookmarkStart w:id="0" w:name="_GoBack"/>
                            <w:bookmarkEnd w:id="0"/>
                            <w:r>
                              <w:t>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6539BB" w:rsidRDefault="006539BB" w:rsidP="00A8394A">
                            <w:pPr>
                              <w:jc w:val="both"/>
                            </w:pPr>
                          </w:p>
                          <w:p w:rsidR="006539BB" w:rsidRDefault="006539B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6539BB" w:rsidRDefault="006539BB">
                      <w:pPr>
                        <w:pStyle w:val="T1"/>
                        <w:spacing w:after="120"/>
                      </w:pPr>
                      <w:r>
                        <w:t>Abstract</w:t>
                      </w:r>
                    </w:p>
                    <w:p w:rsidR="006539BB" w:rsidRDefault="006539BB"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w:t>
                      </w:r>
                      <w:bookmarkStart w:id="1" w:name="_GoBack"/>
                      <w:bookmarkEnd w:id="1"/>
                      <w:r>
                        <w:t>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6539BB" w:rsidRDefault="006539BB" w:rsidP="00A8394A">
                      <w:pPr>
                        <w:jc w:val="both"/>
                      </w:pPr>
                    </w:p>
                    <w:p w:rsidR="006539BB" w:rsidRDefault="006539BB"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175B26" w:rsidP="00F639BA">
            <w:r>
              <w:t>January</w:t>
            </w:r>
            <w:r w:rsidR="003F3E21">
              <w:t xml:space="preserve"> </w:t>
            </w:r>
            <w:r>
              <w:t>1</w:t>
            </w:r>
            <w:r w:rsidR="003F3E21">
              <w:t>3</w:t>
            </w:r>
            <w:r w:rsidR="00F639BA">
              <w:t>, 201</w:t>
            </w:r>
            <w:r>
              <w:t>5</w:t>
            </w:r>
          </w:p>
        </w:tc>
        <w:tc>
          <w:tcPr>
            <w:tcW w:w="6295" w:type="dxa"/>
          </w:tcPr>
          <w:p w:rsidR="00F639BA" w:rsidRDefault="00175B26" w:rsidP="00DD7017">
            <w:r>
              <w:t>As approved by TG motion</w:t>
            </w:r>
            <w:r w:rsidR="00DD7017">
              <w:t xml:space="preserve"> at the November 2014 meeting</w:t>
            </w:r>
            <w:r w:rsidR="00560867">
              <w:t xml:space="preserve"> </w:t>
            </w:r>
            <w:sdt>
              <w:sdtPr>
                <w:id w:val="344439539"/>
                <w:citation/>
              </w:sdtPr>
              <w:sdtContent>
                <w:r w:rsidR="00560867">
                  <w:fldChar w:fldCharType="begin"/>
                </w:r>
                <w:r w:rsidR="000D180D">
                  <w:rPr>
                    <w:lang w:val="en-US"/>
                  </w:rPr>
                  <w:instrText xml:space="preserve">CITATION 14_1453r2 \l 1033 </w:instrText>
                </w:r>
                <w:r w:rsidR="00560867">
                  <w:fldChar w:fldCharType="separate"/>
                </w:r>
                <w:r w:rsidR="00A01B3C" w:rsidRPr="00A01B3C">
                  <w:rPr>
                    <w:noProof/>
                    <w:lang w:val="en-US"/>
                  </w:rPr>
                  <w:t>[1]</w:t>
                </w:r>
                <w:r w:rsidR="00560867">
                  <w:fldChar w:fldCharType="end"/>
                </w:r>
              </w:sdtContent>
            </w:sdt>
          </w:p>
        </w:tc>
      </w:tr>
      <w:tr w:rsidR="0039564A" w:rsidTr="0039564A">
        <w:tc>
          <w:tcPr>
            <w:tcW w:w="1165" w:type="dxa"/>
          </w:tcPr>
          <w:p w:rsidR="0039564A" w:rsidRDefault="00781A78" w:rsidP="00F639BA">
            <w:r>
              <w:t>1</w:t>
            </w:r>
          </w:p>
        </w:tc>
        <w:tc>
          <w:tcPr>
            <w:tcW w:w="1890" w:type="dxa"/>
          </w:tcPr>
          <w:p w:rsidR="0039564A" w:rsidRDefault="00781A78" w:rsidP="00F639BA">
            <w:r>
              <w:t>January 13, 2015</w:t>
            </w:r>
          </w:p>
        </w:tc>
        <w:tc>
          <w:tcPr>
            <w:tcW w:w="6295" w:type="dxa"/>
          </w:tcPr>
          <w:p w:rsidR="0039564A" w:rsidRDefault="00781A78" w:rsidP="00F639BA">
            <w:r>
              <w:t>Added motioned text from PM1 session January 13, 2015</w:t>
            </w:r>
          </w:p>
        </w:tc>
      </w:tr>
      <w:tr w:rsidR="0039564A" w:rsidTr="0039564A">
        <w:tc>
          <w:tcPr>
            <w:tcW w:w="1165" w:type="dxa"/>
          </w:tcPr>
          <w:p w:rsidR="0039564A" w:rsidRDefault="00792AA8" w:rsidP="00F639BA">
            <w:r>
              <w:t>2</w:t>
            </w:r>
          </w:p>
        </w:tc>
        <w:tc>
          <w:tcPr>
            <w:tcW w:w="1890" w:type="dxa"/>
          </w:tcPr>
          <w:p w:rsidR="0039564A" w:rsidRDefault="00792AA8" w:rsidP="00F639BA">
            <w:r>
              <w:t>January 15, 2015</w:t>
            </w:r>
          </w:p>
        </w:tc>
        <w:tc>
          <w:tcPr>
            <w:tcW w:w="6295" w:type="dxa"/>
          </w:tcPr>
          <w:p w:rsidR="0039564A" w:rsidRDefault="00792AA8" w:rsidP="00F639BA">
            <w:r>
              <w:t>Added motioned text from January 14, 2014</w:t>
            </w:r>
          </w:p>
        </w:tc>
      </w:tr>
      <w:tr w:rsidR="0039564A" w:rsidTr="0039564A">
        <w:tc>
          <w:tcPr>
            <w:tcW w:w="1165" w:type="dxa"/>
          </w:tcPr>
          <w:p w:rsidR="0039564A" w:rsidRDefault="00E01E2C" w:rsidP="00F639BA">
            <w:r>
              <w:t>3</w:t>
            </w:r>
          </w:p>
        </w:tc>
        <w:tc>
          <w:tcPr>
            <w:tcW w:w="1890" w:type="dxa"/>
          </w:tcPr>
          <w:p w:rsidR="0039564A" w:rsidRDefault="0085778D" w:rsidP="00F639BA">
            <w:r>
              <w:t>March 27</w:t>
            </w:r>
            <w:r w:rsidR="00E01E2C">
              <w:t>, 2015</w:t>
            </w:r>
          </w:p>
        </w:tc>
        <w:tc>
          <w:tcPr>
            <w:tcW w:w="6295" w:type="dxa"/>
          </w:tcPr>
          <w:p w:rsidR="0039564A" w:rsidRDefault="00E01E2C" w:rsidP="00F639BA">
            <w:r>
              <w:t>Added motioned text from PM1 session March 12, 2015</w:t>
            </w:r>
          </w:p>
        </w:tc>
      </w:tr>
      <w:tr w:rsidR="0039564A" w:rsidTr="0039564A">
        <w:tc>
          <w:tcPr>
            <w:tcW w:w="1165" w:type="dxa"/>
          </w:tcPr>
          <w:p w:rsidR="0039564A" w:rsidRDefault="00011009" w:rsidP="00F639BA">
            <w:r>
              <w:t>4</w:t>
            </w:r>
          </w:p>
        </w:tc>
        <w:tc>
          <w:tcPr>
            <w:tcW w:w="1890" w:type="dxa"/>
          </w:tcPr>
          <w:p w:rsidR="0039564A" w:rsidRDefault="00011009" w:rsidP="00F639BA">
            <w:r>
              <w:t>March 27, 2015</w:t>
            </w:r>
          </w:p>
        </w:tc>
        <w:tc>
          <w:tcPr>
            <w:tcW w:w="6295" w:type="dxa"/>
          </w:tcPr>
          <w:p w:rsidR="0039564A" w:rsidRDefault="00011009" w:rsidP="00011009">
            <w:r>
              <w:t>Some corrections to the March PHY motion numbers and missing statement added.</w:t>
            </w:r>
          </w:p>
        </w:tc>
      </w:tr>
      <w:tr w:rsidR="00175B26" w:rsidTr="0039564A">
        <w:tc>
          <w:tcPr>
            <w:tcW w:w="1165" w:type="dxa"/>
          </w:tcPr>
          <w:p w:rsidR="00175B26" w:rsidRDefault="00BB633A" w:rsidP="00F639BA">
            <w:r>
              <w:t>5</w:t>
            </w:r>
          </w:p>
        </w:tc>
        <w:tc>
          <w:tcPr>
            <w:tcW w:w="1890" w:type="dxa"/>
          </w:tcPr>
          <w:p w:rsidR="00175B26" w:rsidRDefault="00900B66" w:rsidP="00F639BA">
            <w:r>
              <w:t>May 14</w:t>
            </w:r>
            <w:r w:rsidR="00BB633A">
              <w:t>, 2015</w:t>
            </w:r>
          </w:p>
        </w:tc>
        <w:tc>
          <w:tcPr>
            <w:tcW w:w="6295" w:type="dxa"/>
          </w:tcPr>
          <w:p w:rsidR="00175B26" w:rsidRDefault="00BB633A" w:rsidP="00F639BA">
            <w:r>
              <w:t xml:space="preserve">Removed duplicate statement on OFDMA operation in bandwidths less than 20 </w:t>
            </w:r>
            <w:proofErr w:type="spellStart"/>
            <w:r>
              <w:t>MHz.</w:t>
            </w:r>
            <w:proofErr w:type="spellEnd"/>
            <w:r w:rsidR="00900B66">
              <w:t xml:space="preserve"> Added text for motions passed during the May 2015 session.</w:t>
            </w:r>
          </w:p>
        </w:tc>
      </w:tr>
      <w:tr w:rsidR="00175B26" w:rsidTr="0039564A">
        <w:tc>
          <w:tcPr>
            <w:tcW w:w="1165" w:type="dxa"/>
          </w:tcPr>
          <w:p w:rsidR="00175B26" w:rsidRDefault="006B6F80" w:rsidP="00F639BA">
            <w:r>
              <w:t>6</w:t>
            </w:r>
          </w:p>
        </w:tc>
        <w:tc>
          <w:tcPr>
            <w:tcW w:w="1890" w:type="dxa"/>
          </w:tcPr>
          <w:p w:rsidR="00175B26" w:rsidRDefault="008C00F1" w:rsidP="00F639BA">
            <w:r>
              <w:t>July 9, 2015</w:t>
            </w:r>
          </w:p>
        </w:tc>
        <w:tc>
          <w:tcPr>
            <w:tcW w:w="6295" w:type="dxa"/>
          </w:tcPr>
          <w:p w:rsidR="00175B26" w:rsidRDefault="006B6F80" w:rsidP="00B12457">
            <w:r>
              <w:t>Fixed typo in reference #14</w:t>
            </w:r>
            <w:r w:rsidR="008C00F1">
              <w:t xml:space="preserve">. </w:t>
            </w:r>
            <w:proofErr w:type="spellStart"/>
            <w:r w:rsidR="008C00F1">
              <w:t>Tomo</w:t>
            </w:r>
            <w:proofErr w:type="spellEnd"/>
            <w:r w:rsidR="008C00F1">
              <w:t xml:space="preserve"> Adachi notified the editor by email that </w:t>
            </w:r>
            <w:r w:rsidR="00B12457">
              <w:t>MU</w:t>
            </w:r>
            <w:r w:rsidR="008C00F1">
              <w:t xml:space="preserve"> Motion 5 was added in error since the motion </w:t>
            </w:r>
            <w:r w:rsidR="00B12457">
              <w:t>failed. T</w:t>
            </w:r>
            <w:r w:rsidR="008C00F1">
              <w:t>ext removed.</w:t>
            </w:r>
          </w:p>
        </w:tc>
      </w:tr>
      <w:tr w:rsidR="00175B26" w:rsidTr="0039564A">
        <w:tc>
          <w:tcPr>
            <w:tcW w:w="1165" w:type="dxa"/>
          </w:tcPr>
          <w:p w:rsidR="00175B26" w:rsidRDefault="00361221" w:rsidP="00F639BA">
            <w:r>
              <w:t>7</w:t>
            </w:r>
          </w:p>
        </w:tc>
        <w:tc>
          <w:tcPr>
            <w:tcW w:w="1890" w:type="dxa"/>
          </w:tcPr>
          <w:p w:rsidR="00175B26" w:rsidRDefault="00A303C6" w:rsidP="00F639BA">
            <w:r>
              <w:t>July 16</w:t>
            </w:r>
            <w:r w:rsidR="00361221">
              <w:t>, 2015</w:t>
            </w:r>
          </w:p>
        </w:tc>
        <w:tc>
          <w:tcPr>
            <w:tcW w:w="6295" w:type="dxa"/>
          </w:tcPr>
          <w:p w:rsidR="00175B26" w:rsidRDefault="00A303C6" w:rsidP="00F639BA">
            <w:r>
              <w:t>Added text for motions passed July 16, 2015</w:t>
            </w:r>
          </w:p>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13004F" w:rsidRDefault="00417271" w:rsidP="0089289E">
      <w:r>
        <w:t>HE</w:t>
      </w:r>
      <w:r w:rsidR="00B13640">
        <w:tab/>
      </w:r>
      <w:r w:rsidR="00160619">
        <w:tab/>
      </w:r>
      <w:r>
        <w:t>High Efficiency</w:t>
      </w:r>
    </w:p>
    <w:p w:rsidR="00B13640" w:rsidRDefault="00B13640" w:rsidP="0089289E">
      <w:r>
        <w:t>UL</w:t>
      </w:r>
      <w:r>
        <w:tab/>
      </w:r>
      <w:r w:rsidR="00160619">
        <w:tab/>
      </w:r>
      <w:r>
        <w:t>Uplink</w:t>
      </w:r>
    </w:p>
    <w:p w:rsidR="00B13640" w:rsidRDefault="00B13640" w:rsidP="0089289E">
      <w:r>
        <w:t>DL</w:t>
      </w:r>
      <w:r>
        <w:tab/>
      </w:r>
      <w:r w:rsidR="00160619">
        <w:tab/>
      </w:r>
      <w:proofErr w:type="spellStart"/>
      <w:r>
        <w:t>Dowlink</w:t>
      </w:r>
      <w:proofErr w:type="spellEnd"/>
    </w:p>
    <w:p w:rsidR="00F639BA" w:rsidRDefault="00160619" w:rsidP="0089289E">
      <w:r>
        <w:t>OFDMA</w:t>
      </w:r>
      <w:r>
        <w:tab/>
      </w:r>
      <w:r w:rsidRPr="00160619">
        <w:t>Orthogonal Frequency-Division Multiple Access</w:t>
      </w:r>
    </w:p>
    <w:p w:rsidR="00CB2E9D" w:rsidRDefault="00CB2E9D" w:rsidP="0089289E"/>
    <w:p w:rsidR="00856898" w:rsidRDefault="00CB2E9D" w:rsidP="00E01E2C">
      <w:pPr>
        <w:pStyle w:val="Heading1"/>
      </w:pPr>
      <w:r>
        <w:t xml:space="preserve">3 </w:t>
      </w:r>
      <w:r w:rsidR="00935DBA">
        <w:t>High Efficiency (HE)</w:t>
      </w:r>
      <w:r>
        <w:t xml:space="preserve"> Physical Layer</w:t>
      </w:r>
    </w:p>
    <w:p w:rsidR="00DD6F04" w:rsidRDefault="00DD6F04" w:rsidP="00DD6F04">
      <w:pPr>
        <w:pStyle w:val="Heading2"/>
      </w:pPr>
      <w:r>
        <w:t>3.1 General</w:t>
      </w:r>
    </w:p>
    <w:p w:rsidR="00E01E2C" w:rsidRPr="00E01E2C" w:rsidRDefault="00E01E2C" w:rsidP="00E01E2C"/>
    <w:p w:rsidR="00DD6F04" w:rsidRDefault="00E01E2C" w:rsidP="00DD6F04">
      <w:r>
        <w:t>Section 3 describes the functional blocks in the physical layer.</w:t>
      </w:r>
    </w:p>
    <w:p w:rsidR="006960A7" w:rsidRDefault="00E01E2C" w:rsidP="00CE3D20">
      <w:pPr>
        <w:pStyle w:val="Heading2"/>
      </w:pPr>
      <w:r>
        <w:t>3.2</w:t>
      </w:r>
      <w:r w:rsidR="006960A7">
        <w:t xml:space="preserve"> HE preamble</w:t>
      </w:r>
    </w:p>
    <w:p w:rsidR="00CB0D21" w:rsidRDefault="00CB0D21" w:rsidP="00CB0D21">
      <w:pPr>
        <w:pStyle w:val="Heading3"/>
      </w:pPr>
      <w:r>
        <w:t>3.2.1 General</w:t>
      </w:r>
    </w:p>
    <w:p w:rsidR="006960A7" w:rsidRDefault="006960A7" w:rsidP="00B63C2F">
      <w:proofErr w:type="spellStart"/>
      <w:r w:rsidRPr="006960A7">
        <w:t>An</w:t>
      </w:r>
      <w:proofErr w:type="spellEnd"/>
      <w:r w:rsidRPr="006960A7">
        <w:t xml:space="preserve"> HE PPDU shall include the legacy preamble (L-STF, L-LTF and L-SIG), duplicated on each 20 MHz, for backward compatibility with legacy devices.</w:t>
      </w:r>
      <w:r>
        <w:t xml:space="preserve"> [PHY Motion #3, January 2015</w:t>
      </w:r>
      <w:r w:rsidR="00560867">
        <w:t xml:space="preserve">, see </w:t>
      </w:r>
      <w:sdt>
        <w:sdtPr>
          <w:id w:val="775141260"/>
          <w:citation/>
        </w:sdtPr>
        <w:sdtContent>
          <w:r w:rsidR="00560867">
            <w:fldChar w:fldCharType="begin"/>
          </w:r>
          <w:r w:rsidR="000D180D">
            <w:rPr>
              <w:lang w:val="en-US"/>
            </w:rPr>
            <w:instrText xml:space="preserve">CITATION 15_0101r1 \l 1033 </w:instrText>
          </w:r>
          <w:r w:rsidR="00560867">
            <w:fldChar w:fldCharType="separate"/>
          </w:r>
          <w:r w:rsidR="00A01B3C" w:rsidRPr="00A01B3C">
            <w:rPr>
              <w:noProof/>
              <w:lang w:val="en-US"/>
            </w:rPr>
            <w:t>[2]</w:t>
          </w:r>
          <w:r w:rsidR="00560867">
            <w:fldChar w:fldCharType="end"/>
          </w:r>
        </w:sdtContent>
      </w:sdt>
      <w:r>
        <w:t>]</w:t>
      </w:r>
    </w:p>
    <w:p w:rsidR="006960A7" w:rsidRDefault="006960A7" w:rsidP="00B63C2F"/>
    <w:p w:rsidR="009F37A9" w:rsidRDefault="009F37A9" w:rsidP="009F37A9">
      <w:r>
        <w:t>In an HE PPDU, both the first and second OFDM symbols immediately following the L-SIG shall use BPSK modulation.</w:t>
      </w:r>
    </w:p>
    <w:p w:rsidR="009F37A9" w:rsidRDefault="009F37A9" w:rsidP="009F37A9">
      <w:pPr>
        <w:rPr>
          <w:sz w:val="20"/>
        </w:rPr>
      </w:pPr>
      <w:r w:rsidRPr="009F37A9">
        <w:rPr>
          <w:sz w:val="20"/>
        </w:rPr>
        <w:t xml:space="preserve">NOTE–This is to spoof all legacy (11a/n/ac) devices to treat </w:t>
      </w:r>
      <w:proofErr w:type="spellStart"/>
      <w:r w:rsidRPr="009F37A9">
        <w:rPr>
          <w:sz w:val="20"/>
        </w:rPr>
        <w:t>an</w:t>
      </w:r>
      <w:proofErr w:type="spellEnd"/>
      <w:r w:rsidRPr="009F37A9">
        <w:rPr>
          <w:sz w:val="20"/>
        </w:rPr>
        <w:t xml:space="preserve"> HE PPDU as a non-HT PPDU.</w:t>
      </w:r>
    </w:p>
    <w:p w:rsidR="009F37A9" w:rsidRDefault="009F37A9" w:rsidP="009F37A9">
      <w:r>
        <w:t xml:space="preserve">[PHY Motion 15, July 16, 2015, see </w:t>
      </w:r>
      <w:sdt>
        <w:sdtPr>
          <w:id w:val="900021286"/>
          <w:citation/>
        </w:sdtPr>
        <w:sdtContent>
          <w:r>
            <w:fldChar w:fldCharType="begin"/>
          </w:r>
          <w:r w:rsidR="000D180D">
            <w:rPr>
              <w:lang w:val="en-US"/>
            </w:rPr>
            <w:instrText xml:space="preserve">CITATION 15_0579r3 \l 1033 </w:instrText>
          </w:r>
          <w:r>
            <w:fldChar w:fldCharType="separate"/>
          </w:r>
          <w:r w:rsidR="00A01B3C" w:rsidRPr="00A01B3C">
            <w:rPr>
              <w:noProof/>
              <w:lang w:val="en-US"/>
            </w:rPr>
            <w:t>[3]</w:t>
          </w:r>
          <w:r>
            <w:fldChar w:fldCharType="end"/>
          </w:r>
        </w:sdtContent>
      </w:sdt>
      <w:r>
        <w:t>]</w:t>
      </w:r>
    </w:p>
    <w:p w:rsidR="00CE3D20" w:rsidRDefault="00CE3D20" w:rsidP="009F37A9"/>
    <w:p w:rsidR="00CE3D20" w:rsidRDefault="00CE3D20" w:rsidP="009F37A9">
      <w:r w:rsidRPr="00CE3D20">
        <w:t>MU-MIMO shall only be supported on allocations sizes</w:t>
      </w:r>
      <w:r>
        <w:t xml:space="preserve"> ≥ </w:t>
      </w:r>
      <w:r w:rsidRPr="00CE3D20">
        <w:t>106 tones</w:t>
      </w:r>
      <w:r>
        <w:t xml:space="preserve">. [PHY Motion 35, July 16, 2015, see </w:t>
      </w:r>
      <w:sdt>
        <w:sdtPr>
          <w:id w:val="-1758045503"/>
          <w:citation/>
        </w:sdtPr>
        <w:sdtContent>
          <w:r>
            <w:fldChar w:fldCharType="begin"/>
          </w:r>
          <w:r w:rsidR="000D180D">
            <w:rPr>
              <w:lang w:val="en-US"/>
            </w:rPr>
            <w:instrText xml:space="preserve">CITATION 15_0832r1 \l 1033 </w:instrText>
          </w:r>
          <w:r>
            <w:fldChar w:fldCharType="separate"/>
          </w:r>
          <w:r w:rsidR="00A01B3C" w:rsidRPr="00A01B3C">
            <w:rPr>
              <w:noProof/>
              <w:lang w:val="en-US"/>
            </w:rPr>
            <w:t>[4]</w:t>
          </w:r>
          <w:r>
            <w:fldChar w:fldCharType="end"/>
          </w:r>
        </w:sdtContent>
      </w:sdt>
      <w:r>
        <w:t>]</w:t>
      </w:r>
    </w:p>
    <w:p w:rsidR="00CC4AA1" w:rsidRDefault="00CC4AA1" w:rsidP="00CC4AA1">
      <w:pPr>
        <w:pStyle w:val="Heading3"/>
      </w:pPr>
      <w:r>
        <w:lastRenderedPageBreak/>
        <w:t>3.2.</w:t>
      </w:r>
      <w:r w:rsidR="00CB0D21">
        <w:t>2</w:t>
      </w:r>
      <w:r>
        <w:t xml:space="preserve"> HE-SIG-A</w:t>
      </w:r>
    </w:p>
    <w:p w:rsidR="00CB0D21" w:rsidRDefault="00CB0D21" w:rsidP="00CB0D21">
      <w:r w:rsidRPr="006960A7">
        <w:t xml:space="preserve">HE-SIG-A (using </w:t>
      </w:r>
      <w:r>
        <w:t xml:space="preserve">a </w:t>
      </w:r>
      <w:r w:rsidRPr="006960A7">
        <w:t xml:space="preserve">DFT period of 3.2 </w:t>
      </w:r>
      <w:r>
        <w:t>µs</w:t>
      </w:r>
      <w:r w:rsidRPr="006960A7">
        <w:t xml:space="preserve"> and subcarrier spacing of 312.5 kHz) is duplicated on each </w:t>
      </w:r>
      <w:r w:rsidRPr="009F73E5">
        <w:t>20</w:t>
      </w:r>
      <w:r>
        <w:t> </w:t>
      </w:r>
      <w:r w:rsidRPr="009F73E5">
        <w:t>MHz</w:t>
      </w:r>
      <w:r w:rsidRPr="006960A7">
        <w:t xml:space="preserve"> after the legacy preamble to indicate common control information.</w:t>
      </w:r>
      <w:r>
        <w:t xml:space="preserve"> [Motion #4, January 2015</w:t>
      </w:r>
      <w:r w:rsidR="00900B66">
        <w:t xml:space="preserve">, see </w:t>
      </w:r>
      <w:sdt>
        <w:sdtPr>
          <w:id w:val="1997150322"/>
          <w:citation/>
        </w:sdtPr>
        <w:sdtContent>
          <w:r w:rsidR="00900B66">
            <w:fldChar w:fldCharType="begin"/>
          </w:r>
          <w:r w:rsidR="000D180D">
            <w:rPr>
              <w:lang w:val="en-US"/>
            </w:rPr>
            <w:instrText xml:space="preserve">CITATION 15_0101r1 \l 1033 </w:instrText>
          </w:r>
          <w:r w:rsidR="00900B66">
            <w:fldChar w:fldCharType="separate"/>
          </w:r>
          <w:r w:rsidR="00A01B3C" w:rsidRPr="00A01B3C">
            <w:rPr>
              <w:noProof/>
              <w:lang w:val="en-US"/>
            </w:rPr>
            <w:t>[2]</w:t>
          </w:r>
          <w:r w:rsidR="00900B66">
            <w:fldChar w:fldCharType="end"/>
          </w:r>
        </w:sdtContent>
      </w:sdt>
      <w:r>
        <w:t>]</w:t>
      </w:r>
    </w:p>
    <w:p w:rsidR="00CC4AA1" w:rsidRDefault="00CC4AA1" w:rsidP="00CC4AA1"/>
    <w:p w:rsidR="009F37A9" w:rsidRPr="009F37A9" w:rsidRDefault="009F37A9" w:rsidP="009F37A9">
      <w:r w:rsidRPr="009F37A9">
        <w:t>HE-SIG-A is present in all 11ax packets and is two OFDM</w:t>
      </w:r>
      <w:r>
        <w:t xml:space="preserve"> symbols long when it uses MCS0</w:t>
      </w:r>
      <w:r w:rsidRPr="009F37A9">
        <w:tab/>
      </w:r>
    </w:p>
    <w:p w:rsidR="009F37A9" w:rsidRPr="009F37A9" w:rsidRDefault="009F37A9" w:rsidP="009F37A9">
      <w:pPr>
        <w:pStyle w:val="ListParagraph"/>
        <w:numPr>
          <w:ilvl w:val="0"/>
          <w:numId w:val="15"/>
        </w:numPr>
      </w:pPr>
      <w:r w:rsidRPr="009F37A9">
        <w:t>Information bits in HE-SIG</w:t>
      </w:r>
      <w:r>
        <w:t>-</w:t>
      </w:r>
      <w:r w:rsidRPr="009F37A9">
        <w:t xml:space="preserve">A are jointly encoded as in VHT-SIG-A (using 48 </w:t>
      </w:r>
      <w:proofErr w:type="spellStart"/>
      <w:r w:rsidRPr="009F37A9">
        <w:t>tones</w:t>
      </w:r>
      <w:proofErr w:type="spellEnd"/>
      <w:r w:rsidRPr="009F37A9">
        <w:t xml:space="preserve"> or 52 tones is TBD). </w:t>
      </w:r>
    </w:p>
    <w:p w:rsidR="009F37A9" w:rsidRDefault="009F37A9" w:rsidP="009F37A9">
      <w:pPr>
        <w:pStyle w:val="ListParagraph"/>
        <w:numPr>
          <w:ilvl w:val="0"/>
          <w:numId w:val="15"/>
        </w:numPr>
      </w:pPr>
      <w:r w:rsidRPr="009F37A9">
        <w:t>SU packets and UL Trigger based packets do not contain HE-SIG-B symbols.</w:t>
      </w:r>
    </w:p>
    <w:p w:rsidR="009F37A9" w:rsidRPr="00CC4AA1" w:rsidRDefault="009F37A9" w:rsidP="009F37A9">
      <w:r>
        <w:t xml:space="preserve">[PHY Motion 16, July 16, 2015, see </w:t>
      </w:r>
      <w:sdt>
        <w:sdtPr>
          <w:id w:val="776983099"/>
          <w:citation/>
        </w:sdtPr>
        <w:sdtContent>
          <w:r>
            <w:fldChar w:fldCharType="begin"/>
          </w:r>
          <w:r w:rsidR="000D180D">
            <w:rPr>
              <w:lang w:val="en-US"/>
            </w:rPr>
            <w:instrText xml:space="preserve">CITATION 15_0822r2 \l 1033 </w:instrText>
          </w:r>
          <w:r>
            <w:fldChar w:fldCharType="separate"/>
          </w:r>
          <w:r w:rsidR="00A01B3C" w:rsidRPr="00A01B3C">
            <w:rPr>
              <w:noProof/>
              <w:lang w:val="en-US"/>
            </w:rPr>
            <w:t>[5]</w:t>
          </w:r>
          <w:r>
            <w:fldChar w:fldCharType="end"/>
          </w:r>
        </w:sdtContent>
      </w:sdt>
      <w:r>
        <w:t>]</w:t>
      </w:r>
    </w:p>
    <w:p w:rsidR="00CC4AA1" w:rsidRDefault="00CC4AA1" w:rsidP="00CC4AA1">
      <w:pPr>
        <w:pStyle w:val="Heading3"/>
      </w:pPr>
      <w:r>
        <w:t>3.2.</w:t>
      </w:r>
      <w:r w:rsidR="00CB0D21">
        <w:t>3</w:t>
      </w:r>
      <w:r>
        <w:t xml:space="preserve"> HE-SIG-B</w:t>
      </w:r>
    </w:p>
    <w:p w:rsidR="00CB0D21" w:rsidRDefault="00CB0D21" w:rsidP="00CB0D21">
      <w:r>
        <w:t>Downlink HE MU PPDU shall include HE-SIG-B field, and the number of OFDM symbols of HE-SIG-B field is variable.</w:t>
      </w:r>
    </w:p>
    <w:p w:rsidR="00CB0D21" w:rsidRPr="00011009" w:rsidRDefault="00CB0D21" w:rsidP="00CB0D21">
      <w:pPr>
        <w:rPr>
          <w:sz w:val="20"/>
        </w:rPr>
      </w:pPr>
      <w:r w:rsidRPr="00011009">
        <w:rPr>
          <w:sz w:val="20"/>
        </w:rPr>
        <w:t>NOTE</w:t>
      </w:r>
      <w:r>
        <w:rPr>
          <w:sz w:val="20"/>
        </w:rPr>
        <w:t xml:space="preserve">—The </w:t>
      </w:r>
      <w:r w:rsidRPr="00011009">
        <w:rPr>
          <w:sz w:val="20"/>
        </w:rPr>
        <w:t>HE-SIG-B field includes information required to interpret HE MU PPDU, and detail is TBD.</w:t>
      </w:r>
    </w:p>
    <w:p w:rsidR="00CB0D21" w:rsidRDefault="00CB0D21" w:rsidP="00CB0D21">
      <w:r>
        <w:t>[PHY Motion #8, March 2015</w:t>
      </w:r>
      <w:r w:rsidR="00085C91">
        <w:t xml:space="preserve">, see </w:t>
      </w:r>
      <w:sdt>
        <w:sdtPr>
          <w:id w:val="1467003887"/>
          <w:citation/>
        </w:sdtPr>
        <w:sdtContent>
          <w:r w:rsidR="00085C91">
            <w:fldChar w:fldCharType="begin"/>
          </w:r>
          <w:r w:rsidR="000D180D">
            <w:rPr>
              <w:lang w:val="en-US"/>
            </w:rPr>
            <w:instrText xml:space="preserve">CITATION 15_0344r2 \l 1033 </w:instrText>
          </w:r>
          <w:r w:rsidR="00085C91">
            <w:fldChar w:fldCharType="separate"/>
          </w:r>
          <w:r w:rsidR="00A01B3C" w:rsidRPr="00A01B3C">
            <w:rPr>
              <w:noProof/>
              <w:lang w:val="en-US"/>
            </w:rPr>
            <w:t>[6]</w:t>
          </w:r>
          <w:r w:rsidR="00085C91">
            <w:fldChar w:fldCharType="end"/>
          </w:r>
        </w:sdtContent>
      </w:sdt>
      <w:r>
        <w:t>]</w:t>
      </w:r>
    </w:p>
    <w:p w:rsidR="00CB0D21" w:rsidRDefault="00CB0D21" w:rsidP="00CB0D21"/>
    <w:p w:rsidR="00CC4AA1" w:rsidRDefault="00CC4AA1" w:rsidP="00C04D06">
      <w:r w:rsidRPr="00CC4AA1">
        <w:t>HE-SIG-B shall use a DFT period of 3.2</w:t>
      </w:r>
      <w:r>
        <w:t xml:space="preserve"> µ</w:t>
      </w:r>
      <w:r w:rsidRPr="00CC4AA1">
        <w:t>s and subcarrier spacing of 312.5</w:t>
      </w:r>
      <w:r>
        <w:t xml:space="preserve"> </w:t>
      </w:r>
      <w:r w:rsidRPr="00CC4AA1">
        <w:t>kHz</w:t>
      </w:r>
      <w:r>
        <w:t>. [Motion #14, May 2015]</w:t>
      </w:r>
    </w:p>
    <w:p w:rsidR="009F37A9" w:rsidRDefault="009F37A9" w:rsidP="00C04D06"/>
    <w:p w:rsidR="009F37A9" w:rsidRDefault="009F37A9" w:rsidP="00C04D06">
      <w:r>
        <w:t>HE-</w:t>
      </w:r>
      <w:r w:rsidRPr="009F37A9">
        <w:t xml:space="preserve">SIG-B does </w:t>
      </w:r>
      <w:r>
        <w:t>not</w:t>
      </w:r>
      <w:r w:rsidRPr="009F37A9">
        <w:t xml:space="preserve"> have any OFDM symbol duplicated in each 20 MHz of the PPDU bandwidth</w:t>
      </w:r>
      <w:r>
        <w:t>.</w:t>
      </w:r>
      <w:r w:rsidR="00441EEC">
        <w:t xml:space="preserve"> </w:t>
      </w:r>
      <w:r>
        <w:t xml:space="preserve">[PHY Motion 18, July 16, 2015, see </w:t>
      </w:r>
      <w:sdt>
        <w:sdtPr>
          <w:id w:val="-1900900002"/>
          <w:citation/>
        </w:sdtPr>
        <w:sdtContent>
          <w:r w:rsidR="00F54DA7">
            <w:fldChar w:fldCharType="begin"/>
          </w:r>
          <w:r w:rsidR="000D180D">
            <w:rPr>
              <w:lang w:val="en-US"/>
            </w:rPr>
            <w:instrText xml:space="preserve">CITATION 15_0822r2 \l 1033 </w:instrText>
          </w:r>
          <w:r w:rsidR="00F54DA7">
            <w:fldChar w:fldCharType="separate"/>
          </w:r>
          <w:r w:rsidR="00A01B3C" w:rsidRPr="00A01B3C">
            <w:rPr>
              <w:noProof/>
              <w:lang w:val="en-US"/>
            </w:rPr>
            <w:t>[5]</w:t>
          </w:r>
          <w:r w:rsidR="00F54DA7">
            <w:fldChar w:fldCharType="end"/>
          </w:r>
        </w:sdtContent>
      </w:sdt>
      <w:r>
        <w:t>]</w:t>
      </w:r>
    </w:p>
    <w:p w:rsidR="00F54DA7" w:rsidRDefault="00F54DA7" w:rsidP="00C04D06"/>
    <w:p w:rsidR="00F54DA7" w:rsidRDefault="00F54DA7" w:rsidP="00C04D06">
      <w:r>
        <w:t>HE-</w:t>
      </w:r>
      <w:r w:rsidRPr="00F54DA7">
        <w:t>S</w:t>
      </w:r>
      <w:r w:rsidR="005A7DC3">
        <w:t xml:space="preserve">IG-B is encoded on a per </w:t>
      </w:r>
      <w:r w:rsidRPr="00F54DA7">
        <w:t>20 MHz basis using BCC with common and user blocks separated in the bit domain</w:t>
      </w:r>
      <w:r>
        <w:t>.</w:t>
      </w:r>
      <w:r w:rsidR="00441EEC">
        <w:t xml:space="preserve"> </w:t>
      </w:r>
      <w:r>
        <w:t xml:space="preserve">[PHY Motion 22, July 16, 2015, see </w:t>
      </w:r>
      <w:sdt>
        <w:sdtPr>
          <w:id w:val="-462964472"/>
          <w:citation/>
        </w:sdtPr>
        <w:sdtContent>
          <w:r w:rsidR="005A7DC3">
            <w:fldChar w:fldCharType="begin"/>
          </w:r>
          <w:r w:rsidR="000D180D">
            <w:rPr>
              <w:lang w:val="en-US"/>
            </w:rPr>
            <w:instrText xml:space="preserve">CITATION 15_0873r0 \l 1033 </w:instrText>
          </w:r>
          <w:r w:rsidR="005A7DC3">
            <w:fldChar w:fldCharType="separate"/>
          </w:r>
          <w:r w:rsidR="00A01B3C" w:rsidRPr="00A01B3C">
            <w:rPr>
              <w:noProof/>
              <w:lang w:val="en-US"/>
            </w:rPr>
            <w:t>[7]</w:t>
          </w:r>
          <w:r w:rsidR="005A7DC3">
            <w:fldChar w:fldCharType="end"/>
          </w:r>
        </w:sdtContent>
      </w:sdt>
      <w:r>
        <w:t>]</w:t>
      </w:r>
    </w:p>
    <w:p w:rsidR="004465F3" w:rsidRDefault="004465F3" w:rsidP="00C04D06"/>
    <w:p w:rsidR="004465F3" w:rsidRDefault="004465F3" w:rsidP="00C04D06">
      <w:r>
        <w:t>F</w:t>
      </w:r>
      <w:r w:rsidRPr="004465F3">
        <w:t>or bandwidths ≥ 40 MHz, the number of 20</w:t>
      </w:r>
      <w:r>
        <w:t xml:space="preserve"> </w:t>
      </w:r>
      <w:r w:rsidRPr="004465F3">
        <w:t xml:space="preserve">MHz </w:t>
      </w:r>
      <w:proofErr w:type="spellStart"/>
      <w:r w:rsidRPr="004465F3">
        <w:t>subbands</w:t>
      </w:r>
      <w:proofErr w:type="spellEnd"/>
      <w:r w:rsidRPr="004465F3">
        <w:t xml:space="preserve"> carrying different content is two and with structure as shown</w:t>
      </w:r>
      <w:r>
        <w:t xml:space="preserve"> in </w:t>
      </w:r>
      <w:r>
        <w:fldChar w:fldCharType="begin"/>
      </w:r>
      <w:r>
        <w:instrText xml:space="preserve"> REF _Ref425149746 \h </w:instrText>
      </w:r>
      <w:r>
        <w:fldChar w:fldCharType="separate"/>
      </w:r>
      <w:r w:rsidR="00A01B3C">
        <w:t xml:space="preserve">Figure </w:t>
      </w:r>
      <w:r w:rsidR="00A01B3C">
        <w:rPr>
          <w:noProof/>
        </w:rPr>
        <w:t>1</w:t>
      </w:r>
      <w:r>
        <w:fldChar w:fldCharType="end"/>
      </w:r>
      <w:r>
        <w:t xml:space="preserve">. Each square in the figure represents 20 MHz </w:t>
      </w:r>
      <w:proofErr w:type="spellStart"/>
      <w:r>
        <w:t>subband</w:t>
      </w:r>
      <w:proofErr w:type="spellEnd"/>
      <w:r>
        <w:t xml:space="preserve"> and 1/2 represents different signalling information.</w:t>
      </w:r>
      <w:r w:rsidR="00A422E3">
        <w:t xml:space="preserve"> [PHY Motion 23, July 16, 2015</w:t>
      </w:r>
      <w:r w:rsidR="00441EEC">
        <w:t xml:space="preserve">, see </w:t>
      </w:r>
      <w:sdt>
        <w:sdtPr>
          <w:id w:val="1445962731"/>
          <w:citation/>
        </w:sdtPr>
        <w:sdtContent>
          <w:r w:rsidR="00441EEC">
            <w:fldChar w:fldCharType="begin"/>
          </w:r>
          <w:r w:rsidR="000D180D">
            <w:rPr>
              <w:lang w:val="en-US"/>
            </w:rPr>
            <w:instrText xml:space="preserve">CITATION 15_0873r0 \l 1033 </w:instrText>
          </w:r>
          <w:r w:rsidR="00441EEC">
            <w:fldChar w:fldCharType="separate"/>
          </w:r>
          <w:r w:rsidR="00A01B3C" w:rsidRPr="00A01B3C">
            <w:rPr>
              <w:noProof/>
              <w:lang w:val="en-US"/>
            </w:rPr>
            <w:t>[7]</w:t>
          </w:r>
          <w:r w:rsidR="00441EEC">
            <w:fldChar w:fldCharType="end"/>
          </w:r>
        </w:sdtContent>
      </w:sdt>
      <w:r w:rsidR="00A422E3">
        <w:t>]</w:t>
      </w:r>
    </w:p>
    <w:p w:rsidR="004465F3" w:rsidRDefault="004465F3" w:rsidP="004465F3">
      <w:pPr>
        <w:keepNext/>
        <w:jc w:val="center"/>
      </w:pPr>
      <w:r>
        <w:rPr>
          <w:noProof/>
          <w:lang w:val="en-US"/>
        </w:rPr>
        <w:drawing>
          <wp:inline distT="0" distB="0" distL="0" distR="0" wp14:anchorId="129EDF66" wp14:editId="73ECF9FC">
            <wp:extent cx="1844702" cy="163677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6628" cy="1647359"/>
                    </a:xfrm>
                    <a:prstGeom prst="rect">
                      <a:avLst/>
                    </a:prstGeom>
                    <a:noFill/>
                  </pic:spPr>
                </pic:pic>
              </a:graphicData>
            </a:graphic>
          </wp:inline>
        </w:drawing>
      </w:r>
    </w:p>
    <w:p w:rsidR="004465F3" w:rsidRDefault="004465F3" w:rsidP="004465F3">
      <w:pPr>
        <w:pStyle w:val="Caption"/>
        <w:jc w:val="center"/>
      </w:pPr>
      <w:bookmarkStart w:id="2" w:name="_Ref425149746"/>
      <w:r>
        <w:t xml:space="preserve">Figure </w:t>
      </w:r>
      <w:r>
        <w:fldChar w:fldCharType="begin"/>
      </w:r>
      <w:r>
        <w:instrText xml:space="preserve"> SEQ Figure \* ARABIC </w:instrText>
      </w:r>
      <w:r>
        <w:fldChar w:fldCharType="separate"/>
      </w:r>
      <w:r w:rsidR="00A01B3C">
        <w:rPr>
          <w:noProof/>
        </w:rPr>
        <w:t>1</w:t>
      </w:r>
      <w:r>
        <w:fldChar w:fldCharType="end"/>
      </w:r>
      <w:bookmarkEnd w:id="2"/>
      <w:r>
        <w:t xml:space="preserve"> - 20 MHz </w:t>
      </w:r>
      <w:proofErr w:type="spellStart"/>
      <w:r>
        <w:t>subchannel</w:t>
      </w:r>
      <w:proofErr w:type="spellEnd"/>
      <w:r>
        <w:t xml:space="preserve"> content for HE-SIG-B for bandwidths ≥ 40 MHz</w:t>
      </w:r>
    </w:p>
    <w:p w:rsidR="00F54DA7" w:rsidRPr="00F54DA7" w:rsidRDefault="00441EEC" w:rsidP="00F54DA7">
      <w:r>
        <w:t>HE-</w:t>
      </w:r>
      <w:r w:rsidR="00F54DA7" w:rsidRPr="00F54DA7">
        <w:t xml:space="preserve">SIG-B has </w:t>
      </w:r>
      <w:r w:rsidR="00F54DA7">
        <w:t>a</w:t>
      </w:r>
      <w:r w:rsidR="00F54DA7" w:rsidRPr="00F54DA7">
        <w:t xml:space="preserve"> common field followed by </w:t>
      </w:r>
      <w:r w:rsidR="00F54DA7">
        <w:t xml:space="preserve">a user </w:t>
      </w:r>
      <w:r w:rsidR="00F54DA7" w:rsidRPr="00F54DA7">
        <w:t xml:space="preserve">specific field, where </w:t>
      </w:r>
    </w:p>
    <w:p w:rsidR="00F54DA7" w:rsidRPr="00F54DA7" w:rsidRDefault="00F54DA7" w:rsidP="00F54DA7">
      <w:pPr>
        <w:pStyle w:val="ListParagraph"/>
        <w:numPr>
          <w:ilvl w:val="0"/>
          <w:numId w:val="16"/>
        </w:numPr>
      </w:pPr>
      <w:r w:rsidRPr="00F54DA7">
        <w:t>The common field includes the information for all of designated STAs to receive the PPDU in corresponding bandwidth</w:t>
      </w:r>
    </w:p>
    <w:p w:rsidR="00F54DA7" w:rsidRPr="00F54DA7" w:rsidRDefault="00F54DA7" w:rsidP="00F54DA7">
      <w:pPr>
        <w:pStyle w:val="ListParagraph"/>
        <w:numPr>
          <w:ilvl w:val="0"/>
          <w:numId w:val="16"/>
        </w:numPr>
      </w:pPr>
      <w:r>
        <w:t xml:space="preserve">The user </w:t>
      </w:r>
      <w:r w:rsidRPr="00F54DA7">
        <w:t xml:space="preserve">specific field consists of multiple sub-fields that do not belong to the common field, where one or multiple of those sub-fields are for each designated receiving STA </w:t>
      </w:r>
    </w:p>
    <w:p w:rsidR="00F54DA7" w:rsidRDefault="00F54DA7" w:rsidP="00F54DA7">
      <w:pPr>
        <w:pStyle w:val="ListParagraph"/>
        <w:numPr>
          <w:ilvl w:val="0"/>
          <w:numId w:val="16"/>
        </w:numPr>
      </w:pPr>
      <w:r w:rsidRPr="00F54DA7">
        <w:t xml:space="preserve">The boundary between the common </w:t>
      </w:r>
      <w:r>
        <w:t xml:space="preserve">and the user </w:t>
      </w:r>
      <w:r w:rsidRPr="00F54DA7">
        <w:t xml:space="preserve">specific field is </w:t>
      </w:r>
      <w:r>
        <w:t>at</w:t>
      </w:r>
      <w:r w:rsidRPr="00F54DA7">
        <w:t xml:space="preserve"> the bit</w:t>
      </w:r>
      <w:r>
        <w:t xml:space="preserve"> </w:t>
      </w:r>
      <w:r w:rsidRPr="00F54DA7">
        <w:t>level</w:t>
      </w:r>
      <w:r>
        <w:t xml:space="preserve"> and</w:t>
      </w:r>
      <w:r w:rsidRPr="00F54DA7">
        <w:t xml:space="preserve"> not the OFDM symbol</w:t>
      </w:r>
      <w:r>
        <w:t xml:space="preserve"> </w:t>
      </w:r>
      <w:r w:rsidRPr="00F54DA7">
        <w:t>level</w:t>
      </w:r>
    </w:p>
    <w:p w:rsidR="00F54DA7" w:rsidRDefault="00F54DA7" w:rsidP="00F54DA7">
      <w:r>
        <w:t xml:space="preserve">[PHY Motion 19, July 16, 2015, see </w:t>
      </w:r>
      <w:sdt>
        <w:sdtPr>
          <w:id w:val="1867404033"/>
          <w:citation/>
        </w:sdtPr>
        <w:sdtContent>
          <w:r>
            <w:fldChar w:fldCharType="begin"/>
          </w:r>
          <w:r w:rsidR="000D180D">
            <w:rPr>
              <w:lang w:val="en-US"/>
            </w:rPr>
            <w:instrText xml:space="preserve">CITATION 15_0821r2 \l 1033 </w:instrText>
          </w:r>
          <w:r>
            <w:fldChar w:fldCharType="separate"/>
          </w:r>
          <w:r w:rsidR="00A01B3C" w:rsidRPr="00A01B3C">
            <w:rPr>
              <w:noProof/>
              <w:lang w:val="en-US"/>
            </w:rPr>
            <w:t>[8]</w:t>
          </w:r>
          <w:r>
            <w:fldChar w:fldCharType="end"/>
          </w:r>
        </w:sdtContent>
      </w:sdt>
      <w:r>
        <w:t>]</w:t>
      </w:r>
    </w:p>
    <w:p w:rsidR="00F54DA7" w:rsidRDefault="00F54DA7" w:rsidP="00F54DA7"/>
    <w:p w:rsidR="00F54DA7" w:rsidRDefault="00F54DA7" w:rsidP="00F54DA7">
      <w:r>
        <w:t>The common field in HE-</w:t>
      </w:r>
      <w:r w:rsidRPr="00F54DA7">
        <w:t>SIG-B contains Resource Unit (RU) allocation</w:t>
      </w:r>
      <w:r>
        <w:t>.</w:t>
      </w:r>
    </w:p>
    <w:p w:rsidR="00F54DA7" w:rsidRDefault="00F54DA7" w:rsidP="00F54DA7">
      <w:r>
        <w:t xml:space="preserve">[PHY Motion 20, July 16, 2015, see </w:t>
      </w:r>
      <w:sdt>
        <w:sdtPr>
          <w:id w:val="871735385"/>
          <w:citation/>
        </w:sdtPr>
        <w:sdtContent>
          <w:r>
            <w:fldChar w:fldCharType="begin"/>
          </w:r>
          <w:r w:rsidR="000D180D">
            <w:rPr>
              <w:lang w:val="en-US"/>
            </w:rPr>
            <w:instrText xml:space="preserve">CITATION 15_0821r2 \l 1033 </w:instrText>
          </w:r>
          <w:r>
            <w:fldChar w:fldCharType="separate"/>
          </w:r>
          <w:r w:rsidR="00A01B3C" w:rsidRPr="00A01B3C">
            <w:rPr>
              <w:noProof/>
              <w:lang w:val="en-US"/>
            </w:rPr>
            <w:t>[8]</w:t>
          </w:r>
          <w:r>
            <w:fldChar w:fldCharType="end"/>
          </w:r>
        </w:sdtContent>
      </w:sdt>
      <w:r>
        <w:t>]</w:t>
      </w:r>
    </w:p>
    <w:p w:rsidR="00F54DA7" w:rsidRDefault="00F54DA7" w:rsidP="00F54DA7"/>
    <w:p w:rsidR="00F54DA7" w:rsidRDefault="00F54DA7" w:rsidP="00F54DA7">
      <w:r w:rsidRPr="00F54DA7">
        <w:lastRenderedPageBreak/>
        <w:t>HE-SIG-B includes resource unit</w:t>
      </w:r>
      <w:r>
        <w:t xml:space="preserve"> assignment and MCS per station</w:t>
      </w:r>
      <w:r w:rsidRPr="00F54DA7">
        <w:t xml:space="preserve"> for DL-OFDMA PPDU</w:t>
      </w:r>
      <w:r>
        <w:t>.</w:t>
      </w:r>
    </w:p>
    <w:p w:rsidR="00F54DA7" w:rsidRDefault="00F54DA7" w:rsidP="00F54DA7">
      <w:r>
        <w:t xml:space="preserve">PHY Motion 21, July 16, 2015, see </w:t>
      </w:r>
      <w:sdt>
        <w:sdtPr>
          <w:id w:val="1713385547"/>
          <w:citation/>
        </w:sdtPr>
        <w:sdtContent>
          <w:r>
            <w:fldChar w:fldCharType="begin"/>
          </w:r>
          <w:r w:rsidR="000D180D">
            <w:rPr>
              <w:lang w:val="en-US"/>
            </w:rPr>
            <w:instrText xml:space="preserve">CITATION 15_0827r2 \l 1033 </w:instrText>
          </w:r>
          <w:r>
            <w:fldChar w:fldCharType="separate"/>
          </w:r>
          <w:r w:rsidR="00A01B3C" w:rsidRPr="00A01B3C">
            <w:rPr>
              <w:noProof/>
              <w:lang w:val="en-US"/>
            </w:rPr>
            <w:t>[9]</w:t>
          </w:r>
          <w:r>
            <w:fldChar w:fldCharType="end"/>
          </w:r>
        </w:sdtContent>
      </w:sdt>
      <w:r>
        <w:t>]</w:t>
      </w:r>
    </w:p>
    <w:p w:rsidR="00CC4AA1" w:rsidRDefault="00CC4AA1" w:rsidP="00CC4AA1">
      <w:pPr>
        <w:pStyle w:val="Heading3"/>
      </w:pPr>
      <w:r>
        <w:t>3.2.</w:t>
      </w:r>
      <w:r w:rsidR="00CB0D21">
        <w:t>4</w:t>
      </w:r>
      <w:r>
        <w:t xml:space="preserve"> HE-STF</w:t>
      </w:r>
    </w:p>
    <w:p w:rsidR="00CC4AA1" w:rsidRPr="00CC4AA1" w:rsidRDefault="00CC4AA1" w:rsidP="00CC4AA1">
      <w:r w:rsidRPr="00CC4AA1">
        <w:t>HE-STF of a non-trigger-based PPDU has a perio</w:t>
      </w:r>
      <w:r>
        <w:t>dicity of 0.8 µs with 5 periods.</w:t>
      </w:r>
    </w:p>
    <w:p w:rsidR="00CC4AA1" w:rsidRDefault="00CC4AA1" w:rsidP="00CC4AA1">
      <w:pPr>
        <w:pStyle w:val="ListParagraph"/>
        <w:numPr>
          <w:ilvl w:val="0"/>
          <w:numId w:val="14"/>
        </w:numPr>
      </w:pPr>
      <w:r w:rsidRPr="00CC4AA1">
        <w:t>A non-trigger-based PPDU is not sent in response to a trigger frame</w:t>
      </w:r>
    </w:p>
    <w:p w:rsidR="00CC4AA1" w:rsidRDefault="00CC4AA1" w:rsidP="00CC4AA1">
      <w:r>
        <w:t>[PHY Motion #11, May 2015</w:t>
      </w:r>
      <w:r w:rsidR="00560867">
        <w:t xml:space="preserve">, see </w:t>
      </w:r>
      <w:sdt>
        <w:sdtPr>
          <w:id w:val="-592089878"/>
          <w:citation/>
        </w:sdtPr>
        <w:sdtContent>
          <w:r w:rsidR="00560867">
            <w:fldChar w:fldCharType="begin"/>
          </w:r>
          <w:r w:rsidR="000D180D">
            <w:rPr>
              <w:lang w:val="en-US"/>
            </w:rPr>
            <w:instrText xml:space="preserve">CITATION 15_0381r1 \l 1033 </w:instrText>
          </w:r>
          <w:r w:rsidR="00560867">
            <w:fldChar w:fldCharType="separate"/>
          </w:r>
          <w:r w:rsidR="00A01B3C" w:rsidRPr="00A01B3C">
            <w:rPr>
              <w:noProof/>
              <w:lang w:val="en-US"/>
            </w:rPr>
            <w:t>[10]</w:t>
          </w:r>
          <w:r w:rsidR="00560867">
            <w:fldChar w:fldCharType="end"/>
          </w:r>
        </w:sdtContent>
      </w:sdt>
      <w:r>
        <w:t>]</w:t>
      </w:r>
    </w:p>
    <w:p w:rsidR="00CC4AA1" w:rsidRDefault="00CC4AA1" w:rsidP="00CC4AA1"/>
    <w:p w:rsidR="00CC4AA1" w:rsidRPr="00CC4AA1" w:rsidRDefault="00CC4AA1" w:rsidP="00CC4AA1">
      <w:proofErr w:type="gramStart"/>
      <w:r>
        <w:t>T</w:t>
      </w:r>
      <w:r w:rsidRPr="00CC4AA1">
        <w:t>he HE</w:t>
      </w:r>
      <w:proofErr w:type="gramEnd"/>
      <w:r w:rsidRPr="00CC4AA1">
        <w:t>-STF of a trigger-based PPDU has a period</w:t>
      </w:r>
      <w:r>
        <w:t>icity of 1.6 µs with 5 periods.</w:t>
      </w:r>
    </w:p>
    <w:p w:rsidR="00CC4AA1" w:rsidRDefault="00CC4AA1" w:rsidP="00CC4AA1">
      <w:pPr>
        <w:pStyle w:val="ListParagraph"/>
        <w:numPr>
          <w:ilvl w:val="0"/>
          <w:numId w:val="14"/>
        </w:numPr>
      </w:pPr>
      <w:r w:rsidRPr="00CC4AA1">
        <w:t>A trigger-based PPDU is an UL PPDU sent in response to a trigger frame</w:t>
      </w:r>
    </w:p>
    <w:p w:rsidR="00CC4AA1" w:rsidRDefault="00CC4AA1" w:rsidP="00CC4AA1">
      <w:r>
        <w:t>[PHY Motion #12, May 2015</w:t>
      </w:r>
      <w:r w:rsidR="00560867">
        <w:t xml:space="preserve">, see </w:t>
      </w:r>
      <w:sdt>
        <w:sdtPr>
          <w:id w:val="1302723184"/>
          <w:citation/>
        </w:sdtPr>
        <w:sdtContent>
          <w:r w:rsidR="00560867">
            <w:fldChar w:fldCharType="begin"/>
          </w:r>
          <w:r w:rsidR="000D180D">
            <w:rPr>
              <w:lang w:val="en-US"/>
            </w:rPr>
            <w:instrText xml:space="preserve">CITATION 15_0381r1 \l 1033 </w:instrText>
          </w:r>
          <w:r w:rsidR="00560867">
            <w:fldChar w:fldCharType="separate"/>
          </w:r>
          <w:r w:rsidR="00A01B3C" w:rsidRPr="00A01B3C">
            <w:rPr>
              <w:noProof/>
              <w:lang w:val="en-US"/>
            </w:rPr>
            <w:t>[10]</w:t>
          </w:r>
          <w:r w:rsidR="00560867">
            <w:fldChar w:fldCharType="end"/>
          </w:r>
        </w:sdtContent>
      </w:sdt>
      <w:r>
        <w:t>]</w:t>
      </w:r>
    </w:p>
    <w:p w:rsidR="00CC4AA1" w:rsidRDefault="00CC4AA1" w:rsidP="00CC4AA1"/>
    <w:p w:rsidR="00CC4AA1" w:rsidRDefault="00CC4AA1" w:rsidP="00CC4AA1">
      <w:r w:rsidRPr="00CC4AA1">
        <w:t xml:space="preserve">The HE-STF tone positions are defined in Equation 1 where </w:t>
      </w:r>
      <w:proofErr w:type="spellStart"/>
      <w:r w:rsidRPr="00CC4AA1">
        <w:rPr>
          <w:i/>
        </w:rPr>
        <w:t>N</w:t>
      </w:r>
      <w:r w:rsidRPr="00CC4AA1">
        <w:rPr>
          <w:i/>
          <w:vertAlign w:val="subscript"/>
        </w:rPr>
        <w:t>STF_sample</w:t>
      </w:r>
      <w:proofErr w:type="spellEnd"/>
      <w:r w:rsidRPr="00CC4AA1">
        <w:t xml:space="preserve"> = 16 for a non-trigger-based PPDU and </w:t>
      </w:r>
      <w:proofErr w:type="spellStart"/>
      <w:r w:rsidRPr="00CC4AA1">
        <w:rPr>
          <w:i/>
        </w:rPr>
        <w:t>N</w:t>
      </w:r>
      <w:r w:rsidRPr="00CC4AA1">
        <w:rPr>
          <w:i/>
          <w:vertAlign w:val="subscript"/>
        </w:rPr>
        <w:t>STF_sample</w:t>
      </w:r>
      <w:proofErr w:type="spellEnd"/>
      <w:r w:rsidRPr="00CC4AA1">
        <w:t xml:space="preserve"> = 8 for a trigger-based PPDU</w:t>
      </w:r>
    </w:p>
    <w:p w:rsidR="00CC4AA1" w:rsidRDefault="00CB0D21" w:rsidP="00CC4AA1">
      <w:pPr>
        <w:ind w:left="720"/>
      </w:pPr>
      <w:r w:rsidRPr="00CC4AA1">
        <w:rPr>
          <w:sz w:val="20"/>
        </w:rPr>
        <w:object w:dxaOrig="8978" w:dyaOrig="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5pt;height:68.85pt" o:ole="">
            <v:imagedata r:id="rId10" o:title=""/>
          </v:shape>
          <o:OLEObject Type="Embed" ProgID="Unknown" ShapeID="_x0000_i1025" DrawAspect="Content" ObjectID="_1498908147" r:id="rId11"/>
        </w:object>
      </w:r>
    </w:p>
    <w:p w:rsidR="00CC4AA1" w:rsidRDefault="00CC4AA1" w:rsidP="00CC4AA1">
      <w:r>
        <w:t>[PHY Motion #13, May 2015</w:t>
      </w:r>
      <w:r w:rsidR="00560867">
        <w:t xml:space="preserve">, see </w:t>
      </w:r>
      <w:sdt>
        <w:sdtPr>
          <w:id w:val="-59640997"/>
          <w:citation/>
        </w:sdtPr>
        <w:sdtContent>
          <w:r w:rsidR="00560867">
            <w:fldChar w:fldCharType="begin"/>
          </w:r>
          <w:r w:rsidR="000D180D">
            <w:rPr>
              <w:lang w:val="en-US"/>
            </w:rPr>
            <w:instrText xml:space="preserve">CITATION 15_0381r1 \l 1033 </w:instrText>
          </w:r>
          <w:r w:rsidR="00560867">
            <w:fldChar w:fldCharType="separate"/>
          </w:r>
          <w:r w:rsidR="00A01B3C" w:rsidRPr="00A01B3C">
            <w:rPr>
              <w:noProof/>
              <w:lang w:val="en-US"/>
            </w:rPr>
            <w:t>[10]</w:t>
          </w:r>
          <w:r w:rsidR="00560867">
            <w:fldChar w:fldCharType="end"/>
          </w:r>
        </w:sdtContent>
      </w:sdt>
      <w:r>
        <w:t>]</w:t>
      </w:r>
    </w:p>
    <w:p w:rsidR="00CB0D21" w:rsidRDefault="00CB0D21" w:rsidP="00CB0D21">
      <w:pPr>
        <w:pStyle w:val="Heading3"/>
      </w:pPr>
      <w:r>
        <w:t>3.2.5 HE-LTF</w:t>
      </w:r>
    </w:p>
    <w:p w:rsidR="00CB0D21" w:rsidRDefault="00CB0D21" w:rsidP="00CB0D21">
      <w:proofErr w:type="gramStart"/>
      <w:r>
        <w:t>The HE</w:t>
      </w:r>
      <w:proofErr w:type="gramEnd"/>
      <w:r>
        <w:t>-LTF shall adopt a structure of using P matrix in the data tones as in 11ac. In the data tones, every space-time stream is spread over all HE-LTF symbols by one row of the P matrix as defined in 11ac. Different space-time streams use different rows in P matrix. [PHY Motion #5, March 2015</w:t>
      </w:r>
      <w:r w:rsidR="00560867">
        <w:t xml:space="preserve">, see </w:t>
      </w:r>
      <w:sdt>
        <w:sdtPr>
          <w:id w:val="1467170581"/>
          <w:citation/>
        </w:sdtPr>
        <w:sdtContent>
          <w:r w:rsidR="00560867">
            <w:fldChar w:fldCharType="begin"/>
          </w:r>
          <w:r w:rsidR="000D180D">
            <w:rPr>
              <w:lang w:val="en-US"/>
            </w:rPr>
            <w:instrText xml:space="preserve">CITATION 15_0349r2 \l 1033 </w:instrText>
          </w:r>
          <w:r w:rsidR="00560867">
            <w:fldChar w:fldCharType="separate"/>
          </w:r>
          <w:r w:rsidR="00A01B3C" w:rsidRPr="00A01B3C">
            <w:rPr>
              <w:noProof/>
              <w:lang w:val="en-US"/>
            </w:rPr>
            <w:t>[11]</w:t>
          </w:r>
          <w:r w:rsidR="00560867">
            <w:fldChar w:fldCharType="end"/>
          </w:r>
        </w:sdtContent>
      </w:sdt>
      <w:r>
        <w:t>]</w:t>
      </w:r>
    </w:p>
    <w:p w:rsidR="00CB0D21" w:rsidRDefault="00CB0D21" w:rsidP="00CB0D21"/>
    <w:p w:rsidR="00CB0D21" w:rsidRDefault="00CB0D21" w:rsidP="00CB0D21">
      <w:r>
        <w:t>The HE PPDU shall support the following LTF modes:</w:t>
      </w:r>
    </w:p>
    <w:p w:rsidR="00CB0D21" w:rsidRDefault="00CB0D21" w:rsidP="00CB0D21">
      <w:pPr>
        <w:pStyle w:val="ListParagraph"/>
        <w:numPr>
          <w:ilvl w:val="0"/>
          <w:numId w:val="7"/>
        </w:numPr>
      </w:pPr>
      <w:r>
        <w:t>HE-LTF symbol duration of 6.4 µs excluding GI</w:t>
      </w:r>
    </w:p>
    <w:p w:rsidR="00CB0D21" w:rsidRDefault="00CB0D21" w:rsidP="00CB0D21">
      <w:pPr>
        <w:pStyle w:val="ListParagraph"/>
        <w:numPr>
          <w:ilvl w:val="1"/>
          <w:numId w:val="7"/>
        </w:numPr>
      </w:pPr>
      <w:r>
        <w:t>Equivalent to modulating every other tone in an OFDM symbol of 12.8 µs excluding GI, and then removing the second half of the OFDM symbol in time domain</w:t>
      </w:r>
    </w:p>
    <w:p w:rsidR="00CB0D21" w:rsidRDefault="00CB0D21" w:rsidP="00CB0D21">
      <w:pPr>
        <w:pStyle w:val="ListParagraph"/>
        <w:numPr>
          <w:ilvl w:val="0"/>
          <w:numId w:val="7"/>
        </w:numPr>
      </w:pPr>
      <w:r>
        <w:t>HE-LTF symbol duration of 12.8 µs excluding GI</w:t>
      </w:r>
    </w:p>
    <w:p w:rsidR="00CB0D21" w:rsidRDefault="00CB0D21" w:rsidP="00CB0D21">
      <w:r>
        <w:t>[PHY Motion #6, March 2015</w:t>
      </w:r>
      <w:r w:rsidR="00560867">
        <w:t xml:space="preserve">, see </w:t>
      </w:r>
      <w:sdt>
        <w:sdtPr>
          <w:id w:val="2008636096"/>
          <w:citation/>
        </w:sdtPr>
        <w:sdtContent>
          <w:r w:rsidR="00560867">
            <w:fldChar w:fldCharType="begin"/>
          </w:r>
          <w:r w:rsidR="000D180D">
            <w:rPr>
              <w:lang w:val="en-US"/>
            </w:rPr>
            <w:instrText xml:space="preserve">CITATION 15_0349r2 \l 1033 </w:instrText>
          </w:r>
          <w:r w:rsidR="00560867">
            <w:fldChar w:fldCharType="separate"/>
          </w:r>
          <w:r w:rsidR="00A01B3C" w:rsidRPr="00A01B3C">
            <w:rPr>
              <w:noProof/>
              <w:lang w:val="en-US"/>
            </w:rPr>
            <w:t>[11]</w:t>
          </w:r>
          <w:r w:rsidR="00560867">
            <w:fldChar w:fldCharType="end"/>
          </w:r>
        </w:sdtContent>
      </w:sdt>
      <w:r>
        <w:t>]</w:t>
      </w:r>
    </w:p>
    <w:p w:rsidR="00CB0D21" w:rsidRDefault="00CB0D21" w:rsidP="00CB0D21"/>
    <w:p w:rsidR="00CB0D21" w:rsidRDefault="00CB0D21" w:rsidP="00CB0D21">
      <w:r w:rsidRPr="00C04D06">
        <w:t xml:space="preserve">In </w:t>
      </w:r>
      <w:r>
        <w:t>an HE PPDU</w:t>
      </w:r>
      <w:r w:rsidRPr="00C04D06">
        <w:t>, the HE-LTF section shall start at the same point of time and end at the same point of time across all users</w:t>
      </w:r>
      <w:r>
        <w:t>. [PHY Motion #7, March 2015</w:t>
      </w:r>
      <w:r w:rsidR="00560867">
        <w:t xml:space="preserve">, see </w:t>
      </w:r>
      <w:sdt>
        <w:sdtPr>
          <w:id w:val="172388379"/>
          <w:citation/>
        </w:sdtPr>
        <w:sdtContent>
          <w:r w:rsidR="00560867">
            <w:fldChar w:fldCharType="begin"/>
          </w:r>
          <w:r w:rsidR="000D180D">
            <w:rPr>
              <w:lang w:val="en-US"/>
            </w:rPr>
            <w:instrText xml:space="preserve">CITATION 15_0349r2 \l 1033 </w:instrText>
          </w:r>
          <w:r w:rsidR="00560867">
            <w:fldChar w:fldCharType="separate"/>
          </w:r>
          <w:r w:rsidR="00A01B3C" w:rsidRPr="00A01B3C">
            <w:rPr>
              <w:noProof/>
              <w:lang w:val="en-US"/>
            </w:rPr>
            <w:t>[11]</w:t>
          </w:r>
          <w:r w:rsidR="00560867">
            <w:fldChar w:fldCharType="end"/>
          </w:r>
        </w:sdtContent>
      </w:sdt>
      <w:r>
        <w:t>]</w:t>
      </w:r>
    </w:p>
    <w:p w:rsidR="00FB7E34" w:rsidRDefault="00FB7E34" w:rsidP="00CB0D21"/>
    <w:p w:rsidR="00FB7E34" w:rsidRDefault="00FB7E34" w:rsidP="00CB0D21">
      <w:r>
        <w:t>In an OFDMA PPDU</w:t>
      </w:r>
      <w:r w:rsidRPr="00FB7E34">
        <w:t xml:space="preserve"> using </w:t>
      </w:r>
      <w:r w:rsidRPr="00FB7E34">
        <w:rPr>
          <w:i/>
        </w:rPr>
        <w:t>N</w:t>
      </w:r>
      <w:r w:rsidRPr="00FB7E34">
        <w:t xml:space="preserve"> HE-LTF symbols, an RU with </w:t>
      </w:r>
      <w:proofErr w:type="spellStart"/>
      <w:r w:rsidRPr="00FB7E34">
        <w:rPr>
          <w:i/>
        </w:rPr>
        <w:t>N</w:t>
      </w:r>
      <w:r w:rsidRPr="00FB7E34">
        <w:rPr>
          <w:i/>
          <w:vertAlign w:val="subscript"/>
        </w:rPr>
        <w:t>sts</w:t>
      </w:r>
      <w:proofErr w:type="gramStart"/>
      <w:r w:rsidRPr="00FB7E34">
        <w:rPr>
          <w:i/>
          <w:vertAlign w:val="subscript"/>
        </w:rPr>
        <w:t>,total</w:t>
      </w:r>
      <w:proofErr w:type="spellEnd"/>
      <w:proofErr w:type="gramEnd"/>
      <w:r w:rsidRPr="00FB7E34">
        <w:t xml:space="preserve"> shall use the first </w:t>
      </w:r>
      <w:proofErr w:type="spellStart"/>
      <w:r w:rsidRPr="00FB7E34">
        <w:rPr>
          <w:i/>
        </w:rPr>
        <w:t>N</w:t>
      </w:r>
      <w:r w:rsidRPr="00FB7E34">
        <w:rPr>
          <w:i/>
          <w:vertAlign w:val="subscript"/>
        </w:rPr>
        <w:t>sts,total</w:t>
      </w:r>
      <w:proofErr w:type="spellEnd"/>
      <w:r w:rsidRPr="00FB7E34">
        <w:t xml:space="preserve"> rows of the </w:t>
      </w:r>
      <w:r w:rsidRPr="00FB7E34">
        <w:rPr>
          <w:i/>
        </w:rPr>
        <w:t>N × N</w:t>
      </w:r>
      <w:r w:rsidRPr="00FB7E34">
        <w:t xml:space="preserve">  P matrix</w:t>
      </w:r>
      <w:r>
        <w:t xml:space="preserve">. [PHY Motion 29, July 16, 2015, see </w:t>
      </w:r>
      <w:sdt>
        <w:sdtPr>
          <w:id w:val="21832828"/>
          <w:citation/>
        </w:sdtPr>
        <w:sdtContent>
          <w:r>
            <w:fldChar w:fldCharType="begin"/>
          </w:r>
          <w:r w:rsidR="000D180D">
            <w:rPr>
              <w:lang w:val="en-US"/>
            </w:rPr>
            <w:instrText xml:space="preserve">CITATION 15_0817r0 \l 1033 </w:instrText>
          </w:r>
          <w:r>
            <w:fldChar w:fldCharType="separate"/>
          </w:r>
          <w:r w:rsidR="00A01B3C" w:rsidRPr="00A01B3C">
            <w:rPr>
              <w:noProof/>
              <w:lang w:val="en-US"/>
            </w:rPr>
            <w:t>[12]</w:t>
          </w:r>
          <w:r>
            <w:fldChar w:fldCharType="end"/>
          </w:r>
        </w:sdtContent>
      </w:sdt>
      <w:r>
        <w:t>]</w:t>
      </w:r>
    </w:p>
    <w:p w:rsidR="00CB0D21" w:rsidRDefault="00CB0D21" w:rsidP="00CB0D21"/>
    <w:p w:rsidR="00277A9A" w:rsidRPr="00CB0D21" w:rsidRDefault="00277A9A" w:rsidP="00CB0D21">
      <w:r w:rsidRPr="00277A9A">
        <w:t>Single stream pilot (like 11ac) i</w:t>
      </w:r>
      <w:r>
        <w:t xml:space="preserve">n HE-LTF shall be used for SU, </w:t>
      </w:r>
      <w:r w:rsidRPr="00277A9A">
        <w:t>DL and UL OFDMA as well as in DL MU-MIMO transmissions</w:t>
      </w:r>
      <w:r>
        <w:t xml:space="preserve">. [PHY Motion 26, July 16, 2015, see </w:t>
      </w:r>
      <w:sdt>
        <w:sdtPr>
          <w:id w:val="-454568871"/>
          <w:citation/>
        </w:sdtPr>
        <w:sdtContent>
          <w:r>
            <w:fldChar w:fldCharType="begin"/>
          </w:r>
          <w:r w:rsidR="000D180D">
            <w:rPr>
              <w:lang w:val="en-US"/>
            </w:rPr>
            <w:instrText xml:space="preserve">CITATION 15_0819r1 \l 1033 </w:instrText>
          </w:r>
          <w:r>
            <w:fldChar w:fldCharType="separate"/>
          </w:r>
          <w:r w:rsidR="00A01B3C" w:rsidRPr="00A01B3C">
            <w:rPr>
              <w:noProof/>
              <w:lang w:val="en-US"/>
            </w:rPr>
            <w:t>[13]</w:t>
          </w:r>
          <w:r>
            <w:fldChar w:fldCharType="end"/>
          </w:r>
        </w:sdtContent>
      </w:sdt>
      <w:r>
        <w:t>]</w:t>
      </w:r>
    </w:p>
    <w:p w:rsidR="006960A7" w:rsidRDefault="00E01E2C" w:rsidP="006960A7">
      <w:pPr>
        <w:pStyle w:val="Heading2"/>
      </w:pPr>
      <w:r>
        <w:t>3.3</w:t>
      </w:r>
      <w:r w:rsidR="006960A7">
        <w:t xml:space="preserve"> HE Data field</w:t>
      </w:r>
    </w:p>
    <w:p w:rsidR="00A422E3" w:rsidRPr="00A422E3" w:rsidRDefault="00A422E3" w:rsidP="00A422E3">
      <w:pPr>
        <w:pStyle w:val="Heading3"/>
      </w:pPr>
      <w:r>
        <w:t>3.3.1 General</w:t>
      </w:r>
    </w:p>
    <w:p w:rsidR="009F37A9" w:rsidRDefault="009F37A9" w:rsidP="00B63C2F">
      <w:r>
        <w:t>The D</w:t>
      </w:r>
      <w:r w:rsidRPr="009F37A9">
        <w:t xml:space="preserve">ata field in UL </w:t>
      </w:r>
      <w:r>
        <w:t>MU</w:t>
      </w:r>
      <w:r w:rsidRPr="009F37A9">
        <w:t xml:space="preserve"> transmissions shall immediately follow the HE-LTF section</w:t>
      </w:r>
      <w:r>
        <w:t>.</w:t>
      </w:r>
    </w:p>
    <w:p w:rsidR="009F37A9" w:rsidRDefault="009F37A9" w:rsidP="00B63C2F">
      <w:r>
        <w:t xml:space="preserve">[PHY Motion 17, July 16, 2015, see </w:t>
      </w:r>
      <w:sdt>
        <w:sdtPr>
          <w:id w:val="1997686170"/>
          <w:citation/>
        </w:sdtPr>
        <w:sdtContent>
          <w:r>
            <w:fldChar w:fldCharType="begin"/>
          </w:r>
          <w:r w:rsidR="000D180D">
            <w:rPr>
              <w:lang w:val="en-US"/>
            </w:rPr>
            <w:instrText xml:space="preserve">CITATION 15_0822r2 \l 1033 </w:instrText>
          </w:r>
          <w:r>
            <w:fldChar w:fldCharType="separate"/>
          </w:r>
          <w:r w:rsidR="00A01B3C" w:rsidRPr="00A01B3C">
            <w:rPr>
              <w:noProof/>
              <w:lang w:val="en-US"/>
            </w:rPr>
            <w:t>[5]</w:t>
          </w:r>
          <w:r>
            <w:fldChar w:fldCharType="end"/>
          </w:r>
        </w:sdtContent>
      </w:sdt>
      <w:r>
        <w:t>]</w:t>
      </w:r>
    </w:p>
    <w:p w:rsidR="009F37A9" w:rsidRDefault="009F37A9" w:rsidP="00B63C2F"/>
    <w:p w:rsidR="006960A7" w:rsidRDefault="006960A7" w:rsidP="00B63C2F">
      <w:r w:rsidRPr="006960A7">
        <w:t>Data s</w:t>
      </w:r>
      <w:r>
        <w:t xml:space="preserve">ymbols in an HE PPDU shall use a </w:t>
      </w:r>
      <w:r w:rsidRPr="006960A7">
        <w:t>DFT period of 12.</w:t>
      </w:r>
      <w:r>
        <w:t xml:space="preserve">8 µs and subcarrier spacing of </w:t>
      </w:r>
      <w:r w:rsidRPr="006960A7">
        <w:t>78.125 kHz.</w:t>
      </w:r>
      <w:r>
        <w:t xml:space="preserve"> [PHY Motion #1, January 2015</w:t>
      </w:r>
      <w:r w:rsidR="00560867">
        <w:t xml:space="preserve">, see </w:t>
      </w:r>
      <w:sdt>
        <w:sdtPr>
          <w:id w:val="-573425366"/>
          <w:citation/>
        </w:sdtPr>
        <w:sdtContent>
          <w:r w:rsidR="00560867">
            <w:fldChar w:fldCharType="begin"/>
          </w:r>
          <w:r w:rsidR="000D180D">
            <w:rPr>
              <w:lang w:val="en-US"/>
            </w:rPr>
            <w:instrText xml:space="preserve">CITATION 15_0099r4 \l 1033 </w:instrText>
          </w:r>
          <w:r w:rsidR="00560867">
            <w:fldChar w:fldCharType="separate"/>
          </w:r>
          <w:r w:rsidR="00A01B3C" w:rsidRPr="00A01B3C">
            <w:rPr>
              <w:noProof/>
              <w:lang w:val="en-US"/>
            </w:rPr>
            <w:t>[14]</w:t>
          </w:r>
          <w:r w:rsidR="00560867">
            <w:fldChar w:fldCharType="end"/>
          </w:r>
        </w:sdtContent>
      </w:sdt>
      <w:r>
        <w:t>]</w:t>
      </w:r>
    </w:p>
    <w:p w:rsidR="006960A7" w:rsidRDefault="006960A7" w:rsidP="00B63C2F"/>
    <w:p w:rsidR="006960A7" w:rsidRDefault="006960A7" w:rsidP="00B63C2F">
      <w:r w:rsidRPr="006960A7">
        <w:lastRenderedPageBreak/>
        <w:t>Da</w:t>
      </w:r>
      <w:r>
        <w:t xml:space="preserve">ta symbols in an HE PPDU shall </w:t>
      </w:r>
      <w:r w:rsidRPr="006960A7">
        <w:t>support guard interv</w:t>
      </w:r>
      <w:r>
        <w:t xml:space="preserve">al durations of 0.8 µs, 1.6 µs </w:t>
      </w:r>
      <w:r w:rsidRPr="006960A7">
        <w:t xml:space="preserve">and 3.2 </w:t>
      </w:r>
      <w:r>
        <w:t>µs</w:t>
      </w:r>
      <w:r w:rsidRPr="006960A7">
        <w:t>.</w:t>
      </w:r>
      <w:r>
        <w:t xml:space="preserve"> [PHY Motion #2, January 2015</w:t>
      </w:r>
      <w:r w:rsidR="00560867">
        <w:t xml:space="preserve">, see </w:t>
      </w:r>
      <w:sdt>
        <w:sdtPr>
          <w:id w:val="-1277715613"/>
          <w:citation/>
        </w:sdtPr>
        <w:sdtContent>
          <w:r w:rsidR="00560867">
            <w:fldChar w:fldCharType="begin"/>
          </w:r>
          <w:r w:rsidR="000D180D">
            <w:rPr>
              <w:lang w:val="en-US"/>
            </w:rPr>
            <w:instrText xml:space="preserve">CITATION 15_0099r4 \l 1033 </w:instrText>
          </w:r>
          <w:r w:rsidR="00560867">
            <w:fldChar w:fldCharType="separate"/>
          </w:r>
          <w:r w:rsidR="00A01B3C" w:rsidRPr="00A01B3C">
            <w:rPr>
              <w:noProof/>
              <w:lang w:val="en-US"/>
            </w:rPr>
            <w:t>[14]</w:t>
          </w:r>
          <w:r w:rsidR="00560867">
            <w:fldChar w:fldCharType="end"/>
          </w:r>
        </w:sdtContent>
      </w:sdt>
      <w:r>
        <w:t>]</w:t>
      </w:r>
    </w:p>
    <w:p w:rsidR="000A6729" w:rsidRDefault="000A6729" w:rsidP="00B63C2F"/>
    <w:p w:rsidR="000A6729" w:rsidRPr="000A6729" w:rsidRDefault="000A6729" w:rsidP="000A6729">
      <w:r>
        <w:t>HE</w:t>
      </w:r>
      <w:r w:rsidRPr="000A6729">
        <w:t xml:space="preserve"> PPDUs shall have single stream pilots in the data section</w:t>
      </w:r>
    </w:p>
    <w:p w:rsidR="000A6729" w:rsidRDefault="000A6729" w:rsidP="000A6729">
      <w:pPr>
        <w:pStyle w:val="ListParagraph"/>
        <w:numPr>
          <w:ilvl w:val="0"/>
          <w:numId w:val="17"/>
        </w:numPr>
      </w:pPr>
      <w:r w:rsidRPr="000A6729">
        <w:t>All streams use the same pilot sequence even in UL MU-MIMO</w:t>
      </w:r>
    </w:p>
    <w:p w:rsidR="000A6729" w:rsidRDefault="000A6729" w:rsidP="000A6729">
      <w:r>
        <w:t xml:space="preserve">[PHY Motion 24, July 16, 2015, see </w:t>
      </w:r>
      <w:sdt>
        <w:sdtPr>
          <w:id w:val="1945420956"/>
          <w:citation/>
        </w:sdtPr>
        <w:sdtContent>
          <w:r>
            <w:fldChar w:fldCharType="begin"/>
          </w:r>
          <w:r w:rsidR="000D180D">
            <w:rPr>
              <w:lang w:val="en-US"/>
            </w:rPr>
            <w:instrText xml:space="preserve">CITATION 15_0812r1 \l 1033 </w:instrText>
          </w:r>
          <w:r>
            <w:fldChar w:fldCharType="separate"/>
          </w:r>
          <w:r w:rsidR="00A01B3C" w:rsidRPr="00A01B3C">
            <w:rPr>
              <w:noProof/>
              <w:lang w:val="en-US"/>
            </w:rPr>
            <w:t>[15]</w:t>
          </w:r>
          <w:r>
            <w:fldChar w:fldCharType="end"/>
          </w:r>
        </w:sdtContent>
      </w:sdt>
      <w:r>
        <w:t>]</w:t>
      </w:r>
    </w:p>
    <w:p w:rsidR="00441EEC" w:rsidRDefault="00441EEC" w:rsidP="00441EEC">
      <w:pPr>
        <w:pStyle w:val="Heading3"/>
      </w:pPr>
      <w:r>
        <w:t>3.3.2 Tone plan</w:t>
      </w:r>
    </w:p>
    <w:p w:rsidR="00277A9A" w:rsidRDefault="00277A9A" w:rsidP="00277A9A">
      <w:pPr>
        <w:pStyle w:val="Heading3"/>
      </w:pPr>
      <w:r>
        <w:t xml:space="preserve">3.3.2.1 </w:t>
      </w:r>
      <w:r w:rsidR="004A66D0">
        <w:t>Resource unit</w:t>
      </w:r>
      <w:r>
        <w:t>, edge and DC</w:t>
      </w:r>
      <w:r w:rsidR="004A66D0">
        <w:t xml:space="preserve"> tones</w:t>
      </w:r>
    </w:p>
    <w:p w:rsidR="009B7B8C" w:rsidRDefault="009B7B8C" w:rsidP="009B7B8C">
      <w:r>
        <w:t>Define 20</w:t>
      </w:r>
      <w:r w:rsidR="00CC4AA1">
        <w:t xml:space="preserve"> </w:t>
      </w:r>
      <w:r w:rsidR="00A303C6">
        <w:t xml:space="preserve">MHz OFDMA building blocks as </w:t>
      </w:r>
      <w:r>
        <w:t>follows</w:t>
      </w:r>
      <w:r w:rsidR="00A303C6">
        <w:t>:</w:t>
      </w:r>
    </w:p>
    <w:p w:rsidR="009B7B8C" w:rsidRDefault="009B7B8C" w:rsidP="009B7B8C">
      <w:pPr>
        <w:pStyle w:val="ListParagraph"/>
        <w:numPr>
          <w:ilvl w:val="0"/>
          <w:numId w:val="10"/>
        </w:numPr>
      </w:pPr>
      <w:r>
        <w:t xml:space="preserve">26-tone with 2 pilots, 52-tone with 4 pilot and 106-tone with 4 pilots and with 7 DC Nulls and (6,5) guard tones, and at locations shown in </w:t>
      </w:r>
      <w:r w:rsidR="00277A9A">
        <w:fldChar w:fldCharType="begin"/>
      </w:r>
      <w:r w:rsidR="00277A9A">
        <w:instrText xml:space="preserve"> REF _Ref425153484 \h </w:instrText>
      </w:r>
      <w:r w:rsidR="00277A9A">
        <w:fldChar w:fldCharType="separate"/>
      </w:r>
      <w:r w:rsidR="00A01B3C">
        <w:t xml:space="preserve">Figure </w:t>
      </w:r>
      <w:r w:rsidR="00A01B3C">
        <w:rPr>
          <w:noProof/>
        </w:rPr>
        <w:t>2</w:t>
      </w:r>
      <w:r w:rsidR="00277A9A">
        <w:fldChar w:fldCharType="end"/>
      </w:r>
    </w:p>
    <w:p w:rsidR="009B7B8C" w:rsidRDefault="009B7B8C" w:rsidP="009B7B8C">
      <w:pPr>
        <w:pStyle w:val="ListParagraph"/>
        <w:numPr>
          <w:ilvl w:val="0"/>
          <w:numId w:val="10"/>
        </w:numPr>
      </w:pPr>
      <w:r>
        <w:t>An OFDMA PPDU can carry a mix of different tone unit sizes within each 242 tone unit boundary</w:t>
      </w:r>
    </w:p>
    <w:p w:rsidR="009B7B8C" w:rsidRPr="00277A9A" w:rsidRDefault="009B7B8C" w:rsidP="009B7B8C">
      <w:pPr>
        <w:pStyle w:val="ListParagraph"/>
        <w:numPr>
          <w:ilvl w:val="0"/>
          <w:numId w:val="10"/>
        </w:numPr>
        <w:rPr>
          <w:strike/>
        </w:rPr>
      </w:pPr>
      <w:r w:rsidRPr="00277A9A">
        <w:rPr>
          <w:strike/>
        </w:rPr>
        <w:t>The following is TBD: Exact location of extra leftover tones</w:t>
      </w:r>
      <w:r w:rsidR="00277A9A" w:rsidRPr="00277A9A">
        <w:rPr>
          <w:i/>
        </w:rPr>
        <w:t xml:space="preserve"> [Ed: </w:t>
      </w:r>
      <w:r w:rsidR="00A01B3C">
        <w:rPr>
          <w:i/>
        </w:rPr>
        <w:t xml:space="preserve">deleted, </w:t>
      </w:r>
      <w:r w:rsidR="00277A9A" w:rsidRPr="00277A9A">
        <w:rPr>
          <w:i/>
        </w:rPr>
        <w:t xml:space="preserve">see </w:t>
      </w:r>
      <w:r w:rsidR="00A303C6">
        <w:rPr>
          <w:i/>
        </w:rPr>
        <w:t>3.3.2.2</w:t>
      </w:r>
      <w:r w:rsidR="00277A9A" w:rsidRPr="00277A9A">
        <w:rPr>
          <w:i/>
        </w:rPr>
        <w:t>]</w:t>
      </w:r>
    </w:p>
    <w:p w:rsidR="009B7B8C" w:rsidRDefault="009B7B8C" w:rsidP="009B7B8C"/>
    <w:p w:rsidR="00277A9A" w:rsidRDefault="009B7B8C" w:rsidP="00277A9A">
      <w:pPr>
        <w:keepNext/>
        <w:jc w:val="center"/>
      </w:pPr>
      <w:r>
        <w:rPr>
          <w:noProof/>
          <w:lang w:val="en-US"/>
        </w:rPr>
        <w:drawing>
          <wp:inline distT="0" distB="0" distL="0" distR="0" wp14:anchorId="4EA99B0D" wp14:editId="5BAE1FAE">
            <wp:extent cx="3665551" cy="23667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5691" cy="2373270"/>
                    </a:xfrm>
                    <a:prstGeom prst="rect">
                      <a:avLst/>
                    </a:prstGeom>
                    <a:noFill/>
                  </pic:spPr>
                </pic:pic>
              </a:graphicData>
            </a:graphic>
          </wp:inline>
        </w:drawing>
      </w:r>
    </w:p>
    <w:p w:rsidR="009B7B8C" w:rsidRDefault="00277A9A" w:rsidP="00277A9A">
      <w:pPr>
        <w:pStyle w:val="Caption"/>
        <w:jc w:val="center"/>
      </w:pPr>
      <w:bookmarkStart w:id="3" w:name="_Ref425153484"/>
      <w:r>
        <w:t xml:space="preserve">Figure </w:t>
      </w:r>
      <w:r>
        <w:fldChar w:fldCharType="begin"/>
      </w:r>
      <w:r>
        <w:instrText xml:space="preserve"> SEQ Figure \* ARABIC </w:instrText>
      </w:r>
      <w:r>
        <w:fldChar w:fldCharType="separate"/>
      </w:r>
      <w:r w:rsidR="00A01B3C">
        <w:rPr>
          <w:noProof/>
        </w:rPr>
        <w:t>2</w:t>
      </w:r>
      <w:r>
        <w:fldChar w:fldCharType="end"/>
      </w:r>
      <w:bookmarkEnd w:id="3"/>
      <w:r>
        <w:t xml:space="preserve"> – 20 MHz tone plan</w:t>
      </w:r>
    </w:p>
    <w:p w:rsidR="009B7B8C" w:rsidRDefault="009B7B8C" w:rsidP="009B7B8C">
      <w:r>
        <w:t>Define 40</w:t>
      </w:r>
      <w:r w:rsidR="00CC4AA1">
        <w:t xml:space="preserve"> </w:t>
      </w:r>
      <w:r>
        <w:t>MHz OFDMA building blocks as follows</w:t>
      </w:r>
    </w:p>
    <w:p w:rsidR="009B7B8C" w:rsidRDefault="009B7B8C" w:rsidP="009B7B8C">
      <w:pPr>
        <w:pStyle w:val="ListParagraph"/>
        <w:numPr>
          <w:ilvl w:val="0"/>
          <w:numId w:val="11"/>
        </w:numPr>
      </w:pPr>
      <w:r>
        <w:t xml:space="preserve">26-tone with 2 pilots, 52-tone with 4 pilots, 106-tone with 4 pilots and 242-tone with 8 pilots and with 5 DC Nulls and (12,11) guard tones, and at locations shown in </w:t>
      </w:r>
      <w:r w:rsidR="00A303C6">
        <w:fldChar w:fldCharType="begin"/>
      </w:r>
      <w:r w:rsidR="00A303C6">
        <w:instrText xml:space="preserve"> REF _Ref425165849 \h </w:instrText>
      </w:r>
      <w:r w:rsidR="00A303C6">
        <w:fldChar w:fldCharType="separate"/>
      </w:r>
      <w:r w:rsidR="00A01B3C">
        <w:t xml:space="preserve">Figure </w:t>
      </w:r>
      <w:r w:rsidR="00A01B3C">
        <w:rPr>
          <w:noProof/>
        </w:rPr>
        <w:t>3</w:t>
      </w:r>
      <w:r w:rsidR="00A303C6">
        <w:fldChar w:fldCharType="end"/>
      </w:r>
    </w:p>
    <w:p w:rsidR="009B7B8C" w:rsidRPr="00277A9A" w:rsidRDefault="009B7B8C" w:rsidP="00C07427">
      <w:pPr>
        <w:pStyle w:val="ListParagraph"/>
        <w:numPr>
          <w:ilvl w:val="0"/>
          <w:numId w:val="11"/>
        </w:numPr>
        <w:rPr>
          <w:strike/>
        </w:rPr>
      </w:pPr>
      <w:r w:rsidRPr="00277A9A">
        <w:rPr>
          <w:strike/>
        </w:rPr>
        <w:t>The following is TBD: exact location of extra leftover tones</w:t>
      </w:r>
      <w:r w:rsidR="00277A9A" w:rsidRPr="00277A9A">
        <w:t xml:space="preserve"> </w:t>
      </w:r>
      <w:r w:rsidR="00277A9A" w:rsidRPr="00277A9A">
        <w:rPr>
          <w:i/>
        </w:rPr>
        <w:t xml:space="preserve">[Ed: </w:t>
      </w:r>
      <w:r w:rsidR="00A01B3C">
        <w:rPr>
          <w:i/>
        </w:rPr>
        <w:t xml:space="preserve">deleted, </w:t>
      </w:r>
      <w:r w:rsidR="00277A9A" w:rsidRPr="00277A9A">
        <w:rPr>
          <w:i/>
        </w:rPr>
        <w:t xml:space="preserve">see </w:t>
      </w:r>
      <w:r w:rsidR="00A303C6">
        <w:rPr>
          <w:i/>
        </w:rPr>
        <w:t>3.3.2.2</w:t>
      </w:r>
      <w:r w:rsidR="00277A9A" w:rsidRPr="00277A9A">
        <w:rPr>
          <w:i/>
        </w:rPr>
        <w:t>]</w:t>
      </w:r>
    </w:p>
    <w:p w:rsidR="00A303C6" w:rsidRDefault="009B7B8C" w:rsidP="00A303C6">
      <w:pPr>
        <w:keepNext/>
      </w:pPr>
      <w:r>
        <w:rPr>
          <w:noProof/>
          <w:lang w:val="en-US"/>
        </w:rPr>
        <w:lastRenderedPageBreak/>
        <w:drawing>
          <wp:inline distT="0" distB="0" distL="0" distR="0" wp14:anchorId="5EE9BDCA" wp14:editId="4822DCD4">
            <wp:extent cx="6278314" cy="31242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0505" cy="3130267"/>
                    </a:xfrm>
                    <a:prstGeom prst="rect">
                      <a:avLst/>
                    </a:prstGeom>
                    <a:noFill/>
                  </pic:spPr>
                </pic:pic>
              </a:graphicData>
            </a:graphic>
          </wp:inline>
        </w:drawing>
      </w:r>
    </w:p>
    <w:p w:rsidR="009B7B8C" w:rsidRDefault="00A303C6" w:rsidP="00A303C6">
      <w:pPr>
        <w:pStyle w:val="Caption"/>
        <w:jc w:val="center"/>
      </w:pPr>
      <w:bookmarkStart w:id="4" w:name="_Ref425165849"/>
      <w:r>
        <w:t xml:space="preserve">Figure </w:t>
      </w:r>
      <w:r>
        <w:fldChar w:fldCharType="begin"/>
      </w:r>
      <w:r>
        <w:instrText xml:space="preserve"> SEQ Figure \* ARABIC </w:instrText>
      </w:r>
      <w:r>
        <w:fldChar w:fldCharType="separate"/>
      </w:r>
      <w:r w:rsidR="00A01B3C">
        <w:rPr>
          <w:noProof/>
        </w:rPr>
        <w:t>3</w:t>
      </w:r>
      <w:r>
        <w:fldChar w:fldCharType="end"/>
      </w:r>
      <w:bookmarkEnd w:id="4"/>
      <w:r>
        <w:t xml:space="preserve"> – 40 MHz tone plan</w:t>
      </w:r>
    </w:p>
    <w:p w:rsidR="009B7B8C" w:rsidRPr="009B7B8C" w:rsidRDefault="009B7B8C" w:rsidP="009B7B8C">
      <w:r>
        <w:t>D</w:t>
      </w:r>
      <w:r w:rsidRPr="009B7B8C">
        <w:t>efine 80</w:t>
      </w:r>
      <w:r w:rsidR="00CC4AA1">
        <w:t xml:space="preserve"> </w:t>
      </w:r>
      <w:r w:rsidRPr="009B7B8C">
        <w:t>MHz OFDMA building blocks as follows</w:t>
      </w:r>
      <w:r>
        <w:t>:</w:t>
      </w:r>
    </w:p>
    <w:p w:rsidR="009B7B8C" w:rsidRPr="009B7B8C" w:rsidRDefault="009B7B8C" w:rsidP="009B7B8C">
      <w:pPr>
        <w:pStyle w:val="ListParagraph"/>
        <w:numPr>
          <w:ilvl w:val="0"/>
          <w:numId w:val="12"/>
        </w:numPr>
      </w:pPr>
      <w:r w:rsidRPr="009B7B8C">
        <w:t>26-tone with 2 pilots, 52-tone with 4 pilots, 106-tone with 4 pilots, 242-tone with 8 pilo</w:t>
      </w:r>
      <w:r>
        <w:t xml:space="preserve">ts and  484-tone with 16 pilots </w:t>
      </w:r>
      <w:r w:rsidRPr="009B7B8C">
        <w:t xml:space="preserve"> and with 7 DC Nulls and (12,11) guard tones, and at loca</w:t>
      </w:r>
      <w:r w:rsidR="00A303C6">
        <w:t xml:space="preserve">tions shown in </w:t>
      </w:r>
      <w:r w:rsidR="00A303C6">
        <w:fldChar w:fldCharType="begin"/>
      </w:r>
      <w:r w:rsidR="00A303C6">
        <w:instrText xml:space="preserve"> REF _Ref425165836 \h </w:instrText>
      </w:r>
      <w:r w:rsidR="00A303C6">
        <w:fldChar w:fldCharType="separate"/>
      </w:r>
      <w:r w:rsidR="00A01B3C">
        <w:t xml:space="preserve">Figure </w:t>
      </w:r>
      <w:r w:rsidR="00A01B3C">
        <w:rPr>
          <w:noProof/>
        </w:rPr>
        <w:t>4</w:t>
      </w:r>
      <w:r w:rsidR="00A303C6">
        <w:fldChar w:fldCharType="end"/>
      </w:r>
    </w:p>
    <w:p w:rsidR="009B7B8C" w:rsidRPr="00277A9A" w:rsidRDefault="009B7B8C" w:rsidP="009B7B8C">
      <w:pPr>
        <w:pStyle w:val="ListParagraph"/>
        <w:numPr>
          <w:ilvl w:val="0"/>
          <w:numId w:val="12"/>
        </w:numPr>
        <w:rPr>
          <w:strike/>
        </w:rPr>
      </w:pPr>
      <w:r w:rsidRPr="00277A9A">
        <w:rPr>
          <w:strike/>
        </w:rPr>
        <w:t>The following is TBD: exact location of extra leftover tones</w:t>
      </w:r>
      <w:r w:rsidR="00277A9A">
        <w:rPr>
          <w:strike/>
        </w:rPr>
        <w:t xml:space="preserve"> </w:t>
      </w:r>
      <w:r w:rsidR="00277A9A" w:rsidRPr="00277A9A">
        <w:rPr>
          <w:i/>
        </w:rPr>
        <w:t xml:space="preserve">[Ed: </w:t>
      </w:r>
      <w:r w:rsidR="00A01B3C">
        <w:rPr>
          <w:i/>
        </w:rPr>
        <w:t xml:space="preserve">deleted, </w:t>
      </w:r>
      <w:r w:rsidR="00277A9A" w:rsidRPr="00277A9A">
        <w:rPr>
          <w:i/>
        </w:rPr>
        <w:t xml:space="preserve">see </w:t>
      </w:r>
      <w:r w:rsidR="00A303C6">
        <w:rPr>
          <w:i/>
        </w:rPr>
        <w:t>3.3.2.2</w:t>
      </w:r>
      <w:r w:rsidR="00277A9A" w:rsidRPr="00277A9A">
        <w:rPr>
          <w:i/>
        </w:rPr>
        <w:t>]</w:t>
      </w:r>
    </w:p>
    <w:p w:rsidR="00A303C6" w:rsidRDefault="009B7B8C" w:rsidP="00A303C6">
      <w:pPr>
        <w:keepNext/>
      </w:pPr>
      <w:r>
        <w:rPr>
          <w:noProof/>
          <w:lang w:val="en-US"/>
        </w:rPr>
        <w:drawing>
          <wp:inline distT="0" distB="0" distL="0" distR="0" wp14:anchorId="04BD6472" wp14:editId="70C321AF">
            <wp:extent cx="5969635" cy="260879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5146" cy="2615574"/>
                    </a:xfrm>
                    <a:prstGeom prst="rect">
                      <a:avLst/>
                    </a:prstGeom>
                    <a:noFill/>
                  </pic:spPr>
                </pic:pic>
              </a:graphicData>
            </a:graphic>
          </wp:inline>
        </w:drawing>
      </w:r>
    </w:p>
    <w:p w:rsidR="009B7B8C" w:rsidRDefault="00A303C6" w:rsidP="00A303C6">
      <w:pPr>
        <w:pStyle w:val="Caption"/>
        <w:jc w:val="center"/>
      </w:pPr>
      <w:bookmarkStart w:id="5" w:name="_Ref425165836"/>
      <w:r>
        <w:t xml:space="preserve">Figure </w:t>
      </w:r>
      <w:r>
        <w:fldChar w:fldCharType="begin"/>
      </w:r>
      <w:r>
        <w:instrText xml:space="preserve"> SEQ Figure \* ARABIC </w:instrText>
      </w:r>
      <w:r>
        <w:fldChar w:fldCharType="separate"/>
      </w:r>
      <w:r w:rsidR="00A01B3C">
        <w:rPr>
          <w:noProof/>
        </w:rPr>
        <w:t>4</w:t>
      </w:r>
      <w:r>
        <w:fldChar w:fldCharType="end"/>
      </w:r>
      <w:bookmarkEnd w:id="5"/>
      <w:r>
        <w:t xml:space="preserve"> - 80 MHz tone plan</w:t>
      </w:r>
    </w:p>
    <w:p w:rsidR="00CC4AA1" w:rsidRPr="00CC4AA1" w:rsidRDefault="00CC4AA1" w:rsidP="00CC4AA1">
      <w:r>
        <w:t>D</w:t>
      </w:r>
      <w:r w:rsidRPr="00CC4AA1">
        <w:t>efine 160</w:t>
      </w:r>
      <w:r>
        <w:t xml:space="preserve"> </w:t>
      </w:r>
      <w:r w:rsidRPr="00CC4AA1">
        <w:t>MHz/80</w:t>
      </w:r>
      <w:r>
        <w:t xml:space="preserve"> </w:t>
      </w:r>
      <w:r w:rsidRPr="00CC4AA1">
        <w:t>MHz+80</w:t>
      </w:r>
      <w:r>
        <w:t xml:space="preserve"> </w:t>
      </w:r>
      <w:r w:rsidRPr="00CC4AA1">
        <w:t>MHz OFDMA building blocks as follows</w:t>
      </w:r>
      <w:r>
        <w:t>:</w:t>
      </w:r>
    </w:p>
    <w:p w:rsidR="00CC4AA1" w:rsidRPr="00CC4AA1" w:rsidRDefault="00CC4AA1" w:rsidP="00CC4AA1">
      <w:pPr>
        <w:pStyle w:val="ListParagraph"/>
        <w:numPr>
          <w:ilvl w:val="0"/>
          <w:numId w:val="13"/>
        </w:numPr>
      </w:pPr>
      <w:r w:rsidRPr="00CC4AA1">
        <w:t xml:space="preserve">26-tone with 2 pilots </w:t>
      </w:r>
    </w:p>
    <w:p w:rsidR="00CC4AA1" w:rsidRPr="00CC4AA1" w:rsidRDefault="00CC4AA1" w:rsidP="00CC4AA1">
      <w:pPr>
        <w:pStyle w:val="ListParagraph"/>
        <w:numPr>
          <w:ilvl w:val="0"/>
          <w:numId w:val="13"/>
        </w:numPr>
      </w:pPr>
      <w:r w:rsidRPr="00CC4AA1">
        <w:t>52-tone with 4 pilots</w:t>
      </w:r>
    </w:p>
    <w:p w:rsidR="00CC4AA1" w:rsidRPr="00CC4AA1" w:rsidRDefault="00CC4AA1" w:rsidP="00CC4AA1">
      <w:pPr>
        <w:pStyle w:val="ListParagraph"/>
        <w:numPr>
          <w:ilvl w:val="0"/>
          <w:numId w:val="13"/>
        </w:numPr>
      </w:pPr>
      <w:r w:rsidRPr="00CC4AA1">
        <w:t>106-tone with 4 pilots</w:t>
      </w:r>
    </w:p>
    <w:p w:rsidR="00CC4AA1" w:rsidRPr="00CC4AA1" w:rsidRDefault="00CC4AA1" w:rsidP="00CC4AA1">
      <w:pPr>
        <w:pStyle w:val="ListParagraph"/>
        <w:numPr>
          <w:ilvl w:val="0"/>
          <w:numId w:val="13"/>
        </w:numPr>
      </w:pPr>
      <w:r w:rsidRPr="00CC4AA1">
        <w:t>242-tone with 8 pilots</w:t>
      </w:r>
    </w:p>
    <w:p w:rsidR="00CC4AA1" w:rsidRPr="00CC4AA1" w:rsidRDefault="00CC4AA1" w:rsidP="00CC4AA1">
      <w:pPr>
        <w:pStyle w:val="ListParagraph"/>
        <w:numPr>
          <w:ilvl w:val="0"/>
          <w:numId w:val="13"/>
        </w:numPr>
      </w:pPr>
      <w:r w:rsidRPr="00CC4AA1">
        <w:t>484-tone with 16 pilots</w:t>
      </w:r>
    </w:p>
    <w:p w:rsidR="00CC4AA1" w:rsidRDefault="00CC4AA1" w:rsidP="00CC4AA1">
      <w:pPr>
        <w:pStyle w:val="ListParagraph"/>
        <w:numPr>
          <w:ilvl w:val="0"/>
          <w:numId w:val="13"/>
        </w:numPr>
      </w:pPr>
      <w:r w:rsidRPr="00CC4AA1">
        <w:t>996-tone with 16 pilots (note that 996-tone is defined for 80</w:t>
      </w:r>
      <w:r w:rsidR="004A66D0">
        <w:t xml:space="preserve"> </w:t>
      </w:r>
      <w:r w:rsidRPr="00CC4AA1">
        <w:t>MHz HE-SA-PPDU or 80</w:t>
      </w:r>
      <w:r w:rsidR="004A66D0">
        <w:t xml:space="preserve"> </w:t>
      </w:r>
      <w:r w:rsidRPr="00CC4AA1">
        <w:t>MHz HE-SA-MU-PPDU)</w:t>
      </w:r>
    </w:p>
    <w:p w:rsidR="009B7B8C" w:rsidRDefault="00CC4AA1" w:rsidP="00CC4AA1">
      <w:pPr>
        <w:pStyle w:val="ListParagraph"/>
        <w:numPr>
          <w:ilvl w:val="0"/>
          <w:numId w:val="13"/>
        </w:numPr>
      </w:pPr>
      <w:r w:rsidRPr="00CC4AA1">
        <w:t>The following is TBD:</w:t>
      </w:r>
      <w:r>
        <w:t xml:space="preserve"> e</w:t>
      </w:r>
      <w:r w:rsidRPr="00CC4AA1">
        <w:t>xact location of extra leftover tones</w:t>
      </w:r>
    </w:p>
    <w:p w:rsidR="00CC4AA1" w:rsidRDefault="00CC4AA1" w:rsidP="00CC4AA1">
      <w:r>
        <w:lastRenderedPageBreak/>
        <w:t>[PHY Motion #10, May 2015</w:t>
      </w:r>
      <w:r w:rsidR="00560867">
        <w:t xml:space="preserve">, see </w:t>
      </w:r>
      <w:sdt>
        <w:sdtPr>
          <w:id w:val="1609854581"/>
          <w:citation/>
        </w:sdtPr>
        <w:sdtContent>
          <w:r w:rsidR="00560867">
            <w:fldChar w:fldCharType="begin"/>
          </w:r>
          <w:r w:rsidR="000D180D">
            <w:rPr>
              <w:lang w:val="en-US"/>
            </w:rPr>
            <w:instrText xml:space="preserve">CITATION 15_0330r5 \l 1033 </w:instrText>
          </w:r>
          <w:r w:rsidR="00560867">
            <w:fldChar w:fldCharType="separate"/>
          </w:r>
          <w:r w:rsidR="00A01B3C" w:rsidRPr="00A01B3C">
            <w:rPr>
              <w:noProof/>
              <w:lang w:val="en-US"/>
            </w:rPr>
            <w:t>[16]</w:t>
          </w:r>
          <w:r w:rsidR="00560867">
            <w:fldChar w:fldCharType="end"/>
          </w:r>
        </w:sdtContent>
      </w:sdt>
      <w:r>
        <w:t>]</w:t>
      </w:r>
    </w:p>
    <w:p w:rsidR="00CC4AA1" w:rsidRDefault="00CC4AA1" w:rsidP="00CC4AA1"/>
    <w:p w:rsidR="00277A9A" w:rsidRDefault="00277A9A" w:rsidP="00277A9A">
      <w:pPr>
        <w:pStyle w:val="Heading3"/>
      </w:pPr>
      <w:r>
        <w:t>3.3.2.2 Left over tones</w:t>
      </w:r>
    </w:p>
    <w:p w:rsidR="00C07427" w:rsidRPr="00C07427" w:rsidRDefault="00C07427" w:rsidP="00C07427">
      <w:r>
        <w:t>The left over tone</w:t>
      </w:r>
      <w:r w:rsidRPr="00C07427">
        <w:t xml:space="preserve"> location</w:t>
      </w:r>
      <w:r>
        <w:t>s</w:t>
      </w:r>
      <w:r w:rsidRPr="00C07427">
        <w:t xml:space="preserve"> for </w:t>
      </w:r>
      <w:r>
        <w:t xml:space="preserve">the 20 MHz, </w:t>
      </w:r>
      <w:r w:rsidRPr="00C07427">
        <w:t>40</w:t>
      </w:r>
      <w:r>
        <w:t xml:space="preserve"> MHz and </w:t>
      </w:r>
      <w:r w:rsidRPr="00C07427">
        <w:t>80 MHz tone plan</w:t>
      </w:r>
      <w:r>
        <w:t>s</w:t>
      </w:r>
      <w:r w:rsidRPr="00C07427">
        <w:t xml:space="preserve"> are shown in </w:t>
      </w:r>
      <w:r>
        <w:fldChar w:fldCharType="begin"/>
      </w:r>
      <w:r>
        <w:instrText xml:space="preserve"> REF _Ref425152786 \h </w:instrText>
      </w:r>
      <w:r>
        <w:fldChar w:fldCharType="separate"/>
      </w:r>
      <w:r w:rsidR="00A01B3C">
        <w:t xml:space="preserve">Figure </w:t>
      </w:r>
      <w:r w:rsidR="00A01B3C">
        <w:rPr>
          <w:noProof/>
        </w:rPr>
        <w:t>5</w:t>
      </w:r>
      <w:r>
        <w:fldChar w:fldCharType="end"/>
      </w:r>
      <w:r>
        <w:t xml:space="preserve">, </w:t>
      </w:r>
      <w:r>
        <w:fldChar w:fldCharType="begin"/>
      </w:r>
      <w:r>
        <w:instrText xml:space="preserve"> REF _Ref425152797 \h </w:instrText>
      </w:r>
      <w:r>
        <w:fldChar w:fldCharType="separate"/>
      </w:r>
      <w:r w:rsidR="00A01B3C">
        <w:t xml:space="preserve">Figure </w:t>
      </w:r>
      <w:r w:rsidR="00A01B3C">
        <w:rPr>
          <w:noProof/>
        </w:rPr>
        <w:t>6</w:t>
      </w:r>
      <w:r>
        <w:fldChar w:fldCharType="end"/>
      </w:r>
      <w:r>
        <w:t xml:space="preserve"> and </w:t>
      </w:r>
      <w:r>
        <w:fldChar w:fldCharType="begin"/>
      </w:r>
      <w:r>
        <w:instrText xml:space="preserve"> REF _Ref425152805 \h </w:instrText>
      </w:r>
      <w:r>
        <w:fldChar w:fldCharType="separate"/>
      </w:r>
      <w:r w:rsidR="00A01B3C">
        <w:t xml:space="preserve">Figure </w:t>
      </w:r>
      <w:r w:rsidR="00A01B3C">
        <w:rPr>
          <w:noProof/>
        </w:rPr>
        <w:t>7</w:t>
      </w:r>
      <w:r>
        <w:fldChar w:fldCharType="end"/>
      </w:r>
      <w:r>
        <w:t xml:space="preserve"> respectively.</w:t>
      </w:r>
    </w:p>
    <w:p w:rsidR="000A6729" w:rsidRPr="00C07427" w:rsidRDefault="00C07427" w:rsidP="00C07427">
      <w:pPr>
        <w:rPr>
          <w:sz w:val="20"/>
        </w:rPr>
      </w:pPr>
      <w:r w:rsidRPr="00C07427">
        <w:rPr>
          <w:sz w:val="20"/>
        </w:rPr>
        <w:t>NOTE</w:t>
      </w:r>
      <w:r>
        <w:rPr>
          <w:sz w:val="20"/>
        </w:rPr>
        <w:t>—</w:t>
      </w:r>
      <w:r w:rsidRPr="00C07427">
        <w:rPr>
          <w:sz w:val="20"/>
        </w:rPr>
        <w:t>Left</w:t>
      </w:r>
      <w:r>
        <w:rPr>
          <w:sz w:val="20"/>
        </w:rPr>
        <w:t xml:space="preserve"> </w:t>
      </w:r>
      <w:r w:rsidRPr="00C07427">
        <w:rPr>
          <w:sz w:val="20"/>
        </w:rPr>
        <w:t>over tones have zero energy</w:t>
      </w:r>
    </w:p>
    <w:p w:rsidR="00C07427" w:rsidRDefault="00C07427" w:rsidP="00C07427">
      <w:r>
        <w:t xml:space="preserve">[PHY Motion 25, July 16, 2015, see </w:t>
      </w:r>
      <w:sdt>
        <w:sdtPr>
          <w:id w:val="358708384"/>
          <w:citation/>
        </w:sdtPr>
        <w:sdtContent>
          <w:r>
            <w:fldChar w:fldCharType="begin"/>
          </w:r>
          <w:r w:rsidR="000D180D">
            <w:rPr>
              <w:lang w:val="en-US"/>
            </w:rPr>
            <w:instrText xml:space="preserve">CITATION 15_0819r1 \l 1033 </w:instrText>
          </w:r>
          <w:r>
            <w:fldChar w:fldCharType="separate"/>
          </w:r>
          <w:r w:rsidR="00A01B3C" w:rsidRPr="00A01B3C">
            <w:rPr>
              <w:noProof/>
              <w:lang w:val="en-US"/>
            </w:rPr>
            <w:t>[13]</w:t>
          </w:r>
          <w:r>
            <w:fldChar w:fldCharType="end"/>
          </w:r>
        </w:sdtContent>
      </w:sdt>
      <w:r>
        <w:t>]</w:t>
      </w:r>
    </w:p>
    <w:p w:rsidR="00C07427" w:rsidRDefault="00C07427" w:rsidP="00C07427"/>
    <w:p w:rsidR="00C07427" w:rsidRDefault="00C07427" w:rsidP="00C07427">
      <w:pPr>
        <w:keepNext/>
        <w:jc w:val="center"/>
      </w:pPr>
      <w:r>
        <w:rPr>
          <w:noProof/>
          <w:lang w:val="en-US"/>
        </w:rPr>
        <w:drawing>
          <wp:inline distT="0" distB="0" distL="0" distR="0" wp14:anchorId="6C85DCEF" wp14:editId="66799E61">
            <wp:extent cx="3785870" cy="1420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5870" cy="1420495"/>
                    </a:xfrm>
                    <a:prstGeom prst="rect">
                      <a:avLst/>
                    </a:prstGeom>
                    <a:noFill/>
                  </pic:spPr>
                </pic:pic>
              </a:graphicData>
            </a:graphic>
          </wp:inline>
        </w:drawing>
      </w:r>
    </w:p>
    <w:p w:rsidR="00C07427" w:rsidRDefault="00C07427" w:rsidP="00C07427">
      <w:pPr>
        <w:pStyle w:val="Caption"/>
        <w:jc w:val="center"/>
      </w:pPr>
      <w:bookmarkStart w:id="6" w:name="_Ref425152786"/>
      <w:r>
        <w:t xml:space="preserve">Figure </w:t>
      </w:r>
      <w:r>
        <w:fldChar w:fldCharType="begin"/>
      </w:r>
      <w:r>
        <w:instrText xml:space="preserve"> SEQ Figure \* ARABIC </w:instrText>
      </w:r>
      <w:r>
        <w:fldChar w:fldCharType="separate"/>
      </w:r>
      <w:r w:rsidR="00A01B3C">
        <w:rPr>
          <w:noProof/>
        </w:rPr>
        <w:t>5</w:t>
      </w:r>
      <w:r>
        <w:fldChar w:fldCharType="end"/>
      </w:r>
      <w:bookmarkEnd w:id="6"/>
      <w:r>
        <w:t xml:space="preserve"> – Left over tone locations for 20 MHz</w:t>
      </w:r>
    </w:p>
    <w:p w:rsidR="00C07427" w:rsidRDefault="00C07427" w:rsidP="00C07427">
      <w:pPr>
        <w:keepNext/>
        <w:jc w:val="center"/>
      </w:pPr>
      <w:r>
        <w:rPr>
          <w:noProof/>
          <w:lang w:val="en-US"/>
        </w:rPr>
        <w:drawing>
          <wp:inline distT="0" distB="0" distL="0" distR="0" wp14:anchorId="62BDDC42" wp14:editId="28B7B4D5">
            <wp:extent cx="6376670" cy="1170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6670" cy="1170305"/>
                    </a:xfrm>
                    <a:prstGeom prst="rect">
                      <a:avLst/>
                    </a:prstGeom>
                    <a:noFill/>
                  </pic:spPr>
                </pic:pic>
              </a:graphicData>
            </a:graphic>
          </wp:inline>
        </w:drawing>
      </w:r>
    </w:p>
    <w:p w:rsidR="00C07427" w:rsidRDefault="00C07427" w:rsidP="00C07427">
      <w:pPr>
        <w:pStyle w:val="Caption"/>
        <w:jc w:val="center"/>
      </w:pPr>
      <w:bookmarkStart w:id="7" w:name="_Ref425152797"/>
      <w:r>
        <w:t xml:space="preserve">Figure </w:t>
      </w:r>
      <w:r>
        <w:fldChar w:fldCharType="begin"/>
      </w:r>
      <w:r>
        <w:instrText xml:space="preserve"> SEQ Figure \* ARABIC </w:instrText>
      </w:r>
      <w:r>
        <w:fldChar w:fldCharType="separate"/>
      </w:r>
      <w:r w:rsidR="00A01B3C">
        <w:rPr>
          <w:noProof/>
        </w:rPr>
        <w:t>6</w:t>
      </w:r>
      <w:r>
        <w:fldChar w:fldCharType="end"/>
      </w:r>
      <w:bookmarkEnd w:id="7"/>
      <w:r>
        <w:t xml:space="preserve"> – Left over tone locations for 40 MHz</w:t>
      </w:r>
    </w:p>
    <w:p w:rsidR="00C07427" w:rsidRDefault="00C07427" w:rsidP="00C07427">
      <w:pPr>
        <w:keepNext/>
        <w:jc w:val="center"/>
      </w:pPr>
      <w:r>
        <w:rPr>
          <w:noProof/>
          <w:lang w:val="en-US"/>
        </w:rPr>
        <w:drawing>
          <wp:inline distT="0" distB="0" distL="0" distR="0" wp14:anchorId="2AA11597" wp14:editId="00C5FCE7">
            <wp:extent cx="6410712" cy="102826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6233" cy="1035567"/>
                    </a:xfrm>
                    <a:prstGeom prst="rect">
                      <a:avLst/>
                    </a:prstGeom>
                    <a:noFill/>
                  </pic:spPr>
                </pic:pic>
              </a:graphicData>
            </a:graphic>
          </wp:inline>
        </w:drawing>
      </w:r>
    </w:p>
    <w:p w:rsidR="00C07427" w:rsidRDefault="00C07427" w:rsidP="00C07427">
      <w:pPr>
        <w:pStyle w:val="Caption"/>
        <w:jc w:val="center"/>
      </w:pPr>
      <w:bookmarkStart w:id="8" w:name="_Ref425152805"/>
      <w:r>
        <w:t xml:space="preserve">Figure </w:t>
      </w:r>
      <w:r>
        <w:fldChar w:fldCharType="begin"/>
      </w:r>
      <w:r>
        <w:instrText xml:space="preserve"> SEQ Figure \* ARABIC </w:instrText>
      </w:r>
      <w:r>
        <w:fldChar w:fldCharType="separate"/>
      </w:r>
      <w:r w:rsidR="00A01B3C">
        <w:rPr>
          <w:noProof/>
        </w:rPr>
        <w:t>7</w:t>
      </w:r>
      <w:r>
        <w:fldChar w:fldCharType="end"/>
      </w:r>
      <w:bookmarkEnd w:id="8"/>
      <w:r>
        <w:t xml:space="preserve"> – Left over tone locations for 80 MHz</w:t>
      </w:r>
    </w:p>
    <w:p w:rsidR="00277A9A" w:rsidRDefault="00277A9A" w:rsidP="00277A9A">
      <w:pPr>
        <w:pStyle w:val="Heading3"/>
      </w:pPr>
      <w:r>
        <w:t xml:space="preserve">3.3.2.3 Pilot </w:t>
      </w:r>
      <w:r w:rsidR="004A66D0">
        <w:t>tones</w:t>
      </w:r>
    </w:p>
    <w:p w:rsidR="00277A9A" w:rsidRDefault="00D74F15" w:rsidP="00D74F15">
      <w:r w:rsidRPr="00D74F15">
        <w:t>All pilot tones in 4x data O</w:t>
      </w:r>
      <w:r>
        <w:t xml:space="preserve">FDMA symbol are at even indices. </w:t>
      </w:r>
      <w:r w:rsidRPr="00D74F15">
        <w:t>If pilots present in 4x HE-LTF, their tone indices shall be the same as those pilots in 4x data symbol</w:t>
      </w:r>
      <w:r>
        <w:t xml:space="preserve">. </w:t>
      </w:r>
      <w:r w:rsidRPr="00D74F15">
        <w:t>If pilots present in 2x HE-LTF, their tone indices shall be the same as the indices of those pilots in 4x data symbol divided by 2</w:t>
      </w:r>
      <w:r>
        <w:t xml:space="preserve">. [PHY Motion 27, July 16, 2015, see </w:t>
      </w:r>
      <w:sdt>
        <w:sdtPr>
          <w:id w:val="-1295751064"/>
          <w:citation/>
        </w:sdtPr>
        <w:sdtContent>
          <w:r>
            <w:fldChar w:fldCharType="begin"/>
          </w:r>
          <w:r w:rsidR="000D180D">
            <w:rPr>
              <w:lang w:val="en-US"/>
            </w:rPr>
            <w:instrText xml:space="preserve">CITATION 15_0819r1 \l 1033 </w:instrText>
          </w:r>
          <w:r>
            <w:fldChar w:fldCharType="separate"/>
          </w:r>
          <w:r w:rsidR="00A01B3C" w:rsidRPr="00A01B3C">
            <w:rPr>
              <w:noProof/>
              <w:lang w:val="en-US"/>
            </w:rPr>
            <w:t>[13]</w:t>
          </w:r>
          <w:r>
            <w:fldChar w:fldCharType="end"/>
          </w:r>
        </w:sdtContent>
      </w:sdt>
      <w:r>
        <w:t>]</w:t>
      </w:r>
    </w:p>
    <w:p w:rsidR="00D74F15" w:rsidRDefault="00D74F15" w:rsidP="00D74F15"/>
    <w:p w:rsidR="00D74F15" w:rsidRPr="00D74F15" w:rsidRDefault="00D74F15" w:rsidP="00D74F15">
      <w:r w:rsidRPr="00D74F15">
        <w:t xml:space="preserve">The pilot </w:t>
      </w:r>
      <w:r w:rsidR="004A66D0">
        <w:t xml:space="preserve">tone </w:t>
      </w:r>
      <w:r w:rsidRPr="00D74F15">
        <w:t>location</w:t>
      </w:r>
      <w:r w:rsidR="004A66D0">
        <w:t xml:space="preserve">s for 20 MHz, 40 MHz and </w:t>
      </w:r>
      <w:r w:rsidRPr="00D74F15">
        <w:t>80</w:t>
      </w:r>
      <w:r w:rsidR="004A66D0">
        <w:t xml:space="preserve"> </w:t>
      </w:r>
      <w:r w:rsidRPr="00D74F15">
        <w:t xml:space="preserve">MHz bandwidth are as shown in </w:t>
      </w:r>
      <w:r w:rsidR="00E5465F">
        <w:fldChar w:fldCharType="begin"/>
      </w:r>
      <w:r w:rsidR="00E5465F">
        <w:instrText xml:space="preserve"> REF _Ref425154587 \h </w:instrText>
      </w:r>
      <w:r w:rsidR="00E5465F">
        <w:fldChar w:fldCharType="separate"/>
      </w:r>
      <w:r w:rsidR="00A01B3C">
        <w:t xml:space="preserve">Figure </w:t>
      </w:r>
      <w:r w:rsidR="00A01B3C">
        <w:rPr>
          <w:noProof/>
        </w:rPr>
        <w:t>8</w:t>
      </w:r>
      <w:r w:rsidR="00E5465F">
        <w:fldChar w:fldCharType="end"/>
      </w:r>
      <w:r w:rsidR="00E5465F">
        <w:t xml:space="preserve">, </w:t>
      </w:r>
      <w:r w:rsidR="00E5465F">
        <w:fldChar w:fldCharType="begin"/>
      </w:r>
      <w:r w:rsidR="00E5465F">
        <w:instrText xml:space="preserve"> REF _Ref425154594 \h </w:instrText>
      </w:r>
      <w:r w:rsidR="00E5465F">
        <w:fldChar w:fldCharType="separate"/>
      </w:r>
      <w:r w:rsidR="00A01B3C">
        <w:t xml:space="preserve">Figure </w:t>
      </w:r>
      <w:r w:rsidR="00A01B3C">
        <w:rPr>
          <w:noProof/>
        </w:rPr>
        <w:t>9</w:t>
      </w:r>
      <w:r w:rsidR="00E5465F">
        <w:fldChar w:fldCharType="end"/>
      </w:r>
      <w:r w:rsidR="00E5465F">
        <w:t xml:space="preserve"> and </w:t>
      </w:r>
      <w:r w:rsidR="00E5465F">
        <w:fldChar w:fldCharType="begin"/>
      </w:r>
      <w:r w:rsidR="00E5465F">
        <w:instrText xml:space="preserve"> REF _Ref425154600 \h </w:instrText>
      </w:r>
      <w:r w:rsidR="00E5465F">
        <w:fldChar w:fldCharType="separate"/>
      </w:r>
      <w:r w:rsidR="00A01B3C">
        <w:t xml:space="preserve">Figure </w:t>
      </w:r>
      <w:r w:rsidR="00A01B3C">
        <w:rPr>
          <w:noProof/>
        </w:rPr>
        <w:t>10</w:t>
      </w:r>
      <w:r w:rsidR="00E5465F">
        <w:fldChar w:fldCharType="end"/>
      </w:r>
      <w:r w:rsidR="004A66D0">
        <w:t xml:space="preserve"> respectively</w:t>
      </w:r>
      <w:r w:rsidR="00E5465F">
        <w:t>.</w:t>
      </w:r>
      <w:r w:rsidRPr="00D74F15">
        <w:t xml:space="preserve">  </w:t>
      </w:r>
    </w:p>
    <w:p w:rsidR="00D74F15" w:rsidRPr="00D74F15" w:rsidRDefault="00D74F15" w:rsidP="00D74F15">
      <w:r>
        <w:t>Note—</w:t>
      </w:r>
      <w:r w:rsidRPr="00D74F15">
        <w:t>80</w:t>
      </w:r>
      <w:r>
        <w:t xml:space="preserve"> </w:t>
      </w:r>
      <w:r w:rsidRPr="00D74F15">
        <w:t>MHz pilot positions are enumerated below for reference</w:t>
      </w:r>
      <w:r w:rsidR="004A66D0">
        <w:t>:</w:t>
      </w:r>
    </w:p>
    <w:p w:rsidR="00D74F15" w:rsidRPr="00D74F15" w:rsidRDefault="00D74F15" w:rsidP="00D74F15">
      <w:pPr>
        <w:ind w:left="720"/>
      </w:pPr>
      <w:r w:rsidRPr="00D74F15">
        <w:t>RU-26 pilots: ±10, ±24, ±38, ±50, ±64, ±78, ±92, ±104, ±118, ±130, ±144, ±158, ±172, ±184, ±198, ±212, ±226, ±238, ±252, ±266, ±280, ±292, ±306, ±320, ± 334, ±346, ±360, ±372, ±386, ±400, ±414, ±426, ±440, ±454, ±468, ±480, ± 494</w:t>
      </w:r>
    </w:p>
    <w:p w:rsidR="00D74F15" w:rsidRPr="00D74F15" w:rsidRDefault="00D74F15" w:rsidP="00D74F15">
      <w:pPr>
        <w:ind w:left="720"/>
      </w:pPr>
      <w:r w:rsidRPr="00D74F15">
        <w:t>RU-106/242/484 pilots: ±24, ±50, ±92, ±118, ±158, ±184, ±226, ±252, ±266, ±292, ±334, ±360, ±400, ±426, ±468, ±494</w:t>
      </w:r>
    </w:p>
    <w:p w:rsidR="00D74F15" w:rsidRPr="00D74F15" w:rsidRDefault="00D74F15" w:rsidP="00D74F15">
      <w:pPr>
        <w:ind w:left="720"/>
      </w:pPr>
      <w:r w:rsidRPr="00D74F15">
        <w:t>RU-996 pilots: ±24, ±92, ±158, ±226, ±266, ±334, ±400, ±468</w:t>
      </w:r>
    </w:p>
    <w:p w:rsidR="00D74F15" w:rsidRDefault="00D74F15" w:rsidP="00D74F15">
      <w:r w:rsidRPr="00D74F15">
        <w:t>The pilot locations for 160</w:t>
      </w:r>
      <w:r>
        <w:t xml:space="preserve"> </w:t>
      </w:r>
      <w:r w:rsidRPr="00D74F15">
        <w:t xml:space="preserve">MHz or 80+80 </w:t>
      </w:r>
      <w:r>
        <w:t xml:space="preserve">MHz </w:t>
      </w:r>
      <w:r w:rsidRPr="00D74F15">
        <w:t>use the same structure as 80</w:t>
      </w:r>
      <w:r>
        <w:t xml:space="preserve"> </w:t>
      </w:r>
      <w:r w:rsidRPr="00D74F15">
        <w:t>MHz for each half of the BW</w:t>
      </w:r>
      <w:r w:rsidR="00E5465F">
        <w:t>.</w:t>
      </w:r>
    </w:p>
    <w:p w:rsidR="00D74F15" w:rsidRDefault="00D74F15" w:rsidP="00D74F15">
      <w:r>
        <w:lastRenderedPageBreak/>
        <w:t xml:space="preserve">[PHY Motion 28, July 16, 2015, see </w:t>
      </w:r>
      <w:sdt>
        <w:sdtPr>
          <w:id w:val="1080566460"/>
          <w:citation/>
        </w:sdtPr>
        <w:sdtContent>
          <w:r>
            <w:fldChar w:fldCharType="begin"/>
          </w:r>
          <w:r w:rsidR="000D180D">
            <w:rPr>
              <w:lang w:val="en-US"/>
            </w:rPr>
            <w:instrText xml:space="preserve">CITATION 15_0819r1 \l 1033 </w:instrText>
          </w:r>
          <w:r>
            <w:fldChar w:fldCharType="separate"/>
          </w:r>
          <w:r w:rsidR="00A01B3C" w:rsidRPr="00A01B3C">
            <w:rPr>
              <w:noProof/>
              <w:lang w:val="en-US"/>
            </w:rPr>
            <w:t>[13]</w:t>
          </w:r>
          <w:r>
            <w:fldChar w:fldCharType="end"/>
          </w:r>
        </w:sdtContent>
      </w:sdt>
      <w:r>
        <w:t>]</w:t>
      </w:r>
    </w:p>
    <w:p w:rsidR="00E5465F" w:rsidRDefault="00E5465F" w:rsidP="00E5465F">
      <w:pPr>
        <w:keepNext/>
        <w:jc w:val="center"/>
      </w:pPr>
      <w:r>
        <w:rPr>
          <w:noProof/>
          <w:lang w:val="en-US"/>
        </w:rPr>
        <w:drawing>
          <wp:inline distT="0" distB="0" distL="0" distR="0" wp14:anchorId="060D3B11" wp14:editId="449FB71E">
            <wp:extent cx="3505200" cy="14446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0" cy="1444625"/>
                    </a:xfrm>
                    <a:prstGeom prst="rect">
                      <a:avLst/>
                    </a:prstGeom>
                    <a:noFill/>
                  </pic:spPr>
                </pic:pic>
              </a:graphicData>
            </a:graphic>
          </wp:inline>
        </w:drawing>
      </w:r>
    </w:p>
    <w:p w:rsidR="00E5465F" w:rsidRDefault="00E5465F" w:rsidP="00E5465F">
      <w:pPr>
        <w:pStyle w:val="Caption"/>
        <w:jc w:val="center"/>
      </w:pPr>
      <w:bookmarkStart w:id="9" w:name="_Ref425154587"/>
      <w:r>
        <w:t xml:space="preserve">Figure </w:t>
      </w:r>
      <w:r>
        <w:fldChar w:fldCharType="begin"/>
      </w:r>
      <w:r>
        <w:instrText xml:space="preserve"> SEQ Figure \* ARABIC </w:instrText>
      </w:r>
      <w:r>
        <w:fldChar w:fldCharType="separate"/>
      </w:r>
      <w:r w:rsidR="00A01B3C">
        <w:rPr>
          <w:noProof/>
        </w:rPr>
        <w:t>8</w:t>
      </w:r>
      <w:r>
        <w:fldChar w:fldCharType="end"/>
      </w:r>
      <w:bookmarkEnd w:id="9"/>
      <w:r>
        <w:t xml:space="preserve"> – Pilot tone locations for 20 MHz</w:t>
      </w:r>
    </w:p>
    <w:p w:rsidR="00E5465F" w:rsidRDefault="00E5465F" w:rsidP="00E5465F">
      <w:pPr>
        <w:keepNext/>
        <w:jc w:val="center"/>
      </w:pPr>
      <w:r>
        <w:rPr>
          <w:noProof/>
          <w:lang w:val="en-US"/>
        </w:rPr>
        <w:drawing>
          <wp:inline distT="0" distB="0" distL="0" distR="0" wp14:anchorId="3E40DFBA" wp14:editId="59D3B6A3">
            <wp:extent cx="6236970" cy="1615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36970" cy="1615440"/>
                    </a:xfrm>
                    <a:prstGeom prst="rect">
                      <a:avLst/>
                    </a:prstGeom>
                    <a:noFill/>
                  </pic:spPr>
                </pic:pic>
              </a:graphicData>
            </a:graphic>
          </wp:inline>
        </w:drawing>
      </w:r>
    </w:p>
    <w:p w:rsidR="00E5465F" w:rsidRDefault="00E5465F" w:rsidP="00E5465F">
      <w:pPr>
        <w:pStyle w:val="Caption"/>
        <w:jc w:val="center"/>
      </w:pPr>
      <w:bookmarkStart w:id="10" w:name="_Ref425154594"/>
      <w:r>
        <w:t xml:space="preserve">Figure </w:t>
      </w:r>
      <w:r>
        <w:fldChar w:fldCharType="begin"/>
      </w:r>
      <w:r>
        <w:instrText xml:space="preserve"> SEQ Figure \* ARABIC </w:instrText>
      </w:r>
      <w:r>
        <w:fldChar w:fldCharType="separate"/>
      </w:r>
      <w:r w:rsidR="00A01B3C">
        <w:rPr>
          <w:noProof/>
        </w:rPr>
        <w:t>9</w:t>
      </w:r>
      <w:r>
        <w:fldChar w:fldCharType="end"/>
      </w:r>
      <w:bookmarkEnd w:id="10"/>
      <w:r>
        <w:t xml:space="preserve"> – Pilot tone locations for 40 MHz</w:t>
      </w:r>
    </w:p>
    <w:p w:rsidR="00E5465F" w:rsidRDefault="00E5465F" w:rsidP="00E5465F">
      <w:pPr>
        <w:keepNext/>
      </w:pPr>
      <w:r>
        <w:rPr>
          <w:noProof/>
          <w:lang w:val="en-US"/>
        </w:rPr>
        <w:drawing>
          <wp:inline distT="0" distB="0" distL="0" distR="0" wp14:anchorId="2A1283C7" wp14:editId="235626BC">
            <wp:extent cx="6816090" cy="13370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30006" cy="1339766"/>
                    </a:xfrm>
                    <a:prstGeom prst="rect">
                      <a:avLst/>
                    </a:prstGeom>
                    <a:noFill/>
                  </pic:spPr>
                </pic:pic>
              </a:graphicData>
            </a:graphic>
          </wp:inline>
        </w:drawing>
      </w:r>
    </w:p>
    <w:p w:rsidR="00E5465F" w:rsidRDefault="00E5465F" w:rsidP="00E5465F">
      <w:pPr>
        <w:pStyle w:val="Caption"/>
        <w:jc w:val="center"/>
      </w:pPr>
      <w:bookmarkStart w:id="11" w:name="_Ref425154600"/>
      <w:r>
        <w:t xml:space="preserve">Figure </w:t>
      </w:r>
      <w:r>
        <w:fldChar w:fldCharType="begin"/>
      </w:r>
      <w:r>
        <w:instrText xml:space="preserve"> SEQ Figure \* ARABIC </w:instrText>
      </w:r>
      <w:r>
        <w:fldChar w:fldCharType="separate"/>
      </w:r>
      <w:r w:rsidR="00A01B3C">
        <w:rPr>
          <w:noProof/>
        </w:rPr>
        <w:t>10</w:t>
      </w:r>
      <w:r>
        <w:fldChar w:fldCharType="end"/>
      </w:r>
      <w:bookmarkEnd w:id="11"/>
      <w:r>
        <w:t xml:space="preserve"> – Pilot tone locations for 80 MHz</w:t>
      </w:r>
    </w:p>
    <w:p w:rsidR="00BC6567" w:rsidRDefault="00BC6567" w:rsidP="00BC6567">
      <w:pPr>
        <w:pStyle w:val="Heading3"/>
      </w:pPr>
      <w:r>
        <w:t>3.3.3 Coding</w:t>
      </w:r>
    </w:p>
    <w:p w:rsidR="00BC6567" w:rsidRDefault="00BC6567" w:rsidP="00BC6567">
      <w:r w:rsidRPr="00BC6567">
        <w:t xml:space="preserve">LDPC is the only coding scheme in the </w:t>
      </w:r>
      <w:r>
        <w:t>HE PPDU</w:t>
      </w:r>
      <w:r w:rsidRPr="00BC6567">
        <w:t xml:space="preserve"> Data field for allocation sizes </w:t>
      </w:r>
      <w:r>
        <w:t xml:space="preserve">of </w:t>
      </w:r>
      <w:r w:rsidRPr="00BC6567">
        <w:t xml:space="preserve">996 </w:t>
      </w:r>
      <w:proofErr w:type="spellStart"/>
      <w:r w:rsidRPr="00BC6567">
        <w:t>tones</w:t>
      </w:r>
      <w:proofErr w:type="spellEnd"/>
      <w:r w:rsidRPr="00BC6567">
        <w:t xml:space="preserve"> and 996*2 tones.</w:t>
      </w:r>
      <w:r>
        <w:t xml:space="preserve"> [PHY Motion 30, July 16, 2015, see </w:t>
      </w:r>
      <w:sdt>
        <w:sdtPr>
          <w:id w:val="1996144166"/>
          <w:citation/>
        </w:sdtPr>
        <w:sdtContent>
          <w:r>
            <w:fldChar w:fldCharType="begin"/>
          </w:r>
          <w:r w:rsidR="000D180D">
            <w:rPr>
              <w:lang w:val="en-US"/>
            </w:rPr>
            <w:instrText xml:space="preserve">CITATION 15021 \l 1033 </w:instrText>
          </w:r>
          <w:r>
            <w:fldChar w:fldCharType="separate"/>
          </w:r>
          <w:r w:rsidR="00A01B3C" w:rsidRPr="00A01B3C">
            <w:rPr>
              <w:noProof/>
              <w:lang w:val="en-US"/>
            </w:rPr>
            <w:t>[17]</w:t>
          </w:r>
          <w:r>
            <w:fldChar w:fldCharType="end"/>
          </w:r>
        </w:sdtContent>
      </w:sdt>
      <w:r>
        <w:t>]</w:t>
      </w:r>
    </w:p>
    <w:p w:rsidR="00BC6567" w:rsidRDefault="00BC6567" w:rsidP="00BC6567"/>
    <w:p w:rsidR="00BC6567" w:rsidRDefault="00BC6567" w:rsidP="00BC6567">
      <w:r w:rsidRPr="00BC6567">
        <w:t xml:space="preserve">Support of BCC code is limited to less than or equal to four spatial streams (per user in case of MU-MIMO), and is mandatory (for both TX and RX) for RU sizes less than or equal to 242 </w:t>
      </w:r>
      <w:proofErr w:type="spellStart"/>
      <w:r w:rsidRPr="00BC6567">
        <w:t>tones</w:t>
      </w:r>
      <w:proofErr w:type="spellEnd"/>
      <w:r w:rsidRPr="00BC6567">
        <w:t xml:space="preserve"> (20MHz).</w:t>
      </w:r>
      <w:r>
        <w:t xml:space="preserve"> </w:t>
      </w:r>
    </w:p>
    <w:p w:rsidR="00BC6567" w:rsidRDefault="00BC6567" w:rsidP="00BC6567"/>
    <w:p w:rsidR="00BC6567" w:rsidRDefault="00BC6567" w:rsidP="00BC6567">
      <w:r w:rsidRPr="00BC6567">
        <w:t>Support of LDPC code for both TX and RX is mandatory for HE STAs declaring support for at least one of HE 80/160/80+80 SU-PPDU bandwidths, or for HE STAs declaring support for more than 4 spatial streams. Otherwise, support of LDPC code for either TX or RX is optional.</w:t>
      </w:r>
      <w:r>
        <w:t xml:space="preserve"> [PHY Motion 31, July 16, 2015, see </w:t>
      </w:r>
      <w:sdt>
        <w:sdtPr>
          <w:id w:val="396554328"/>
          <w:citation/>
        </w:sdtPr>
        <w:sdtContent>
          <w:r>
            <w:fldChar w:fldCharType="begin"/>
          </w:r>
          <w:r w:rsidR="000D180D">
            <w:rPr>
              <w:lang w:val="en-US"/>
            </w:rPr>
            <w:instrText xml:space="preserve">CITATION 15021 \l 1033 </w:instrText>
          </w:r>
          <w:r>
            <w:fldChar w:fldCharType="separate"/>
          </w:r>
          <w:r w:rsidR="00A01B3C" w:rsidRPr="00A01B3C">
            <w:rPr>
              <w:noProof/>
              <w:lang w:val="en-US"/>
            </w:rPr>
            <w:t>[17]</w:t>
          </w:r>
          <w:r>
            <w:fldChar w:fldCharType="end"/>
          </w:r>
        </w:sdtContent>
      </w:sdt>
      <w:r>
        <w:t>]</w:t>
      </w:r>
    </w:p>
    <w:p w:rsidR="001D25A0" w:rsidRDefault="001D25A0" w:rsidP="00BC6567"/>
    <w:p w:rsidR="001D25A0" w:rsidRDefault="00327E24" w:rsidP="00BC6567">
      <w:r>
        <w:t xml:space="preserve">The </w:t>
      </w:r>
      <w:r w:rsidRPr="00327E24">
        <w:t>11ax MCS table s</w:t>
      </w:r>
      <w:r>
        <w:t>hall not have any MCS exclusion</w:t>
      </w:r>
      <w:r w:rsidRPr="00327E24">
        <w:t xml:space="preserve"> and</w:t>
      </w:r>
      <w:r>
        <w:t>,</w:t>
      </w:r>
      <w:r w:rsidRPr="00327E24">
        <w:t xml:space="preserve"> when LDPC is applied, </w:t>
      </w:r>
      <w:r w:rsidRPr="00327E24">
        <w:rPr>
          <w:i/>
        </w:rPr>
        <w:t>N</w:t>
      </w:r>
      <w:r w:rsidRPr="00327E24">
        <w:rPr>
          <w:i/>
          <w:vertAlign w:val="subscript"/>
        </w:rPr>
        <w:t>DBPS</w:t>
      </w:r>
      <w:r w:rsidRPr="00327E24">
        <w:t xml:space="preserve"> is computed as follows</w:t>
      </w:r>
    </w:p>
    <w:p w:rsidR="00327E24" w:rsidRDefault="00327E24" w:rsidP="00327E24">
      <w:pPr>
        <w:ind w:left="720"/>
      </w:pPr>
      <m:oMath>
        <m:sSub>
          <m:sSubPr>
            <m:ctrlPr>
              <w:rPr>
                <w:rFonts w:ascii="Cambria Math" w:hAnsi="Cambria Math"/>
                <w:i/>
              </w:rPr>
            </m:ctrlPr>
          </m:sSubPr>
          <m:e>
            <m:r>
              <w:rPr>
                <w:rFonts w:ascii="Cambria Math" w:hAnsi="Cambria Math"/>
              </w:rPr>
              <m:t>N</m:t>
            </m:r>
          </m:e>
          <m:sub>
            <m:r>
              <w:rPr>
                <w:rFonts w:ascii="Cambria Math" w:hAnsi="Cambria Math"/>
              </w:rPr>
              <m:t>DBPS</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CBPS</m:t>
                </m:r>
              </m:sub>
            </m:sSub>
            <m:r>
              <w:rPr>
                <w:rFonts w:ascii="Cambria Math" w:hAnsi="Cambria Math"/>
              </w:rPr>
              <m:t>R</m:t>
            </m:r>
          </m:e>
        </m:d>
      </m:oMath>
      <w:r>
        <w:t xml:space="preserve">, where </w:t>
      </w:r>
      <w:r w:rsidRPr="00327E24">
        <w:rPr>
          <w:i/>
        </w:rPr>
        <w:t>R</w:t>
      </w:r>
      <w:r>
        <w:t xml:space="preserve"> is the coding rate</w:t>
      </w:r>
    </w:p>
    <w:p w:rsidR="00327E24" w:rsidRDefault="00327E24" w:rsidP="00327E24">
      <w:r>
        <w:t xml:space="preserve">[PHY Motion 32, July 16, 2015, see </w:t>
      </w:r>
      <w:sdt>
        <w:sdtPr>
          <w:id w:val="-559713121"/>
          <w:citation/>
        </w:sdtPr>
        <w:sdtContent>
          <w:r>
            <w:fldChar w:fldCharType="begin"/>
          </w:r>
          <w:r w:rsidR="000D180D">
            <w:rPr>
              <w:lang w:val="en-US"/>
            </w:rPr>
            <w:instrText xml:space="preserve">CITATION 15021 \l 1033 </w:instrText>
          </w:r>
          <w:r>
            <w:fldChar w:fldCharType="separate"/>
          </w:r>
          <w:r w:rsidR="00A01B3C" w:rsidRPr="00A01B3C">
            <w:rPr>
              <w:noProof/>
              <w:lang w:val="en-US"/>
            </w:rPr>
            <w:t>[17]</w:t>
          </w:r>
          <w:r>
            <w:fldChar w:fldCharType="end"/>
          </w:r>
        </w:sdtContent>
      </w:sdt>
      <w:r>
        <w:t>]</w:t>
      </w:r>
    </w:p>
    <w:p w:rsidR="00327E24" w:rsidRDefault="00327E24" w:rsidP="00327E24"/>
    <w:p w:rsidR="00327E24" w:rsidRDefault="00327E24" w:rsidP="00327E24">
      <w:pPr>
        <w:spacing w:before="120" w:after="120"/>
        <w:rPr>
          <w:bCs/>
          <w:color w:val="000000"/>
        </w:rPr>
      </w:pPr>
      <w:r>
        <w:rPr>
          <w:bCs/>
          <w:color w:val="000000"/>
        </w:rPr>
        <w:t>T</w:t>
      </w:r>
      <w:r w:rsidRPr="001C1420">
        <w:rPr>
          <w:bCs/>
          <w:color w:val="000000"/>
        </w:rPr>
        <w:t xml:space="preserve">he BCC </w:t>
      </w:r>
      <w:proofErr w:type="spellStart"/>
      <w:r w:rsidRPr="001C1420">
        <w:rPr>
          <w:bCs/>
          <w:color w:val="000000"/>
        </w:rPr>
        <w:t>interleaver</w:t>
      </w:r>
      <w:proofErr w:type="spellEnd"/>
      <w:r w:rsidRPr="001C1420">
        <w:rPr>
          <w:bCs/>
          <w:color w:val="000000"/>
        </w:rPr>
        <w:t xml:space="preserve"> and LDPC tone mapper parameters </w:t>
      </w:r>
      <w:r>
        <w:rPr>
          <w:bCs/>
          <w:color w:val="000000"/>
        </w:rPr>
        <w:t xml:space="preserve">are defined in </w:t>
      </w:r>
      <w:r>
        <w:rPr>
          <w:bCs/>
          <w:color w:val="000000"/>
        </w:rPr>
        <w:fldChar w:fldCharType="begin"/>
      </w:r>
      <w:r>
        <w:rPr>
          <w:bCs/>
          <w:color w:val="000000"/>
        </w:rPr>
        <w:instrText xml:space="preserve"> REF _Ref424481722 \h </w:instrText>
      </w:r>
      <w:r>
        <w:rPr>
          <w:bCs/>
          <w:color w:val="000000"/>
        </w:rPr>
      </w:r>
      <w:r>
        <w:rPr>
          <w:bCs/>
          <w:color w:val="000000"/>
        </w:rPr>
        <w:fldChar w:fldCharType="separate"/>
      </w:r>
      <w:r w:rsidR="00A01B3C">
        <w:t xml:space="preserve">Table </w:t>
      </w:r>
      <w:r w:rsidR="00A01B3C">
        <w:rPr>
          <w:noProof/>
        </w:rPr>
        <w:t>1</w:t>
      </w:r>
      <w:r>
        <w:rPr>
          <w:bCs/>
          <w:color w:val="000000"/>
        </w:rPr>
        <w:fldChar w:fldCharType="end"/>
      </w:r>
      <w:r>
        <w:rPr>
          <w:bCs/>
          <w:color w:val="000000"/>
        </w:rPr>
        <w:t>.</w:t>
      </w:r>
    </w:p>
    <w:p w:rsidR="00327E24" w:rsidRDefault="00327E24" w:rsidP="00327E24">
      <w:pPr>
        <w:pStyle w:val="Caption"/>
        <w:keepNext/>
        <w:jc w:val="center"/>
      </w:pPr>
      <w:bookmarkStart w:id="12" w:name="_Ref424481722"/>
      <w:r>
        <w:lastRenderedPageBreak/>
        <w:t xml:space="preserve">Table </w:t>
      </w:r>
      <w:r>
        <w:fldChar w:fldCharType="begin"/>
      </w:r>
      <w:r>
        <w:instrText xml:space="preserve"> SEQ Table \* ARABIC </w:instrText>
      </w:r>
      <w:r>
        <w:fldChar w:fldCharType="separate"/>
      </w:r>
      <w:r w:rsidR="00A01B3C">
        <w:rPr>
          <w:noProof/>
        </w:rPr>
        <w:t>1</w:t>
      </w:r>
      <w:r>
        <w:fldChar w:fldCharType="end"/>
      </w:r>
      <w:bookmarkEnd w:id="12"/>
      <w:r>
        <w:t xml:space="preserve"> - BCC </w:t>
      </w:r>
      <w:proofErr w:type="spellStart"/>
      <w:r>
        <w:t>interleaver</w:t>
      </w:r>
      <w:proofErr w:type="spellEnd"/>
      <w:r>
        <w:t xml:space="preserve"> and LDPC tone mapper parameters</w:t>
      </w:r>
    </w:p>
    <w:tbl>
      <w:tblPr>
        <w:tblStyle w:val="TableGrid"/>
        <w:tblW w:w="0" w:type="auto"/>
        <w:jc w:val="center"/>
        <w:tblLook w:val="04A0" w:firstRow="1" w:lastRow="0" w:firstColumn="1" w:lastColumn="0" w:noHBand="0" w:noVBand="1"/>
      </w:tblPr>
      <w:tblGrid>
        <w:gridCol w:w="1622"/>
        <w:gridCol w:w="546"/>
        <w:gridCol w:w="593"/>
        <w:gridCol w:w="815"/>
      </w:tblGrid>
      <w:tr w:rsidR="00327E24" w:rsidTr="006539BB">
        <w:trPr>
          <w:jc w:val="center"/>
        </w:trPr>
        <w:tc>
          <w:tcPr>
            <w:tcW w:w="0" w:type="auto"/>
            <w:vAlign w:val="center"/>
          </w:tcPr>
          <w:p w:rsidR="00327E24" w:rsidRPr="00687D24" w:rsidRDefault="00327E24" w:rsidP="006539BB">
            <w:pPr>
              <w:spacing w:before="120" w:after="120"/>
              <w:jc w:val="center"/>
              <w:rPr>
                <w:b/>
                <w:color w:val="000000"/>
              </w:rPr>
            </w:pPr>
            <w:r w:rsidRPr="00687D24">
              <w:rPr>
                <w:b/>
                <w:color w:val="000000"/>
              </w:rPr>
              <w:t>RU size (tones)</w:t>
            </w:r>
          </w:p>
        </w:tc>
        <w:tc>
          <w:tcPr>
            <w:tcW w:w="0" w:type="auto"/>
            <w:gridSpan w:val="2"/>
            <w:vAlign w:val="center"/>
          </w:tcPr>
          <w:p w:rsidR="00327E24" w:rsidRPr="00687D24" w:rsidRDefault="00327E24" w:rsidP="006539BB">
            <w:pPr>
              <w:spacing w:before="120" w:after="120"/>
              <w:jc w:val="center"/>
              <w:rPr>
                <w:b/>
                <w:color w:val="000000"/>
              </w:rPr>
            </w:pPr>
            <w:r w:rsidRPr="00687D24">
              <w:rPr>
                <w:b/>
                <w:color w:val="000000"/>
              </w:rPr>
              <w:t>BCC</w:t>
            </w:r>
          </w:p>
        </w:tc>
        <w:tc>
          <w:tcPr>
            <w:tcW w:w="0" w:type="auto"/>
            <w:vAlign w:val="center"/>
          </w:tcPr>
          <w:p w:rsidR="00327E24" w:rsidRPr="00687D24" w:rsidRDefault="00327E24" w:rsidP="006539BB">
            <w:pPr>
              <w:spacing w:before="120" w:after="120"/>
              <w:jc w:val="center"/>
              <w:rPr>
                <w:b/>
                <w:color w:val="000000"/>
              </w:rPr>
            </w:pPr>
            <w:r w:rsidRPr="00687D24">
              <w:rPr>
                <w:b/>
                <w:color w:val="000000"/>
              </w:rPr>
              <w:t>LDPC</w:t>
            </w:r>
          </w:p>
        </w:tc>
      </w:tr>
      <w:tr w:rsidR="00327E24" w:rsidTr="006539BB">
        <w:trPr>
          <w:jc w:val="center"/>
        </w:trPr>
        <w:tc>
          <w:tcPr>
            <w:tcW w:w="0" w:type="auto"/>
            <w:vAlign w:val="center"/>
          </w:tcPr>
          <w:p w:rsidR="00327E24" w:rsidRPr="00687D24" w:rsidRDefault="00327E24" w:rsidP="006539BB">
            <w:pPr>
              <w:spacing w:before="120" w:after="120"/>
              <w:jc w:val="center"/>
              <w:rPr>
                <w:b/>
                <w:color w:val="000000"/>
              </w:rPr>
            </w:pPr>
          </w:p>
        </w:tc>
        <w:tc>
          <w:tcPr>
            <w:tcW w:w="0" w:type="auto"/>
            <w:vAlign w:val="center"/>
          </w:tcPr>
          <w:p w:rsidR="00327E24" w:rsidRPr="00687D24" w:rsidRDefault="00327E24" w:rsidP="006539BB">
            <w:pPr>
              <w:spacing w:before="120" w:after="120"/>
              <w:jc w:val="center"/>
              <w:rPr>
                <w:b/>
                <w:i/>
                <w:color w:val="000000"/>
              </w:rPr>
            </w:pPr>
            <w:proofErr w:type="spellStart"/>
            <w:r w:rsidRPr="00687D24">
              <w:rPr>
                <w:b/>
                <w:i/>
                <w:color w:val="000000"/>
              </w:rPr>
              <w:t>N</w:t>
            </w:r>
            <w:r w:rsidRPr="00327E24">
              <w:rPr>
                <w:b/>
                <w:i/>
                <w:color w:val="000000"/>
                <w:vertAlign w:val="subscript"/>
              </w:rPr>
              <w:t>col</w:t>
            </w:r>
            <w:proofErr w:type="spellEnd"/>
          </w:p>
        </w:tc>
        <w:tc>
          <w:tcPr>
            <w:tcW w:w="0" w:type="auto"/>
            <w:vAlign w:val="center"/>
          </w:tcPr>
          <w:p w:rsidR="00327E24" w:rsidRPr="00687D24" w:rsidRDefault="00327E24" w:rsidP="006539BB">
            <w:pPr>
              <w:spacing w:before="120" w:after="120"/>
              <w:jc w:val="center"/>
              <w:rPr>
                <w:b/>
                <w:i/>
                <w:color w:val="000000"/>
              </w:rPr>
            </w:pPr>
            <w:proofErr w:type="spellStart"/>
            <w:r w:rsidRPr="00687D24">
              <w:rPr>
                <w:b/>
                <w:i/>
                <w:color w:val="000000"/>
              </w:rPr>
              <w:t>N</w:t>
            </w:r>
            <w:r w:rsidRPr="00327E24">
              <w:rPr>
                <w:b/>
                <w:i/>
                <w:color w:val="000000"/>
                <w:vertAlign w:val="subscript"/>
              </w:rPr>
              <w:t>row</w:t>
            </w:r>
            <w:proofErr w:type="spellEnd"/>
          </w:p>
        </w:tc>
        <w:tc>
          <w:tcPr>
            <w:tcW w:w="0" w:type="auto"/>
            <w:vAlign w:val="center"/>
          </w:tcPr>
          <w:p w:rsidR="00327E24" w:rsidRPr="00687D24" w:rsidRDefault="00327E24" w:rsidP="006539BB">
            <w:pPr>
              <w:spacing w:before="120" w:after="120"/>
              <w:jc w:val="center"/>
              <w:rPr>
                <w:b/>
                <w:i/>
                <w:color w:val="000000"/>
              </w:rPr>
            </w:pPr>
            <w:r w:rsidRPr="00687D24">
              <w:rPr>
                <w:b/>
                <w:i/>
                <w:color w:val="000000"/>
              </w:rPr>
              <w:t>D</w:t>
            </w:r>
            <w:r w:rsidRPr="00327E24">
              <w:rPr>
                <w:b/>
                <w:i/>
                <w:color w:val="000000"/>
                <w:vertAlign w:val="subscript"/>
              </w:rPr>
              <w:t>TM</w:t>
            </w:r>
          </w:p>
        </w:tc>
      </w:tr>
      <w:tr w:rsidR="00327E24" w:rsidTr="006539BB">
        <w:trPr>
          <w:jc w:val="center"/>
        </w:trPr>
        <w:tc>
          <w:tcPr>
            <w:tcW w:w="0" w:type="auto"/>
            <w:vAlign w:val="center"/>
          </w:tcPr>
          <w:p w:rsidR="00327E24" w:rsidRDefault="00327E24" w:rsidP="006539BB">
            <w:pPr>
              <w:spacing w:before="120" w:after="120"/>
              <w:jc w:val="center"/>
              <w:rPr>
                <w:color w:val="000000"/>
              </w:rPr>
            </w:pPr>
            <w:r>
              <w:rPr>
                <w:color w:val="000000"/>
              </w:rPr>
              <w:t>26</w:t>
            </w:r>
          </w:p>
        </w:tc>
        <w:tc>
          <w:tcPr>
            <w:tcW w:w="0" w:type="auto"/>
            <w:vAlign w:val="center"/>
          </w:tcPr>
          <w:p w:rsidR="00327E24" w:rsidRDefault="00327E24" w:rsidP="006539BB">
            <w:pPr>
              <w:spacing w:before="120" w:after="120"/>
              <w:jc w:val="center"/>
              <w:rPr>
                <w:color w:val="000000"/>
              </w:rPr>
            </w:pPr>
            <w:r>
              <w:rPr>
                <w:color w:val="000000"/>
              </w:rPr>
              <w:t>8</w:t>
            </w:r>
          </w:p>
        </w:tc>
        <w:tc>
          <w:tcPr>
            <w:tcW w:w="0" w:type="auto"/>
            <w:vAlign w:val="center"/>
          </w:tcPr>
          <w:p w:rsidR="00327E24" w:rsidRDefault="00327E24" w:rsidP="006539BB">
            <w:pPr>
              <w:spacing w:before="120" w:after="120"/>
              <w:jc w:val="center"/>
              <w:rPr>
                <w:color w:val="000000"/>
              </w:rPr>
            </w:pPr>
            <w:r>
              <w:rPr>
                <w:color w:val="000000"/>
              </w:rPr>
              <w:t>2</w:t>
            </w:r>
          </w:p>
        </w:tc>
        <w:tc>
          <w:tcPr>
            <w:tcW w:w="0" w:type="auto"/>
            <w:vAlign w:val="center"/>
          </w:tcPr>
          <w:p w:rsidR="00327E24" w:rsidRDefault="00327E24" w:rsidP="006539BB">
            <w:pPr>
              <w:spacing w:before="120" w:after="120"/>
              <w:jc w:val="center"/>
              <w:rPr>
                <w:color w:val="000000"/>
              </w:rPr>
            </w:pPr>
            <w:r>
              <w:rPr>
                <w:color w:val="000000"/>
              </w:rPr>
              <w:t>1</w:t>
            </w:r>
          </w:p>
        </w:tc>
      </w:tr>
      <w:tr w:rsidR="00327E24" w:rsidTr="006539BB">
        <w:trPr>
          <w:jc w:val="center"/>
        </w:trPr>
        <w:tc>
          <w:tcPr>
            <w:tcW w:w="0" w:type="auto"/>
            <w:vAlign w:val="center"/>
          </w:tcPr>
          <w:p w:rsidR="00327E24" w:rsidRDefault="00327E24" w:rsidP="006539BB">
            <w:pPr>
              <w:spacing w:before="120" w:after="120"/>
              <w:jc w:val="center"/>
              <w:rPr>
                <w:color w:val="000000"/>
              </w:rPr>
            </w:pPr>
            <w:r>
              <w:rPr>
                <w:color w:val="000000"/>
              </w:rPr>
              <w:t>52</w:t>
            </w:r>
          </w:p>
        </w:tc>
        <w:tc>
          <w:tcPr>
            <w:tcW w:w="0" w:type="auto"/>
            <w:vAlign w:val="center"/>
          </w:tcPr>
          <w:p w:rsidR="00327E24" w:rsidRDefault="00327E24" w:rsidP="006539BB">
            <w:pPr>
              <w:spacing w:before="120" w:after="120"/>
              <w:jc w:val="center"/>
              <w:rPr>
                <w:color w:val="000000"/>
              </w:rPr>
            </w:pPr>
            <w:r>
              <w:rPr>
                <w:color w:val="000000"/>
              </w:rPr>
              <w:t>16</w:t>
            </w:r>
          </w:p>
        </w:tc>
        <w:tc>
          <w:tcPr>
            <w:tcW w:w="0" w:type="auto"/>
            <w:vAlign w:val="center"/>
          </w:tcPr>
          <w:p w:rsidR="00327E24" w:rsidRDefault="00327E24" w:rsidP="006539BB">
            <w:pPr>
              <w:spacing w:before="120" w:after="120"/>
              <w:jc w:val="center"/>
              <w:rPr>
                <w:color w:val="000000"/>
              </w:rPr>
            </w:pPr>
            <w:r>
              <w:rPr>
                <w:color w:val="000000"/>
              </w:rPr>
              <w:t>11</w:t>
            </w:r>
          </w:p>
        </w:tc>
        <w:tc>
          <w:tcPr>
            <w:tcW w:w="0" w:type="auto"/>
            <w:vAlign w:val="center"/>
          </w:tcPr>
          <w:p w:rsidR="00327E24" w:rsidRDefault="00327E24" w:rsidP="006539BB">
            <w:pPr>
              <w:spacing w:before="120" w:after="120"/>
              <w:jc w:val="center"/>
              <w:rPr>
                <w:color w:val="000000"/>
              </w:rPr>
            </w:pPr>
            <w:r>
              <w:rPr>
                <w:color w:val="000000"/>
              </w:rPr>
              <w:t>3</w:t>
            </w:r>
          </w:p>
        </w:tc>
      </w:tr>
      <w:tr w:rsidR="00327E24" w:rsidTr="006539BB">
        <w:trPr>
          <w:jc w:val="center"/>
        </w:trPr>
        <w:tc>
          <w:tcPr>
            <w:tcW w:w="0" w:type="auto"/>
            <w:vAlign w:val="center"/>
          </w:tcPr>
          <w:p w:rsidR="00327E24" w:rsidRDefault="00327E24" w:rsidP="006539BB">
            <w:pPr>
              <w:spacing w:before="120" w:after="120"/>
              <w:jc w:val="center"/>
              <w:rPr>
                <w:color w:val="000000"/>
              </w:rPr>
            </w:pPr>
            <w:r>
              <w:rPr>
                <w:color w:val="000000"/>
              </w:rPr>
              <w:t>106</w:t>
            </w:r>
          </w:p>
        </w:tc>
        <w:tc>
          <w:tcPr>
            <w:tcW w:w="0" w:type="auto"/>
            <w:vAlign w:val="center"/>
          </w:tcPr>
          <w:p w:rsidR="00327E24" w:rsidRDefault="00327E24" w:rsidP="006539BB">
            <w:pPr>
              <w:spacing w:before="120" w:after="120"/>
              <w:jc w:val="center"/>
              <w:rPr>
                <w:color w:val="000000"/>
              </w:rPr>
            </w:pPr>
            <w:r>
              <w:rPr>
                <w:color w:val="000000"/>
              </w:rPr>
              <w:t>17</w:t>
            </w:r>
          </w:p>
        </w:tc>
        <w:tc>
          <w:tcPr>
            <w:tcW w:w="0" w:type="auto"/>
            <w:vAlign w:val="center"/>
          </w:tcPr>
          <w:p w:rsidR="00327E24" w:rsidRDefault="00327E24" w:rsidP="006539BB">
            <w:pPr>
              <w:spacing w:before="120" w:after="120"/>
              <w:jc w:val="center"/>
              <w:rPr>
                <w:color w:val="000000"/>
              </w:rPr>
            </w:pPr>
            <w:r>
              <w:rPr>
                <w:color w:val="000000"/>
              </w:rPr>
              <w:t>29</w:t>
            </w:r>
          </w:p>
        </w:tc>
        <w:tc>
          <w:tcPr>
            <w:tcW w:w="0" w:type="auto"/>
            <w:vAlign w:val="center"/>
          </w:tcPr>
          <w:p w:rsidR="00327E24" w:rsidRDefault="00327E24" w:rsidP="006539BB">
            <w:pPr>
              <w:spacing w:before="120" w:after="120"/>
              <w:jc w:val="center"/>
              <w:rPr>
                <w:color w:val="000000"/>
              </w:rPr>
            </w:pPr>
            <w:r>
              <w:rPr>
                <w:color w:val="000000"/>
              </w:rPr>
              <w:t>6</w:t>
            </w:r>
          </w:p>
        </w:tc>
      </w:tr>
      <w:tr w:rsidR="00327E24" w:rsidTr="006539BB">
        <w:trPr>
          <w:jc w:val="center"/>
        </w:trPr>
        <w:tc>
          <w:tcPr>
            <w:tcW w:w="0" w:type="auto"/>
            <w:vAlign w:val="center"/>
          </w:tcPr>
          <w:p w:rsidR="00327E24" w:rsidRDefault="00327E24" w:rsidP="006539BB">
            <w:pPr>
              <w:spacing w:before="120" w:after="120"/>
              <w:jc w:val="center"/>
              <w:rPr>
                <w:color w:val="000000"/>
              </w:rPr>
            </w:pPr>
            <w:r>
              <w:rPr>
                <w:color w:val="000000"/>
              </w:rPr>
              <w:t>242</w:t>
            </w:r>
          </w:p>
        </w:tc>
        <w:tc>
          <w:tcPr>
            <w:tcW w:w="0" w:type="auto"/>
            <w:vAlign w:val="center"/>
          </w:tcPr>
          <w:p w:rsidR="00327E24" w:rsidRDefault="00327E24" w:rsidP="006539BB">
            <w:pPr>
              <w:spacing w:before="120" w:after="120"/>
              <w:jc w:val="center"/>
              <w:rPr>
                <w:color w:val="000000"/>
              </w:rPr>
            </w:pPr>
            <w:r>
              <w:rPr>
                <w:color w:val="000000"/>
              </w:rPr>
              <w:t>26</w:t>
            </w:r>
          </w:p>
        </w:tc>
        <w:tc>
          <w:tcPr>
            <w:tcW w:w="0" w:type="auto"/>
            <w:vAlign w:val="center"/>
          </w:tcPr>
          <w:p w:rsidR="00327E24" w:rsidRDefault="00327E24" w:rsidP="006539BB">
            <w:pPr>
              <w:spacing w:before="120" w:after="120"/>
              <w:jc w:val="center"/>
              <w:rPr>
                <w:color w:val="000000"/>
              </w:rPr>
            </w:pPr>
            <w:r>
              <w:rPr>
                <w:color w:val="000000"/>
              </w:rPr>
              <w:t>58</w:t>
            </w:r>
          </w:p>
        </w:tc>
        <w:tc>
          <w:tcPr>
            <w:tcW w:w="0" w:type="auto"/>
            <w:vAlign w:val="center"/>
          </w:tcPr>
          <w:p w:rsidR="00327E24" w:rsidRDefault="00327E24" w:rsidP="006539BB">
            <w:pPr>
              <w:spacing w:before="120" w:after="120"/>
              <w:jc w:val="center"/>
              <w:rPr>
                <w:color w:val="000000"/>
              </w:rPr>
            </w:pPr>
            <w:r>
              <w:rPr>
                <w:color w:val="000000"/>
              </w:rPr>
              <w:t>9</w:t>
            </w:r>
          </w:p>
        </w:tc>
      </w:tr>
      <w:tr w:rsidR="00327E24" w:rsidTr="006539BB">
        <w:trPr>
          <w:jc w:val="center"/>
        </w:trPr>
        <w:tc>
          <w:tcPr>
            <w:tcW w:w="0" w:type="auto"/>
            <w:vAlign w:val="center"/>
          </w:tcPr>
          <w:p w:rsidR="00327E24" w:rsidRDefault="00327E24" w:rsidP="006539BB">
            <w:pPr>
              <w:spacing w:before="120" w:after="120"/>
              <w:jc w:val="center"/>
              <w:rPr>
                <w:color w:val="000000"/>
              </w:rPr>
            </w:pPr>
            <w:r>
              <w:rPr>
                <w:color w:val="000000"/>
              </w:rPr>
              <w:t>484</w:t>
            </w:r>
          </w:p>
        </w:tc>
        <w:tc>
          <w:tcPr>
            <w:tcW w:w="0" w:type="auto"/>
            <w:vAlign w:val="center"/>
          </w:tcPr>
          <w:p w:rsidR="00327E24" w:rsidRDefault="00327E24" w:rsidP="006539BB">
            <w:pPr>
              <w:spacing w:before="120" w:after="120"/>
              <w:jc w:val="center"/>
              <w:rPr>
                <w:color w:val="000000"/>
              </w:rPr>
            </w:pPr>
            <w:r>
              <w:rPr>
                <w:color w:val="000000"/>
              </w:rPr>
              <w:t>-</w:t>
            </w:r>
          </w:p>
        </w:tc>
        <w:tc>
          <w:tcPr>
            <w:tcW w:w="0" w:type="auto"/>
            <w:vAlign w:val="center"/>
          </w:tcPr>
          <w:p w:rsidR="00327E24" w:rsidRDefault="00327E24" w:rsidP="006539BB">
            <w:pPr>
              <w:spacing w:before="120" w:after="120"/>
              <w:jc w:val="center"/>
              <w:rPr>
                <w:color w:val="000000"/>
              </w:rPr>
            </w:pPr>
            <w:r>
              <w:rPr>
                <w:color w:val="000000"/>
              </w:rPr>
              <w:t>-</w:t>
            </w:r>
          </w:p>
        </w:tc>
        <w:tc>
          <w:tcPr>
            <w:tcW w:w="0" w:type="auto"/>
            <w:vAlign w:val="center"/>
          </w:tcPr>
          <w:p w:rsidR="00327E24" w:rsidRDefault="00327E24" w:rsidP="006539BB">
            <w:pPr>
              <w:spacing w:before="120" w:after="120"/>
              <w:jc w:val="center"/>
              <w:rPr>
                <w:color w:val="000000"/>
              </w:rPr>
            </w:pPr>
            <w:r>
              <w:rPr>
                <w:color w:val="000000"/>
              </w:rPr>
              <w:t>12</w:t>
            </w:r>
          </w:p>
        </w:tc>
      </w:tr>
      <w:tr w:rsidR="00327E24" w:rsidTr="006539BB">
        <w:trPr>
          <w:jc w:val="center"/>
        </w:trPr>
        <w:tc>
          <w:tcPr>
            <w:tcW w:w="0" w:type="auto"/>
            <w:vAlign w:val="center"/>
          </w:tcPr>
          <w:p w:rsidR="00327E24" w:rsidRDefault="00327E24" w:rsidP="006539BB">
            <w:pPr>
              <w:spacing w:before="120" w:after="120"/>
              <w:jc w:val="center"/>
              <w:rPr>
                <w:color w:val="000000"/>
              </w:rPr>
            </w:pPr>
            <w:r>
              <w:rPr>
                <w:color w:val="000000"/>
              </w:rPr>
              <w:t>996</w:t>
            </w:r>
          </w:p>
        </w:tc>
        <w:tc>
          <w:tcPr>
            <w:tcW w:w="0" w:type="auto"/>
            <w:vAlign w:val="center"/>
          </w:tcPr>
          <w:p w:rsidR="00327E24" w:rsidRDefault="00327E24" w:rsidP="006539BB">
            <w:pPr>
              <w:spacing w:before="120" w:after="120"/>
              <w:jc w:val="center"/>
              <w:rPr>
                <w:color w:val="000000"/>
              </w:rPr>
            </w:pPr>
            <w:r>
              <w:rPr>
                <w:color w:val="000000"/>
              </w:rPr>
              <w:t>-</w:t>
            </w:r>
          </w:p>
        </w:tc>
        <w:tc>
          <w:tcPr>
            <w:tcW w:w="0" w:type="auto"/>
            <w:vAlign w:val="center"/>
          </w:tcPr>
          <w:p w:rsidR="00327E24" w:rsidRDefault="00327E24" w:rsidP="006539BB">
            <w:pPr>
              <w:spacing w:before="120" w:after="120"/>
              <w:jc w:val="center"/>
              <w:rPr>
                <w:color w:val="000000"/>
              </w:rPr>
            </w:pPr>
            <w:r>
              <w:rPr>
                <w:color w:val="000000"/>
              </w:rPr>
              <w:t>-</w:t>
            </w:r>
          </w:p>
        </w:tc>
        <w:tc>
          <w:tcPr>
            <w:tcW w:w="0" w:type="auto"/>
            <w:vAlign w:val="center"/>
          </w:tcPr>
          <w:p w:rsidR="00327E24" w:rsidRDefault="00327E24" w:rsidP="006539BB">
            <w:pPr>
              <w:spacing w:before="120" w:after="120"/>
              <w:jc w:val="center"/>
              <w:rPr>
                <w:color w:val="000000"/>
              </w:rPr>
            </w:pPr>
            <w:r>
              <w:rPr>
                <w:color w:val="000000"/>
              </w:rPr>
              <w:t>20</w:t>
            </w:r>
          </w:p>
        </w:tc>
      </w:tr>
    </w:tbl>
    <w:p w:rsidR="00327E24" w:rsidRPr="00BC6567" w:rsidRDefault="00327E24" w:rsidP="00327E24">
      <w:r>
        <w:t xml:space="preserve">[PHY Motion 33, July 16, 2015, see </w:t>
      </w:r>
      <w:sdt>
        <w:sdtPr>
          <w:id w:val="185185237"/>
          <w:citation/>
        </w:sdtPr>
        <w:sdtContent>
          <w:r>
            <w:fldChar w:fldCharType="begin"/>
          </w:r>
          <w:r w:rsidR="000D180D">
            <w:rPr>
              <w:lang w:val="en-US"/>
            </w:rPr>
            <w:instrText xml:space="preserve">CITATION 15021 \l 1033 </w:instrText>
          </w:r>
          <w:r>
            <w:fldChar w:fldCharType="separate"/>
          </w:r>
          <w:r w:rsidR="00A01B3C" w:rsidRPr="00A01B3C">
            <w:rPr>
              <w:noProof/>
              <w:lang w:val="en-US"/>
            </w:rPr>
            <w:t>[17]</w:t>
          </w:r>
          <w:r>
            <w:fldChar w:fldCharType="end"/>
          </w:r>
        </w:sdtContent>
      </w:sdt>
      <w:r>
        <w:t>]</w:t>
      </w:r>
    </w:p>
    <w:p w:rsidR="00417271" w:rsidRPr="00417271" w:rsidRDefault="00856898" w:rsidP="004D578D">
      <w:pPr>
        <w:pStyle w:val="Heading1"/>
      </w:pPr>
      <w:r>
        <w:t xml:space="preserve">4 </w:t>
      </w:r>
      <w:r w:rsidR="00634FA1">
        <w:t>M</w:t>
      </w:r>
      <w:r w:rsidR="00477B34">
        <w:t>ulti-user (MU)</w:t>
      </w:r>
      <w:r w:rsidR="00417271">
        <w:t xml:space="preserve"> </w:t>
      </w:r>
      <w:r w:rsidR="00477B34">
        <w:t>features</w:t>
      </w:r>
    </w:p>
    <w:p w:rsidR="004D578D" w:rsidRDefault="004D578D" w:rsidP="004D578D">
      <w:pPr>
        <w:pStyle w:val="Heading2"/>
      </w:pPr>
      <w:r>
        <w:t>4.1 General</w:t>
      </w:r>
    </w:p>
    <w:p w:rsidR="00417271" w:rsidRDefault="00417271" w:rsidP="005267E4">
      <w:r>
        <w:t xml:space="preserve">This section describes </w:t>
      </w:r>
      <w:r w:rsidR="00477B34">
        <w:t>MU related features</w:t>
      </w:r>
      <w:r>
        <w:t>.</w:t>
      </w:r>
      <w:r w:rsidR="0039564A">
        <w:t xml:space="preserve"> MU features include </w:t>
      </w:r>
      <w:r w:rsidR="00BD6FB0">
        <w:t xml:space="preserve">UL and DL </w:t>
      </w:r>
      <w:r w:rsidR="0039564A">
        <w:t xml:space="preserve">OFDMA </w:t>
      </w:r>
      <w:r w:rsidR="009B5811">
        <w:t>and</w:t>
      </w:r>
      <w:r w:rsidR="00EF4E78">
        <w:t xml:space="preserve"> </w:t>
      </w:r>
      <w:r w:rsidR="00BD6FB0">
        <w:t xml:space="preserve">UL and DL </w:t>
      </w:r>
      <w:r w:rsidR="0039564A">
        <w:t>MU-MIMO.</w:t>
      </w:r>
    </w:p>
    <w:p w:rsidR="00893069" w:rsidRDefault="00893069" w:rsidP="00893069"/>
    <w:p w:rsidR="00792AA8" w:rsidRDefault="00792AA8" w:rsidP="00893069">
      <w:r w:rsidRPr="00792AA8">
        <w:t>The amendment shall define a mechanism for multiplexing DL acknowledgm</w:t>
      </w:r>
      <w:r>
        <w:t>ents sent in response to UL MU t</w:t>
      </w:r>
      <w:r w:rsidRPr="00792AA8">
        <w:t>ransmissions</w:t>
      </w:r>
      <w:r w:rsidR="00C04D06">
        <w:t>. [MU Motion #1, January 2015</w:t>
      </w:r>
      <w:r w:rsidR="00531BCF">
        <w:t xml:space="preserve">, see </w:t>
      </w:r>
      <w:sdt>
        <w:sdtPr>
          <w:id w:val="761262093"/>
          <w:citation/>
        </w:sdtPr>
        <w:sdtContent>
          <w:r w:rsidR="00531BCF">
            <w:fldChar w:fldCharType="begin"/>
          </w:r>
          <w:r w:rsidR="000D180D">
            <w:rPr>
              <w:lang w:val="en-US"/>
            </w:rPr>
            <w:instrText xml:space="preserve">CITATION 15_0064r1 \l 1033 </w:instrText>
          </w:r>
          <w:r w:rsidR="00531BCF">
            <w:fldChar w:fldCharType="separate"/>
          </w:r>
          <w:r w:rsidR="00A01B3C" w:rsidRPr="00A01B3C">
            <w:rPr>
              <w:noProof/>
              <w:lang w:val="en-US"/>
            </w:rPr>
            <w:t>[18]</w:t>
          </w:r>
          <w:r w:rsidR="00531BCF">
            <w:fldChar w:fldCharType="end"/>
          </w:r>
        </w:sdtContent>
      </w:sdt>
      <w:r w:rsidR="00C04D06">
        <w:t>]</w:t>
      </w:r>
    </w:p>
    <w:p w:rsidR="00C04D06" w:rsidRDefault="00C04D06" w:rsidP="00893069"/>
    <w:p w:rsidR="00C04D06" w:rsidRDefault="00C04D06" w:rsidP="00893069">
      <w:r w:rsidRPr="00C04D06">
        <w:t>An UL MU PPDU (MU-MIMO or OFDMA) is sent as an immediate response (IFS TBD) to a Trigger frame (format TBD) sent by the AP.</w:t>
      </w:r>
      <w:r>
        <w:t xml:space="preserve"> [MAC Motion #3, March 2015]</w:t>
      </w:r>
    </w:p>
    <w:p w:rsidR="00327E24" w:rsidRDefault="00327E24" w:rsidP="00893069"/>
    <w:p w:rsidR="00327E24" w:rsidRDefault="00327E24" w:rsidP="00893069">
      <w:r>
        <w:t xml:space="preserve">The </w:t>
      </w:r>
      <w:r w:rsidRPr="00327E24">
        <w:t xml:space="preserve">CP length </w:t>
      </w:r>
      <w:r>
        <w:t xml:space="preserve">for </w:t>
      </w:r>
      <w:r w:rsidRPr="00327E24">
        <w:t>UL OFDMA/MU-MIMO transmission</w:t>
      </w:r>
      <w:r>
        <w:t>s</w:t>
      </w:r>
      <w:r w:rsidRPr="00327E24">
        <w:t xml:space="preserve"> shall be explicitly indicated by AP in the Trigger frame that allocates resources for the UL OFDMA/MU-MIMO transmission. The value of CP length for all users addressed by the Trigger frame shall be the same.</w:t>
      </w:r>
      <w:r>
        <w:t xml:space="preserve"> [PHY Motion 34, July 16, 2015, see </w:t>
      </w:r>
      <w:sdt>
        <w:sdtPr>
          <w:id w:val="1459382299"/>
          <w:citation/>
        </w:sdtPr>
        <w:sdtContent>
          <w:r w:rsidR="009226DA">
            <w:fldChar w:fldCharType="begin"/>
          </w:r>
          <w:r w:rsidR="000D180D">
            <w:rPr>
              <w:lang w:val="en-US"/>
            </w:rPr>
            <w:instrText xml:space="preserve">CITATION 15_0813r1 \l 1033 </w:instrText>
          </w:r>
          <w:r w:rsidR="009226DA">
            <w:fldChar w:fldCharType="separate"/>
          </w:r>
          <w:r w:rsidR="00A01B3C" w:rsidRPr="00A01B3C">
            <w:rPr>
              <w:noProof/>
              <w:lang w:val="en-US"/>
            </w:rPr>
            <w:t>[19]</w:t>
          </w:r>
          <w:r w:rsidR="009226DA">
            <w:fldChar w:fldCharType="end"/>
          </w:r>
        </w:sdtContent>
      </w:sdt>
      <w:r>
        <w:t>]</w:t>
      </w:r>
    </w:p>
    <w:p w:rsidR="001547A8" w:rsidRDefault="001547A8" w:rsidP="00893069"/>
    <w:p w:rsidR="001547A8" w:rsidRDefault="001547A8" w:rsidP="00893069">
      <w:r w:rsidRPr="001547A8">
        <w:t>HE-PPDU for UL-OFDMA shall support UL data transmission below 20</w:t>
      </w:r>
      <w:r>
        <w:t xml:space="preserve"> </w:t>
      </w:r>
      <w:r w:rsidRPr="001547A8">
        <w:t>MHz for an HE STA</w:t>
      </w:r>
      <w:r>
        <w:t>. [MU Motion #3, March 2015]</w:t>
      </w:r>
    </w:p>
    <w:p w:rsidR="00C04D06" w:rsidRDefault="00C04D06" w:rsidP="00893069"/>
    <w:p w:rsidR="00C04D06" w:rsidRDefault="00DD6F04" w:rsidP="00893069">
      <w:r>
        <w:t>The</w:t>
      </w:r>
      <w:r w:rsidRPr="00DD6F04">
        <w:t xml:space="preserve"> amendment shall include a mechanism to multiplex BA/ACK responses to DL MU transmission</w:t>
      </w:r>
      <w:r>
        <w:t>. [MU Motion #4, March 2015</w:t>
      </w:r>
      <w:r w:rsidR="003E49B0">
        <w:t>, see</w:t>
      </w:r>
      <w:r w:rsidR="000B4A3A">
        <w:t xml:space="preserve"> </w:t>
      </w:r>
      <w:sdt>
        <w:sdtPr>
          <w:id w:val="1534152242"/>
          <w:citation/>
        </w:sdtPr>
        <w:sdtContent>
          <w:r w:rsidR="000B4A3A">
            <w:fldChar w:fldCharType="begin"/>
          </w:r>
          <w:r w:rsidR="000D180D">
            <w:rPr>
              <w:lang w:val="en-US"/>
            </w:rPr>
            <w:instrText xml:space="preserve">CITATION 15_0379r1 \l 1033 </w:instrText>
          </w:r>
          <w:r w:rsidR="000B4A3A">
            <w:fldChar w:fldCharType="separate"/>
          </w:r>
          <w:r w:rsidR="00A01B3C" w:rsidRPr="00A01B3C">
            <w:rPr>
              <w:noProof/>
              <w:lang w:val="en-US"/>
            </w:rPr>
            <w:t>[20]</w:t>
          </w:r>
          <w:r w:rsidR="000B4A3A">
            <w:fldChar w:fldCharType="end"/>
          </w:r>
        </w:sdtContent>
      </w:sdt>
      <w:r>
        <w:t>]</w:t>
      </w:r>
    </w:p>
    <w:p w:rsidR="003E49B0" w:rsidRDefault="003E49B0" w:rsidP="00893069"/>
    <w:p w:rsidR="003E49B0" w:rsidRDefault="003E49B0" w:rsidP="00893069">
      <w:r w:rsidRPr="003E49B0">
        <w:t xml:space="preserve">An AP shall not allocate UL </w:t>
      </w:r>
      <w:proofErr w:type="spellStart"/>
      <w:r w:rsidRPr="003E49B0">
        <w:t>subchannel</w:t>
      </w:r>
      <w:proofErr w:type="spellEnd"/>
      <w:r w:rsidRPr="003E49B0">
        <w:t xml:space="preserve"> in any 20</w:t>
      </w:r>
      <w:r w:rsidR="00CE3D20">
        <w:t xml:space="preserve"> </w:t>
      </w:r>
      <w:r w:rsidRPr="003E49B0">
        <w:t>MHz channel that is not occupied by the Trigger frame. In each 20</w:t>
      </w:r>
      <w:r w:rsidR="00CE3D20">
        <w:t xml:space="preserve"> </w:t>
      </w:r>
      <w:r w:rsidRPr="003E49B0">
        <w:t xml:space="preserve">MHz channel occupied by the Trigger frame, there is at least one allocated </w:t>
      </w:r>
      <w:proofErr w:type="spellStart"/>
      <w:r w:rsidRPr="003E49B0">
        <w:t>subchannel</w:t>
      </w:r>
      <w:proofErr w:type="spellEnd"/>
      <w:r>
        <w:t xml:space="preserve">. [MAC Motion #10, May 2015, see </w:t>
      </w:r>
      <w:sdt>
        <w:sdtPr>
          <w:id w:val="1485511374"/>
          <w:citation/>
        </w:sdtPr>
        <w:sdtContent>
          <w:r>
            <w:fldChar w:fldCharType="begin"/>
          </w:r>
          <w:r w:rsidR="000D180D">
            <w:rPr>
              <w:lang w:val="en-US"/>
            </w:rPr>
            <w:instrText xml:space="preserve">CITATION 15011 \l 1033 </w:instrText>
          </w:r>
          <w:r>
            <w:fldChar w:fldCharType="separate"/>
          </w:r>
          <w:r w:rsidR="00A01B3C" w:rsidRPr="00A01B3C">
            <w:rPr>
              <w:noProof/>
              <w:lang w:val="en-US"/>
            </w:rPr>
            <w:t>[21]</w:t>
          </w:r>
          <w:r>
            <w:fldChar w:fldCharType="end"/>
          </w:r>
        </w:sdtContent>
      </w:sdt>
      <w:r>
        <w:t>]</w:t>
      </w:r>
    </w:p>
    <w:p w:rsidR="00C6158E" w:rsidRDefault="00C6158E" w:rsidP="00893069"/>
    <w:p w:rsidR="00C6158E" w:rsidRDefault="00C6158E" w:rsidP="00893069">
      <w:r w:rsidRPr="00C6158E">
        <w:t>In each payload within a DL MU PPDU a Trigger frame may be present that carries the information that enables the recipient of the STA to send its ACK/BA response frame a TBD IFS after the DL MU PPDU</w:t>
      </w:r>
      <w:r>
        <w:t xml:space="preserve">. [MU Motion 11, July 16, 2015, see </w:t>
      </w:r>
      <w:sdt>
        <w:sdtPr>
          <w:id w:val="772675524"/>
          <w:citation/>
        </w:sdtPr>
        <w:sdtContent>
          <w:r>
            <w:fldChar w:fldCharType="begin"/>
          </w:r>
          <w:r>
            <w:rPr>
              <w:lang w:val="en-US"/>
            </w:rPr>
            <w:instrText xml:space="preserve"> CITATION 15_0829r3 \l 1033 </w:instrText>
          </w:r>
          <w:r>
            <w:fldChar w:fldCharType="separate"/>
          </w:r>
          <w:r w:rsidR="00A01B3C" w:rsidRPr="00A01B3C">
            <w:rPr>
              <w:noProof/>
              <w:lang w:val="en-US"/>
            </w:rPr>
            <w:t>[22]</w:t>
          </w:r>
          <w:r>
            <w:fldChar w:fldCharType="end"/>
          </w:r>
        </w:sdtContent>
      </w:sdt>
      <w:r>
        <w:t>]</w:t>
      </w:r>
    </w:p>
    <w:p w:rsidR="00C6158E" w:rsidRDefault="00C6158E" w:rsidP="00893069"/>
    <w:p w:rsidR="00C6158E" w:rsidRDefault="00C6158E" w:rsidP="00893069">
      <w:r>
        <w:lastRenderedPageBreak/>
        <w:t xml:space="preserve">An </w:t>
      </w:r>
      <w:r w:rsidRPr="00C6158E">
        <w:t>UL OFDMA MPDU/A-MPDU is the acknowledgement of the trigger frame. When the AP receives MPDU correctly from at least one STA indicated by trigger frame, the frame exchange initiated by the trigger frame is successful</w:t>
      </w:r>
      <w:r>
        <w:t xml:space="preserve">. [MAC Motion 13, July 16, 2015, see </w:t>
      </w:r>
      <w:sdt>
        <w:sdtPr>
          <w:id w:val="2075550077"/>
          <w:citation/>
        </w:sdtPr>
        <w:sdtContent>
          <w:r>
            <w:fldChar w:fldCharType="begin"/>
          </w:r>
          <w:r>
            <w:rPr>
              <w:lang w:val="en-US"/>
            </w:rPr>
            <w:instrText xml:space="preserve"> CITATION Liw \l 1033 </w:instrText>
          </w:r>
          <w:r>
            <w:fldChar w:fldCharType="separate"/>
          </w:r>
          <w:r w:rsidR="00A01B3C" w:rsidRPr="00A01B3C">
            <w:rPr>
              <w:noProof/>
              <w:lang w:val="en-US"/>
            </w:rPr>
            <w:t>[23]</w:t>
          </w:r>
          <w:r>
            <w:fldChar w:fldCharType="end"/>
          </w:r>
        </w:sdtContent>
      </w:sdt>
      <w:r>
        <w:t>]</w:t>
      </w:r>
    </w:p>
    <w:p w:rsidR="00C6158E" w:rsidRDefault="00C6158E" w:rsidP="00893069"/>
    <w:p w:rsidR="00C6158E" w:rsidRDefault="00C6158E" w:rsidP="00893069">
      <w:r w:rsidRPr="00C6158E">
        <w:t>A TXOP can include both DL MU and UL MU transmissions</w:t>
      </w:r>
      <w:r>
        <w:t xml:space="preserve">. [MAC Motion 14, July 16, 2015, see </w:t>
      </w:r>
      <w:sdt>
        <w:sdtPr>
          <w:id w:val="1408492913"/>
          <w:citation/>
        </w:sdtPr>
        <w:sdtContent>
          <w:r>
            <w:fldChar w:fldCharType="begin"/>
          </w:r>
          <w:r>
            <w:rPr>
              <w:lang w:val="en-US"/>
            </w:rPr>
            <w:instrText xml:space="preserve"> CITATION 15_0841r0 \l 1033 </w:instrText>
          </w:r>
          <w:r>
            <w:fldChar w:fldCharType="separate"/>
          </w:r>
          <w:r w:rsidR="00A01B3C" w:rsidRPr="00A01B3C">
            <w:rPr>
              <w:noProof/>
              <w:lang w:val="en-US"/>
            </w:rPr>
            <w:t>[24]</w:t>
          </w:r>
          <w:r>
            <w:fldChar w:fldCharType="end"/>
          </w:r>
        </w:sdtContent>
      </w:sdt>
      <w:r>
        <w:t>]</w:t>
      </w:r>
    </w:p>
    <w:p w:rsidR="00CE3D20" w:rsidRDefault="00CE3D20" w:rsidP="00893069"/>
    <w:p w:rsidR="00C6158E" w:rsidRPr="00C6158E" w:rsidRDefault="00C6158E" w:rsidP="00C6158E">
      <w:r w:rsidRPr="00C6158E">
        <w:t xml:space="preserve">The spec shall include the definition of a cascading TXOP structure, allowing alternating DL and UL MU PPDUs starting with a DL MU PPDU in the same TXOP </w:t>
      </w:r>
    </w:p>
    <w:p w:rsidR="00C6158E" w:rsidRPr="00C6158E" w:rsidRDefault="00C6158E" w:rsidP="00C6158E">
      <w:pPr>
        <w:pStyle w:val="ListParagraph"/>
        <w:numPr>
          <w:ilvl w:val="0"/>
          <w:numId w:val="18"/>
        </w:numPr>
      </w:pPr>
      <w:r w:rsidRPr="00C6158E">
        <w:t>The TXOP sequence has only one DL transmitter</w:t>
      </w:r>
    </w:p>
    <w:p w:rsidR="00C6158E" w:rsidRPr="00C6158E" w:rsidRDefault="00C6158E" w:rsidP="00C6158E">
      <w:pPr>
        <w:pStyle w:val="ListParagraph"/>
        <w:numPr>
          <w:ilvl w:val="0"/>
          <w:numId w:val="18"/>
        </w:numPr>
      </w:pPr>
      <w:r w:rsidRPr="00C6158E">
        <w:t>The TXOP sequence may have different UL transmitters within each UL MU PPDU</w:t>
      </w:r>
    </w:p>
    <w:p w:rsidR="00C6158E" w:rsidRDefault="00C6158E" w:rsidP="00C6158E">
      <w:pPr>
        <w:pStyle w:val="ListParagraph"/>
        <w:numPr>
          <w:ilvl w:val="0"/>
          <w:numId w:val="18"/>
        </w:numPr>
      </w:pPr>
      <w:r w:rsidRPr="00C6158E">
        <w:t>The TXOP sequence may have a different set of transmitters in an UL MU PPDU as compared to the DL MU PPDU that follows the UL MU PPDU within the same TXOP</w:t>
      </w:r>
    </w:p>
    <w:p w:rsidR="00C6158E" w:rsidRDefault="00C6158E" w:rsidP="00C6158E">
      <w:r>
        <w:t xml:space="preserve">[MAC Motion 15, July 16, 2015, see </w:t>
      </w:r>
      <w:sdt>
        <w:sdtPr>
          <w:id w:val="249249853"/>
          <w:citation/>
        </w:sdtPr>
        <w:sdtContent>
          <w:r>
            <w:fldChar w:fldCharType="begin"/>
          </w:r>
          <w:r>
            <w:rPr>
              <w:lang w:val="en-US"/>
            </w:rPr>
            <w:instrText xml:space="preserve"> CITATION 15_0841r0 \l 1033 </w:instrText>
          </w:r>
          <w:r>
            <w:fldChar w:fldCharType="separate"/>
          </w:r>
          <w:r w:rsidR="00A01B3C" w:rsidRPr="00A01B3C">
            <w:rPr>
              <w:noProof/>
              <w:lang w:val="en-US"/>
            </w:rPr>
            <w:t>[24]</w:t>
          </w:r>
          <w:r>
            <w:fldChar w:fldCharType="end"/>
          </w:r>
        </w:sdtContent>
      </w:sdt>
      <w:r>
        <w:t>]</w:t>
      </w:r>
    </w:p>
    <w:p w:rsidR="00C6158E" w:rsidRDefault="00C6158E" w:rsidP="00C6158E"/>
    <w:p w:rsidR="00C6158E" w:rsidRDefault="00C6158E" w:rsidP="00C6158E">
      <w:r w:rsidRPr="00C6158E">
        <w:t>DL/UL OFDMA can multiplex different types of unicast frames in frequency domain</w:t>
      </w:r>
      <w:r w:rsidR="006539BB">
        <w:t xml:space="preserve">. </w:t>
      </w:r>
      <w:r w:rsidRPr="00C6158E">
        <w:t>Types of frames can be data frame/control frame/management frame</w:t>
      </w:r>
      <w:r>
        <w:t>.</w:t>
      </w:r>
      <w:r w:rsidR="006539BB">
        <w:t xml:space="preserve"> [MAC Motion 16, July 16, 2015, see </w:t>
      </w:r>
      <w:sdt>
        <w:sdtPr>
          <w:id w:val="414989674"/>
          <w:citation/>
        </w:sdtPr>
        <w:sdtContent>
          <w:r w:rsidR="006539BB">
            <w:fldChar w:fldCharType="begin"/>
          </w:r>
          <w:r w:rsidR="006539BB">
            <w:rPr>
              <w:lang w:val="en-US"/>
            </w:rPr>
            <w:instrText xml:space="preserve"> CITATION 15_0841r0 \l 1033 </w:instrText>
          </w:r>
          <w:r w:rsidR="006539BB">
            <w:fldChar w:fldCharType="separate"/>
          </w:r>
          <w:r w:rsidR="00A01B3C" w:rsidRPr="00A01B3C">
            <w:rPr>
              <w:noProof/>
              <w:lang w:val="en-US"/>
            </w:rPr>
            <w:t>[24]</w:t>
          </w:r>
          <w:r w:rsidR="006539BB">
            <w:fldChar w:fldCharType="end"/>
          </w:r>
        </w:sdtContent>
      </w:sdt>
      <w:r w:rsidR="006539BB">
        <w:t>]</w:t>
      </w:r>
    </w:p>
    <w:p w:rsidR="006539BB" w:rsidRDefault="006539BB" w:rsidP="00C6158E"/>
    <w:p w:rsidR="006539BB" w:rsidRDefault="006539BB" w:rsidP="006539BB">
      <w:r w:rsidRPr="006539BB">
        <w:t>DL/UL MU-MIMO can multiplex different types of uni</w:t>
      </w:r>
      <w:r>
        <w:t xml:space="preserve">cast frames in spatial domain. </w:t>
      </w:r>
      <w:r w:rsidRPr="006539BB">
        <w:t>Types of frames can be data frame</w:t>
      </w:r>
      <w:r>
        <w:t xml:space="preserve">/control frame/management frame. </w:t>
      </w:r>
      <w:r w:rsidRPr="006539BB">
        <w:t>Different types of frames are to/from different users</w:t>
      </w:r>
      <w:r>
        <w:t xml:space="preserve">. [MAC Motion 17, July 16, 2015, see </w:t>
      </w:r>
      <w:sdt>
        <w:sdtPr>
          <w:id w:val="1505861580"/>
          <w:citation/>
        </w:sdtPr>
        <w:sdtContent>
          <w:r>
            <w:fldChar w:fldCharType="begin"/>
          </w:r>
          <w:r>
            <w:rPr>
              <w:lang w:val="en-US"/>
            </w:rPr>
            <w:instrText xml:space="preserve"> CITATION 15_0841r0 \l 1033 </w:instrText>
          </w:r>
          <w:r>
            <w:fldChar w:fldCharType="separate"/>
          </w:r>
          <w:r w:rsidR="00A01B3C" w:rsidRPr="00A01B3C">
            <w:rPr>
              <w:noProof/>
              <w:lang w:val="en-US"/>
            </w:rPr>
            <w:t>[24]</w:t>
          </w:r>
          <w:r>
            <w:fldChar w:fldCharType="end"/>
          </w:r>
        </w:sdtContent>
      </w:sdt>
      <w:r>
        <w:t>]</w:t>
      </w:r>
    </w:p>
    <w:p w:rsidR="006539BB" w:rsidRDefault="006539BB" w:rsidP="006539BB"/>
    <w:p w:rsidR="006539BB" w:rsidRDefault="006539BB" w:rsidP="006539BB">
      <w:r>
        <w:t>A unicast T</w:t>
      </w:r>
      <w:r w:rsidRPr="006539BB">
        <w:t xml:space="preserve">rigger frame for a </w:t>
      </w:r>
      <w:r>
        <w:t xml:space="preserve">single user may be included in an AMPDU for that user </w:t>
      </w:r>
      <w:r w:rsidRPr="006539BB">
        <w:t>in the DL MU PPDU that precedes the UL MU transmission by TBD IFS</w:t>
      </w:r>
      <w:r>
        <w:t xml:space="preserve">. [MAC Motion 20, July 16, 2015, see </w:t>
      </w:r>
      <w:sdt>
        <w:sdtPr>
          <w:id w:val="2089412390"/>
          <w:citation/>
        </w:sdtPr>
        <w:sdtContent>
          <w:r>
            <w:fldChar w:fldCharType="begin"/>
          </w:r>
          <w:r>
            <w:rPr>
              <w:lang w:val="en-US"/>
            </w:rPr>
            <w:instrText xml:space="preserve"> CITATION 15_0831r2 \l 1033 </w:instrText>
          </w:r>
          <w:r>
            <w:fldChar w:fldCharType="separate"/>
          </w:r>
          <w:r w:rsidR="00A01B3C" w:rsidRPr="00A01B3C">
            <w:rPr>
              <w:noProof/>
              <w:lang w:val="en-US"/>
            </w:rPr>
            <w:t>[25]</w:t>
          </w:r>
          <w:r>
            <w:fldChar w:fldCharType="end"/>
          </w:r>
        </w:sdtContent>
      </w:sdt>
      <w:r>
        <w:t>]</w:t>
      </w:r>
    </w:p>
    <w:p w:rsidR="00943214" w:rsidRDefault="00943214" w:rsidP="006539BB"/>
    <w:p w:rsidR="00943214" w:rsidRDefault="00943214" w:rsidP="00943214">
      <w:r w:rsidRPr="00943214">
        <w:t xml:space="preserve">Broadcast trigger transmitted in a </w:t>
      </w:r>
      <w:proofErr w:type="spellStart"/>
      <w:r w:rsidRPr="00943214">
        <w:t>subchannel</w:t>
      </w:r>
      <w:proofErr w:type="spellEnd"/>
      <w:r w:rsidRPr="00943214">
        <w:t xml:space="preserve"> of DL OFDMA shall not include the resource allocation information of the STAs which are recipients of frames in the other </w:t>
      </w:r>
      <w:proofErr w:type="spellStart"/>
      <w:r w:rsidRPr="00943214">
        <w:t>subchannels</w:t>
      </w:r>
      <w:proofErr w:type="spellEnd"/>
      <w:r w:rsidRPr="00943214">
        <w:t xml:space="preserve"> of the DL OFDMA</w:t>
      </w:r>
      <w:r>
        <w:t>. T</w:t>
      </w:r>
      <w:r w:rsidRPr="00943214">
        <w:t xml:space="preserve">he </w:t>
      </w:r>
      <w:proofErr w:type="spellStart"/>
      <w:r w:rsidRPr="00943214">
        <w:t>subchannel</w:t>
      </w:r>
      <w:proofErr w:type="spellEnd"/>
      <w:r w:rsidRPr="00943214">
        <w:t xml:space="preserve"> of the broadcast trigger frame is identified by TBD </w:t>
      </w:r>
      <w:proofErr w:type="spellStart"/>
      <w:r w:rsidRPr="00943214">
        <w:t>signaling</w:t>
      </w:r>
      <w:proofErr w:type="spellEnd"/>
      <w:r w:rsidRPr="00943214">
        <w:t>.</w:t>
      </w:r>
      <w:r>
        <w:t xml:space="preserve"> [MAC Motion 21, July 16, 2015, see </w:t>
      </w:r>
      <w:sdt>
        <w:sdtPr>
          <w:id w:val="-522090312"/>
          <w:citation/>
        </w:sdtPr>
        <w:sdtContent>
          <w:r>
            <w:fldChar w:fldCharType="begin"/>
          </w:r>
          <w:r>
            <w:rPr>
              <w:lang w:val="en-US"/>
            </w:rPr>
            <w:instrText xml:space="preserve"> CITATION 15_0831r2 \l 1033 </w:instrText>
          </w:r>
          <w:r>
            <w:fldChar w:fldCharType="separate"/>
          </w:r>
          <w:r w:rsidR="00A01B3C" w:rsidRPr="00A01B3C">
            <w:rPr>
              <w:noProof/>
              <w:lang w:val="en-US"/>
            </w:rPr>
            <w:t>[25]</w:t>
          </w:r>
          <w:r>
            <w:fldChar w:fldCharType="end"/>
          </w:r>
        </w:sdtContent>
      </w:sdt>
      <w:r>
        <w:t>]</w:t>
      </w:r>
    </w:p>
    <w:p w:rsidR="00943214" w:rsidRDefault="00943214" w:rsidP="00943214"/>
    <w:p w:rsidR="00943214" w:rsidRPr="00943214" w:rsidRDefault="00943214" w:rsidP="00943214">
      <w:r w:rsidRPr="00943214">
        <w:t xml:space="preserve">The transmission for all the STAs in a DL MU (MIMO, OFDMA) PPDU shall end at the same time. </w:t>
      </w:r>
    </w:p>
    <w:p w:rsidR="00943214" w:rsidRDefault="00943214" w:rsidP="00943214">
      <w:r w:rsidRPr="00943214">
        <w:t>The A-MPDU padding per each STA follows the 11ac procedure</w:t>
      </w:r>
      <w:r>
        <w:t xml:space="preserve">. [MAC Motion 22, July 16, 2015, see </w:t>
      </w:r>
      <w:sdt>
        <w:sdtPr>
          <w:id w:val="1397013216"/>
          <w:citation/>
        </w:sdtPr>
        <w:sdtContent>
          <w:r>
            <w:fldChar w:fldCharType="begin"/>
          </w:r>
          <w:r>
            <w:rPr>
              <w:lang w:val="en-US"/>
            </w:rPr>
            <w:instrText xml:space="preserve"> CITATION 15_0876r1 \l 1033 </w:instrText>
          </w:r>
          <w:r>
            <w:fldChar w:fldCharType="separate"/>
          </w:r>
          <w:r w:rsidR="00A01B3C" w:rsidRPr="00A01B3C">
            <w:rPr>
              <w:noProof/>
              <w:lang w:val="en-US"/>
            </w:rPr>
            <w:t>[26]</w:t>
          </w:r>
          <w:r>
            <w:fldChar w:fldCharType="end"/>
          </w:r>
        </w:sdtContent>
      </w:sdt>
      <w:r>
        <w:t>]</w:t>
      </w:r>
    </w:p>
    <w:p w:rsidR="00943214" w:rsidRDefault="00943214" w:rsidP="00943214"/>
    <w:p w:rsidR="004D578D" w:rsidRDefault="004D578D" w:rsidP="004D578D">
      <w:pPr>
        <w:pStyle w:val="Heading2"/>
      </w:pPr>
      <w:r>
        <w:t>4.2 MU RTS/CTS procedure</w:t>
      </w:r>
    </w:p>
    <w:p w:rsidR="00CE3D20" w:rsidRDefault="00CE3D20" w:rsidP="00893069">
      <w:r w:rsidRPr="00CE3D20">
        <w:t>The spec shall define a frame that solicits simultaneous CTS responses from multiple STAs to protect DL MU transmission</w:t>
      </w:r>
      <w:r>
        <w:t xml:space="preserve">. [MU Motion 6, July 16, 2015, see </w:t>
      </w:r>
      <w:sdt>
        <w:sdtPr>
          <w:id w:val="-927887953"/>
          <w:citation/>
        </w:sdtPr>
        <w:sdtContent>
          <w:r>
            <w:fldChar w:fldCharType="begin"/>
          </w:r>
          <w:r>
            <w:rPr>
              <w:lang w:val="en-US"/>
            </w:rPr>
            <w:instrText xml:space="preserve"> CITATION 15_0867r1 \l 1033 </w:instrText>
          </w:r>
          <w:r>
            <w:fldChar w:fldCharType="separate"/>
          </w:r>
          <w:r w:rsidR="00A01B3C" w:rsidRPr="00A01B3C">
            <w:rPr>
              <w:noProof/>
              <w:lang w:val="en-US"/>
            </w:rPr>
            <w:t>[27]</w:t>
          </w:r>
          <w:r>
            <w:fldChar w:fldCharType="end"/>
          </w:r>
        </w:sdtContent>
      </w:sdt>
      <w:r>
        <w:t>]</w:t>
      </w:r>
    </w:p>
    <w:p w:rsidR="00CE3D20" w:rsidRDefault="00CE3D20" w:rsidP="00893069"/>
    <w:p w:rsidR="00CE3D20" w:rsidRDefault="00CE3D20" w:rsidP="00893069">
      <w:r w:rsidRPr="00CE3D20">
        <w:t>The scramble</w:t>
      </w:r>
      <w:r w:rsidR="004D578D">
        <w:t>r</w:t>
      </w:r>
      <w:r w:rsidRPr="00CE3D20">
        <w:t xml:space="preserve"> seed of </w:t>
      </w:r>
      <w:r w:rsidR="004D578D">
        <w:t xml:space="preserve">a </w:t>
      </w:r>
      <w:r w:rsidRPr="00CE3D20">
        <w:t>simultaneous CTS is same as the scramble</w:t>
      </w:r>
      <w:r w:rsidR="004D578D">
        <w:t>r</w:t>
      </w:r>
      <w:r w:rsidRPr="00CE3D20">
        <w:t xml:space="preserve"> seed of the frame </w:t>
      </w:r>
      <w:r w:rsidR="004D578D">
        <w:t>that</w:t>
      </w:r>
      <w:r w:rsidRPr="00CE3D20">
        <w:t xml:space="preserve"> triggers </w:t>
      </w:r>
      <w:r w:rsidR="004D578D">
        <w:t xml:space="preserve">the </w:t>
      </w:r>
      <w:r w:rsidRPr="00CE3D20">
        <w:t xml:space="preserve">simultaneous CTS. The transmission rate of </w:t>
      </w:r>
      <w:r w:rsidR="004D578D">
        <w:t xml:space="preserve">a </w:t>
      </w:r>
      <w:r w:rsidRPr="00CE3D20">
        <w:t xml:space="preserve">simultaneous CTS shall use the primary rate based on the rate or MCS of the frame that triggers </w:t>
      </w:r>
      <w:r w:rsidR="004D578D">
        <w:t xml:space="preserve">the </w:t>
      </w:r>
      <w:r w:rsidRPr="00CE3D20">
        <w:t>simultaneous CTS.</w:t>
      </w:r>
      <w:r w:rsidR="004D578D">
        <w:t xml:space="preserve"> [MU Motion 7, July 16, 2015, see </w:t>
      </w:r>
      <w:sdt>
        <w:sdtPr>
          <w:id w:val="-1570102938"/>
          <w:citation/>
        </w:sdtPr>
        <w:sdtContent>
          <w:r w:rsidR="004D578D">
            <w:fldChar w:fldCharType="begin"/>
          </w:r>
          <w:r w:rsidR="004D578D">
            <w:rPr>
              <w:lang w:val="en-US"/>
            </w:rPr>
            <w:instrText xml:space="preserve"> CITATION 15_0867r1 \l 1033 </w:instrText>
          </w:r>
          <w:r w:rsidR="004D578D">
            <w:fldChar w:fldCharType="separate"/>
          </w:r>
          <w:r w:rsidR="00A01B3C" w:rsidRPr="00A01B3C">
            <w:rPr>
              <w:noProof/>
              <w:lang w:val="en-US"/>
            </w:rPr>
            <w:t>[27]</w:t>
          </w:r>
          <w:r w:rsidR="004D578D">
            <w:fldChar w:fldCharType="end"/>
          </w:r>
        </w:sdtContent>
      </w:sdt>
      <w:r w:rsidR="004D578D">
        <w:t>]</w:t>
      </w:r>
    </w:p>
    <w:p w:rsidR="004D578D" w:rsidRDefault="004D578D" w:rsidP="004D578D">
      <w:pPr>
        <w:pStyle w:val="Heading2"/>
      </w:pPr>
      <w:r>
        <w:t>4.3 UL OFDMA-based Random Access</w:t>
      </w:r>
    </w:p>
    <w:p w:rsidR="004D578D" w:rsidRDefault="004D578D" w:rsidP="004D578D">
      <w:r w:rsidRPr="004D578D">
        <w:t>The spec shall define a Trigger frame that allocates resources for random access.</w:t>
      </w:r>
      <w:r>
        <w:t xml:space="preserve"> [MU Motion 8, July 16, 2015, see </w:t>
      </w:r>
      <w:sdt>
        <w:sdtPr>
          <w:id w:val="-2116659190"/>
          <w:citation/>
        </w:sdtPr>
        <w:sdtContent>
          <w:r>
            <w:fldChar w:fldCharType="begin"/>
          </w:r>
          <w:r>
            <w:rPr>
              <w:lang w:val="en-US"/>
            </w:rPr>
            <w:instrText xml:space="preserve"> CITATION Chi \l 1033 </w:instrText>
          </w:r>
          <w:r>
            <w:fldChar w:fldCharType="separate"/>
          </w:r>
          <w:r w:rsidR="00A01B3C" w:rsidRPr="00A01B3C">
            <w:rPr>
              <w:noProof/>
              <w:lang w:val="en-US"/>
            </w:rPr>
            <w:t>[28]</w:t>
          </w:r>
          <w:r>
            <w:fldChar w:fldCharType="end"/>
          </w:r>
        </w:sdtContent>
      </w:sdt>
      <w:r>
        <w:t>]</w:t>
      </w:r>
    </w:p>
    <w:p w:rsidR="004D578D" w:rsidRDefault="004D578D" w:rsidP="004D578D">
      <w:pPr>
        <w:pStyle w:val="Heading2"/>
      </w:pPr>
      <w:r>
        <w:t>4.4 Sounding protocol</w:t>
      </w:r>
    </w:p>
    <w:p w:rsidR="004D578D" w:rsidRPr="004D578D" w:rsidRDefault="004D578D" w:rsidP="004D578D">
      <w:r w:rsidRPr="004D578D">
        <w:t xml:space="preserve">The amendment shall include a CSI feedback mechanism which allows for a minimum feedback granularity of less than 20 </w:t>
      </w:r>
      <w:proofErr w:type="spellStart"/>
      <w:r w:rsidRPr="004D578D">
        <w:t>MHz.</w:t>
      </w:r>
      <w:proofErr w:type="spellEnd"/>
      <w:r>
        <w:t xml:space="preserve"> [MU Motion 9, July 16, 2015, see </w:t>
      </w:r>
      <w:sdt>
        <w:sdtPr>
          <w:id w:val="-1214346403"/>
          <w:citation/>
        </w:sdtPr>
        <w:sdtContent>
          <w:r>
            <w:fldChar w:fldCharType="begin"/>
          </w:r>
          <w:r>
            <w:rPr>
              <w:lang w:val="en-US"/>
            </w:rPr>
            <w:instrText xml:space="preserve"> CITATION 15_0818r \l 1033 </w:instrText>
          </w:r>
          <w:r>
            <w:fldChar w:fldCharType="separate"/>
          </w:r>
          <w:r w:rsidR="00A01B3C" w:rsidRPr="00A01B3C">
            <w:rPr>
              <w:noProof/>
              <w:lang w:val="en-US"/>
            </w:rPr>
            <w:t>[29]</w:t>
          </w:r>
          <w:r>
            <w:fldChar w:fldCharType="end"/>
          </w:r>
        </w:sdtContent>
      </w:sdt>
      <w:r>
        <w:t>]</w:t>
      </w:r>
    </w:p>
    <w:p w:rsidR="009B5811" w:rsidRDefault="00417271" w:rsidP="00417271">
      <w:pPr>
        <w:pStyle w:val="Heading1"/>
      </w:pPr>
      <w:r>
        <w:t xml:space="preserve">5 </w:t>
      </w:r>
      <w:r w:rsidR="009B5811">
        <w:t>Coexistence</w:t>
      </w:r>
    </w:p>
    <w:p w:rsidR="009B5811" w:rsidRDefault="009B5811" w:rsidP="009B5811"/>
    <w:p w:rsidR="009B5811" w:rsidRPr="009B5811" w:rsidRDefault="009B5811" w:rsidP="009B5811">
      <w:r>
        <w:lastRenderedPageBreak/>
        <w:t>This section describes the functional blocks that support coexistence.</w:t>
      </w:r>
    </w:p>
    <w:p w:rsidR="00555978" w:rsidRDefault="009B5811" w:rsidP="009B5811">
      <w:pPr>
        <w:pStyle w:val="Heading2"/>
      </w:pPr>
      <w:r>
        <w:t xml:space="preserve">5.1 </w:t>
      </w:r>
      <w:r w:rsidR="002360E0">
        <w:t xml:space="preserve">Features for </w:t>
      </w:r>
      <w:r w:rsidR="00477B34">
        <w:t>operation in dense environments</w:t>
      </w:r>
      <w:r w:rsidR="00555978">
        <w:t xml:space="preserve"> </w:t>
      </w:r>
    </w:p>
    <w:p w:rsidR="000840D0" w:rsidRDefault="000840D0" w:rsidP="000840D0"/>
    <w:p w:rsidR="00527100" w:rsidRDefault="00477B34" w:rsidP="000840D0">
      <w:r>
        <w:t>This section describes features that improve overlapping BSS (OBSS) operation in dense environments.</w:t>
      </w:r>
      <w:r w:rsidR="0039564A">
        <w:t xml:space="preserve"> This includes features such </w:t>
      </w:r>
      <w:r w:rsidR="00EF1E58">
        <w:t xml:space="preserve">as </w:t>
      </w:r>
      <w:r w:rsidR="0039564A">
        <w:t>deferral rules and CCA levels.</w:t>
      </w:r>
    </w:p>
    <w:p w:rsidR="009B5811" w:rsidRDefault="009B5811" w:rsidP="00DD7017">
      <w:pPr>
        <w:pStyle w:val="Heading1"/>
      </w:pPr>
      <w:r>
        <w:t>6 MAC</w:t>
      </w:r>
    </w:p>
    <w:p w:rsidR="009B5811" w:rsidRDefault="009B5811" w:rsidP="009B5811"/>
    <w:p w:rsidR="000D180D" w:rsidRDefault="000D180D" w:rsidP="000D180D">
      <w:pPr>
        <w:pStyle w:val="Heading2"/>
      </w:pPr>
      <w:r>
        <w:t xml:space="preserve">6.1 </w:t>
      </w:r>
      <w:proofErr w:type="spellStart"/>
      <w:r>
        <w:t>General</w:t>
      </w:r>
    </w:p>
    <w:p w:rsidR="00DD7017" w:rsidRDefault="009B5811" w:rsidP="009B5811">
      <w:proofErr w:type="spellEnd"/>
      <w:r>
        <w:t>This section describes general MAC functional blocks.</w:t>
      </w:r>
    </w:p>
    <w:p w:rsidR="00792AA8" w:rsidRDefault="00792AA8" w:rsidP="009B5811"/>
    <w:p w:rsidR="00C04D06" w:rsidRDefault="00792AA8" w:rsidP="009B5811">
      <w:r w:rsidRPr="00792AA8">
        <w:t>The amendment shall define a mechanism to allow the AP to configure the use of RTS/CTS initiated by non-AP STA</w:t>
      </w:r>
      <w:r>
        <w:t>. [MAC Motion #1, January 2015</w:t>
      </w:r>
      <w:r w:rsidR="00085C91">
        <w:t xml:space="preserve">, see </w:t>
      </w:r>
      <w:sdt>
        <w:sdtPr>
          <w:id w:val="1609780637"/>
          <w:citation/>
        </w:sdtPr>
        <w:sdtContent>
          <w:r w:rsidR="00085C91">
            <w:fldChar w:fldCharType="begin"/>
          </w:r>
          <w:r w:rsidR="000D180D">
            <w:rPr>
              <w:lang w:val="en-US"/>
            </w:rPr>
            <w:instrText xml:space="preserve">CITATION 15_0059r1 \l 1033 </w:instrText>
          </w:r>
          <w:r w:rsidR="00085C91">
            <w:fldChar w:fldCharType="separate"/>
          </w:r>
          <w:r w:rsidR="00A01B3C" w:rsidRPr="00A01B3C">
            <w:rPr>
              <w:noProof/>
              <w:lang w:val="en-US"/>
            </w:rPr>
            <w:t>[30]</w:t>
          </w:r>
          <w:r w:rsidR="00085C91">
            <w:fldChar w:fldCharType="end"/>
          </w:r>
        </w:sdtContent>
      </w:sdt>
      <w:r>
        <w:t>]</w:t>
      </w:r>
    </w:p>
    <w:p w:rsidR="0085778D" w:rsidRDefault="0085778D" w:rsidP="009B5811"/>
    <w:p w:rsidR="00943214" w:rsidRDefault="00943214" w:rsidP="009B5811">
      <w:r w:rsidRPr="00943214">
        <w:t>In 2.4 GHz HE STAs should send beacon and probe (request &amp; response) frames at rates ≥ 5.5 Mb/s.</w:t>
      </w:r>
      <w:r>
        <w:t xml:space="preserve"> [MAC Motion 24, 2015, see </w:t>
      </w:r>
      <w:sdt>
        <w:sdtPr>
          <w:id w:val="591752215"/>
          <w:citation/>
        </w:sdtPr>
        <w:sdtContent>
          <w:r>
            <w:fldChar w:fldCharType="begin"/>
          </w:r>
          <w:r>
            <w:rPr>
              <w:lang w:val="en-US"/>
            </w:rPr>
            <w:instrText xml:space="preserve"> CITATION Gui \l 1033 </w:instrText>
          </w:r>
          <w:r>
            <w:fldChar w:fldCharType="separate"/>
          </w:r>
          <w:r w:rsidR="00A01B3C" w:rsidRPr="00A01B3C">
            <w:rPr>
              <w:noProof/>
              <w:lang w:val="en-US"/>
            </w:rPr>
            <w:t>[31]</w:t>
          </w:r>
          <w:r>
            <w:fldChar w:fldCharType="end"/>
          </w:r>
        </w:sdtContent>
      </w:sdt>
      <w:r>
        <w:t>]</w:t>
      </w:r>
    </w:p>
    <w:p w:rsidR="00943214" w:rsidRDefault="00943214" w:rsidP="009B5811"/>
    <w:p w:rsidR="00943214" w:rsidRPr="00943214" w:rsidRDefault="00943214" w:rsidP="00943214">
      <w:r w:rsidRPr="00943214">
        <w:t>The spec shall include a mechanism that allows a target transmission time for a Trigger frame to be indicated. The mechanism is based on implicit TWT operation and additionally enables:</w:t>
      </w:r>
    </w:p>
    <w:p w:rsidR="00943214" w:rsidRPr="00943214" w:rsidRDefault="00943214" w:rsidP="00943214">
      <w:pPr>
        <w:pStyle w:val="ListParagraph"/>
        <w:numPr>
          <w:ilvl w:val="0"/>
          <w:numId w:val="19"/>
        </w:numPr>
      </w:pPr>
      <w:r w:rsidRPr="00943214">
        <w:t>Broadcast triggered TWT by including a TWT element in the Beacon</w:t>
      </w:r>
    </w:p>
    <w:p w:rsidR="00943214" w:rsidRDefault="00943214" w:rsidP="00943214">
      <w:pPr>
        <w:pStyle w:val="ListParagraph"/>
        <w:numPr>
          <w:ilvl w:val="0"/>
          <w:numId w:val="19"/>
        </w:numPr>
      </w:pPr>
      <w:r w:rsidRPr="00943214">
        <w:t>Solicited triggered TWT by using implicit TWT negotiation procedure</w:t>
      </w:r>
    </w:p>
    <w:p w:rsidR="00943214" w:rsidRDefault="00943214" w:rsidP="00943214">
      <w:r>
        <w:t xml:space="preserve">[MAC Motion 25, July 16, 2015, see </w:t>
      </w:r>
      <w:sdt>
        <w:sdtPr>
          <w:id w:val="2094121562"/>
          <w:citation/>
        </w:sdtPr>
        <w:sdtContent>
          <w:r>
            <w:fldChar w:fldCharType="begin"/>
          </w:r>
          <w:r>
            <w:rPr>
              <w:lang w:val="en-US"/>
            </w:rPr>
            <w:instrText xml:space="preserve"> CITATION 15_0880r2 \l 1033 </w:instrText>
          </w:r>
          <w:r>
            <w:fldChar w:fldCharType="separate"/>
          </w:r>
          <w:r w:rsidR="00A01B3C" w:rsidRPr="00A01B3C">
            <w:rPr>
              <w:noProof/>
              <w:lang w:val="en-US"/>
            </w:rPr>
            <w:t>[32]</w:t>
          </w:r>
          <w:r>
            <w:fldChar w:fldCharType="end"/>
          </w:r>
        </w:sdtContent>
      </w:sdt>
      <w:r>
        <w:t>]</w:t>
      </w:r>
    </w:p>
    <w:p w:rsidR="000D180D" w:rsidRDefault="000D180D" w:rsidP="00943214"/>
    <w:p w:rsidR="00943214" w:rsidRDefault="000D180D" w:rsidP="009B5811">
      <w:r w:rsidRPr="000D180D">
        <w:t>When the broadcast triggered TWT is enabled, STA and AP may exchange TWT request/response to indicate the target Beacon frame to be monitored by the PS STA.</w:t>
      </w:r>
      <w:r>
        <w:t xml:space="preserve"> [MAC Motion 26, July 16, 2015, see </w:t>
      </w:r>
      <w:sdt>
        <w:sdtPr>
          <w:id w:val="-854733512"/>
          <w:citation/>
        </w:sdtPr>
        <w:sdtContent>
          <w:r>
            <w:fldChar w:fldCharType="begin"/>
          </w:r>
          <w:r>
            <w:rPr>
              <w:lang w:val="en-US"/>
            </w:rPr>
            <w:instrText xml:space="preserve"> CITATION 15_0880r2 \l 1033 </w:instrText>
          </w:r>
          <w:r>
            <w:fldChar w:fldCharType="separate"/>
          </w:r>
          <w:r w:rsidR="00A01B3C" w:rsidRPr="00A01B3C">
            <w:rPr>
              <w:noProof/>
              <w:lang w:val="en-US"/>
            </w:rPr>
            <w:t>[32]</w:t>
          </w:r>
          <w:r>
            <w:fldChar w:fldCharType="end"/>
          </w:r>
        </w:sdtContent>
      </w:sdt>
      <w:r>
        <w:t>]</w:t>
      </w:r>
    </w:p>
    <w:p w:rsidR="00DD7017" w:rsidRDefault="000D180D" w:rsidP="00DD7017">
      <w:pPr>
        <w:pStyle w:val="Heading2"/>
      </w:pPr>
      <w:r>
        <w:t>6.2</w:t>
      </w:r>
      <w:r w:rsidR="00DD7017">
        <w:t xml:space="preserve"> Power Save</w:t>
      </w:r>
    </w:p>
    <w:p w:rsidR="00C04D06" w:rsidRDefault="00C04D06" w:rsidP="00C04D06"/>
    <w:p w:rsidR="00DD7017" w:rsidRDefault="00C04D06" w:rsidP="00C04D06">
      <w:pPr>
        <w:pStyle w:val="Heading1"/>
      </w:pPr>
      <w:r>
        <w:t>7 Frame formats</w:t>
      </w:r>
    </w:p>
    <w:p w:rsidR="006539BB" w:rsidRDefault="006539BB" w:rsidP="006539BB">
      <w:pPr>
        <w:pStyle w:val="Heading2"/>
      </w:pPr>
      <w:r>
        <w:t xml:space="preserve">7.1 </w:t>
      </w:r>
      <w:r w:rsidR="00A01B3C">
        <w:t>Trigger</w:t>
      </w:r>
      <w:r>
        <w:t xml:space="preserve"> frame</w:t>
      </w:r>
    </w:p>
    <w:p w:rsidR="006539BB" w:rsidRDefault="006539BB" w:rsidP="006539BB">
      <w:r w:rsidRPr="006539BB">
        <w:t>The spec shall define a new control frame format that carries sufficient information to identify the STAs transmitting the UL MU PPDUs and allocating resources for the UL MU PPDUs.</w:t>
      </w:r>
      <w:r>
        <w:t xml:space="preserve"> The format of the new frame is given in </w:t>
      </w:r>
      <w:r>
        <w:fldChar w:fldCharType="begin"/>
      </w:r>
      <w:r>
        <w:instrText xml:space="preserve"> REF _Ref425163371 \h </w:instrText>
      </w:r>
      <w:r>
        <w:fldChar w:fldCharType="separate"/>
      </w:r>
      <w:r w:rsidR="00A01B3C">
        <w:t xml:space="preserve">Figure </w:t>
      </w:r>
      <w:r w:rsidR="00A01B3C">
        <w:rPr>
          <w:noProof/>
        </w:rPr>
        <w:t>11</w:t>
      </w:r>
      <w:r>
        <w:fldChar w:fldCharType="end"/>
      </w:r>
      <w:r>
        <w:t xml:space="preserve">. The presence of A1 is TBD. [MAC Motion 19, July 16, 2015, see </w:t>
      </w:r>
      <w:sdt>
        <w:sdtPr>
          <w:id w:val="902482184"/>
          <w:citation/>
        </w:sdtPr>
        <w:sdtContent>
          <w:r>
            <w:fldChar w:fldCharType="begin"/>
          </w:r>
          <w:r>
            <w:rPr>
              <w:lang w:val="en-US"/>
            </w:rPr>
            <w:instrText xml:space="preserve"> CITATION Sim \l 1033 </w:instrText>
          </w:r>
          <w:r>
            <w:fldChar w:fldCharType="separate"/>
          </w:r>
          <w:r w:rsidR="00A01B3C" w:rsidRPr="00A01B3C">
            <w:rPr>
              <w:noProof/>
              <w:lang w:val="en-US"/>
            </w:rPr>
            <w:t>[33]</w:t>
          </w:r>
          <w:r>
            <w:fldChar w:fldCharType="end"/>
          </w:r>
        </w:sdtContent>
      </w:sdt>
      <w:r>
        <w:t>]</w:t>
      </w:r>
    </w:p>
    <w:p w:rsidR="006539BB" w:rsidRDefault="006539BB" w:rsidP="006539BB">
      <w:pPr>
        <w:keepNext/>
        <w:jc w:val="center"/>
      </w:pPr>
      <w:r w:rsidRPr="006539BB">
        <w:drawing>
          <wp:inline distT="0" distB="0" distL="0" distR="0" wp14:anchorId="1C9A6AEC" wp14:editId="6B04B30D">
            <wp:extent cx="4047214" cy="8402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69389" cy="844832"/>
                    </a:xfrm>
                    <a:prstGeom prst="rect">
                      <a:avLst/>
                    </a:prstGeom>
                    <a:noFill/>
                    <a:ln>
                      <a:noFill/>
                    </a:ln>
                  </pic:spPr>
                </pic:pic>
              </a:graphicData>
            </a:graphic>
          </wp:inline>
        </w:drawing>
      </w:r>
    </w:p>
    <w:p w:rsidR="006539BB" w:rsidRPr="006539BB" w:rsidRDefault="006539BB" w:rsidP="006539BB">
      <w:pPr>
        <w:pStyle w:val="Caption"/>
        <w:jc w:val="center"/>
      </w:pPr>
      <w:bookmarkStart w:id="13" w:name="_Ref425163371"/>
      <w:r>
        <w:t xml:space="preserve">Figure </w:t>
      </w:r>
      <w:r>
        <w:fldChar w:fldCharType="begin"/>
      </w:r>
      <w:r>
        <w:instrText xml:space="preserve"> SEQ Figure \* ARABIC </w:instrText>
      </w:r>
      <w:r>
        <w:fldChar w:fldCharType="separate"/>
      </w:r>
      <w:r w:rsidR="00A01B3C">
        <w:rPr>
          <w:noProof/>
        </w:rPr>
        <w:t>11</w:t>
      </w:r>
      <w:r>
        <w:fldChar w:fldCharType="end"/>
      </w:r>
      <w:bookmarkEnd w:id="13"/>
      <w:r>
        <w:t xml:space="preserve"> - </w:t>
      </w:r>
      <w:r w:rsidR="00A01B3C">
        <w:t>Trigger</w:t>
      </w:r>
      <w:r>
        <w:t xml:space="preserve"> frame</w:t>
      </w:r>
    </w:p>
    <w:p w:rsidR="00C04D06" w:rsidRDefault="00C04D06" w:rsidP="00C04D06">
      <w:pPr>
        <w:pStyle w:val="Heading2"/>
      </w:pPr>
      <w:r>
        <w:t>7.2 Multi-STA BA</w:t>
      </w:r>
    </w:p>
    <w:p w:rsidR="00C04D06" w:rsidRDefault="00C04D06" w:rsidP="00C04D06"/>
    <w:p w:rsidR="00C04D06" w:rsidRDefault="00C04D06" w:rsidP="00C04D06">
      <w:r>
        <w:t xml:space="preserve">The spec shall define a multi-STA BA frame by using the Multi-TID </w:t>
      </w:r>
      <w:proofErr w:type="spellStart"/>
      <w:r>
        <w:t>BlockAck</w:t>
      </w:r>
      <w:proofErr w:type="spellEnd"/>
      <w:r>
        <w:t xml:space="preserve"> frame format with the following changes:</w:t>
      </w:r>
    </w:p>
    <w:p w:rsidR="00C04D06" w:rsidRDefault="00C04D06" w:rsidP="00C04D06">
      <w:pPr>
        <w:pStyle w:val="ListParagraph"/>
        <w:numPr>
          <w:ilvl w:val="0"/>
          <w:numId w:val="8"/>
        </w:numPr>
      </w:pPr>
      <w:r>
        <w:t>Add an indication that the frame is a multi-STA BA (TBD)</w:t>
      </w:r>
    </w:p>
    <w:p w:rsidR="00C04D06" w:rsidRDefault="00C04D06" w:rsidP="00C04D06">
      <w:pPr>
        <w:pStyle w:val="ListParagraph"/>
        <w:numPr>
          <w:ilvl w:val="0"/>
          <w:numId w:val="8"/>
        </w:numPr>
      </w:pPr>
      <w:r>
        <w:lastRenderedPageBreak/>
        <w:t>Each BA Information field can be addressed to different STAs</w:t>
      </w:r>
    </w:p>
    <w:p w:rsidR="00C04D06" w:rsidRDefault="00C04D06" w:rsidP="00C04D06">
      <w:pPr>
        <w:pStyle w:val="ListParagraph"/>
        <w:numPr>
          <w:ilvl w:val="0"/>
          <w:numId w:val="8"/>
        </w:numPr>
      </w:pPr>
      <w:r>
        <w:t>B0-B10 of the Per TID Info field carry a (Partial) AID identifying the intended receiver of the BA Information field</w:t>
      </w:r>
    </w:p>
    <w:p w:rsidR="00C04D06" w:rsidRDefault="00C04D06" w:rsidP="00C04D06">
      <w:r>
        <w:t>[MAC Motion #1, March 2015</w:t>
      </w:r>
      <w:r w:rsidR="00085C91">
        <w:t xml:space="preserve">, see </w:t>
      </w:r>
      <w:sdt>
        <w:sdtPr>
          <w:id w:val="-368386076"/>
          <w:citation/>
        </w:sdtPr>
        <w:sdtContent>
          <w:r w:rsidR="00085C91">
            <w:fldChar w:fldCharType="begin"/>
          </w:r>
          <w:r w:rsidR="000D180D">
            <w:rPr>
              <w:lang w:val="en-US"/>
            </w:rPr>
            <w:instrText xml:space="preserve">CITATION 15_0366r2 \l 1033 </w:instrText>
          </w:r>
          <w:r w:rsidR="00085C91">
            <w:fldChar w:fldCharType="separate"/>
          </w:r>
          <w:r w:rsidR="00A01B3C" w:rsidRPr="00A01B3C">
            <w:rPr>
              <w:noProof/>
              <w:lang w:val="en-US"/>
            </w:rPr>
            <w:t>[34]</w:t>
          </w:r>
          <w:r w:rsidR="00085C91">
            <w:fldChar w:fldCharType="end"/>
          </w:r>
        </w:sdtContent>
      </w:sdt>
      <w:r>
        <w:t>]</w:t>
      </w:r>
    </w:p>
    <w:p w:rsidR="00C04D06" w:rsidRDefault="00C04D06" w:rsidP="00C04D06"/>
    <w:p w:rsidR="00C04D06" w:rsidRDefault="00C04D06" w:rsidP="00C04D06">
      <w:r>
        <w:t xml:space="preserve">The spec shall define a </w:t>
      </w:r>
      <w:proofErr w:type="spellStart"/>
      <w:r>
        <w:t>signaling</w:t>
      </w:r>
      <w:proofErr w:type="spellEnd"/>
      <w:r>
        <w:t xml:space="preserve"> in the Multi-STA BA frame that can indicate an ACK, as follows: </w:t>
      </w:r>
    </w:p>
    <w:p w:rsidR="00C04D06" w:rsidRDefault="00C04D06" w:rsidP="003E49B0">
      <w:pPr>
        <w:pStyle w:val="ListParagraph"/>
        <w:numPr>
          <w:ilvl w:val="0"/>
          <w:numId w:val="9"/>
        </w:numPr>
      </w:pPr>
      <w:r>
        <w:t xml:space="preserve">If B11 in the per-TID info field is set, then the </w:t>
      </w:r>
      <w:proofErr w:type="spellStart"/>
      <w:r>
        <w:t>BlockAck</w:t>
      </w:r>
      <w:proofErr w:type="spellEnd"/>
      <w:r>
        <w:t xml:space="preserve"> bitmap and the SC subfields in the BA Info field are not present and this BA Info field indicates an ACK </w:t>
      </w:r>
      <w:r w:rsidR="003E49B0" w:rsidRPr="003E49B0">
        <w:t xml:space="preserve">of either single MPDU or all MPDUs carried in the eliciting PPDU that was transmitted by the STA whose </w:t>
      </w:r>
      <w:r>
        <w:t xml:space="preserve">AID </w:t>
      </w:r>
      <w:r w:rsidR="003E49B0">
        <w:t xml:space="preserve">is </w:t>
      </w:r>
      <w:r>
        <w:t>indicated in the per-TID info field</w:t>
      </w:r>
      <w:r w:rsidR="003E49B0">
        <w:t>. [</w:t>
      </w:r>
      <w:proofErr w:type="spellStart"/>
      <w:r w:rsidR="003E49B0">
        <w:t>Modifed</w:t>
      </w:r>
      <w:proofErr w:type="spellEnd"/>
      <w:r w:rsidR="003E49B0">
        <w:t xml:space="preserve"> with MAC Motion #</w:t>
      </w:r>
      <w:r w:rsidR="000B4A3A">
        <w:t>8</w:t>
      </w:r>
      <w:r w:rsidR="003E49B0">
        <w:t xml:space="preserve">, May 2015, see </w:t>
      </w:r>
      <w:sdt>
        <w:sdtPr>
          <w:id w:val="-1130397110"/>
          <w:citation/>
        </w:sdtPr>
        <w:sdtContent>
          <w:r w:rsidR="000B4A3A">
            <w:fldChar w:fldCharType="begin"/>
          </w:r>
          <w:r w:rsidR="000D180D">
            <w:rPr>
              <w:lang w:val="en-US"/>
            </w:rPr>
            <w:instrText xml:space="preserve">CITATION 15_0626r1 \l 1033 </w:instrText>
          </w:r>
          <w:r w:rsidR="000B4A3A">
            <w:fldChar w:fldCharType="separate"/>
          </w:r>
          <w:r w:rsidR="00A01B3C" w:rsidRPr="00A01B3C">
            <w:rPr>
              <w:noProof/>
              <w:lang w:val="en-US"/>
            </w:rPr>
            <w:t>[35]</w:t>
          </w:r>
          <w:r w:rsidR="000B4A3A">
            <w:fldChar w:fldCharType="end"/>
          </w:r>
        </w:sdtContent>
      </w:sdt>
      <w:r w:rsidR="003E49B0">
        <w:t>]</w:t>
      </w:r>
    </w:p>
    <w:p w:rsidR="00C04D06" w:rsidRDefault="00C04D06" w:rsidP="00C04D06"/>
    <w:p w:rsidR="00C04D06" w:rsidRDefault="00C04D06" w:rsidP="00C04D06">
      <w:pPr>
        <w:keepNext/>
      </w:pPr>
      <w:r>
        <w:rPr>
          <w:noProof/>
          <w:lang w:val="en-US"/>
        </w:rPr>
        <w:drawing>
          <wp:inline distT="0" distB="0" distL="0" distR="0" wp14:anchorId="4AAAE811" wp14:editId="1995C000">
            <wp:extent cx="62001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2115185"/>
                    </a:xfrm>
                    <a:prstGeom prst="rect">
                      <a:avLst/>
                    </a:prstGeom>
                    <a:noFill/>
                  </pic:spPr>
                </pic:pic>
              </a:graphicData>
            </a:graphic>
          </wp:inline>
        </w:drawing>
      </w:r>
    </w:p>
    <w:p w:rsidR="00C04D06" w:rsidRDefault="00C04D06" w:rsidP="00C04D06">
      <w:pPr>
        <w:pStyle w:val="Caption"/>
        <w:jc w:val="center"/>
      </w:pPr>
      <w:r>
        <w:t xml:space="preserve">Figure </w:t>
      </w:r>
      <w:r>
        <w:fldChar w:fldCharType="begin"/>
      </w:r>
      <w:r>
        <w:instrText xml:space="preserve"> SEQ Figure \* ARABIC </w:instrText>
      </w:r>
      <w:r>
        <w:fldChar w:fldCharType="separate"/>
      </w:r>
      <w:r w:rsidR="00A01B3C">
        <w:rPr>
          <w:noProof/>
        </w:rPr>
        <w:t>12</w:t>
      </w:r>
      <w:r>
        <w:fldChar w:fldCharType="end"/>
      </w:r>
      <w:r>
        <w:t xml:space="preserve"> - Multi-STA BA format</w:t>
      </w:r>
    </w:p>
    <w:p w:rsidR="00085C91" w:rsidRDefault="00C04D06" w:rsidP="00417271">
      <w:r>
        <w:t>[MAC Motion #2, March 2015</w:t>
      </w:r>
      <w:r w:rsidR="00CB0D21">
        <w:t>, see</w:t>
      </w:r>
      <w:r w:rsidR="00085C91">
        <w:t xml:space="preserve"> </w:t>
      </w:r>
      <w:sdt>
        <w:sdtPr>
          <w:id w:val="-695464024"/>
          <w:citation/>
        </w:sdtPr>
        <w:sdtContent>
          <w:r w:rsidR="00085C91">
            <w:fldChar w:fldCharType="begin"/>
          </w:r>
          <w:r w:rsidR="000D180D">
            <w:rPr>
              <w:lang w:val="en-US"/>
            </w:rPr>
            <w:instrText xml:space="preserve">CITATION 15_0366r2 \l 1033 </w:instrText>
          </w:r>
          <w:r w:rsidR="00085C91">
            <w:fldChar w:fldCharType="separate"/>
          </w:r>
          <w:r w:rsidR="00A01B3C" w:rsidRPr="00A01B3C">
            <w:rPr>
              <w:noProof/>
              <w:lang w:val="en-US"/>
            </w:rPr>
            <w:t>[34]</w:t>
          </w:r>
          <w:r w:rsidR="00085C91">
            <w:fldChar w:fldCharType="end"/>
          </w:r>
        </w:sdtContent>
      </w:sdt>
      <w:r>
        <w:t>]</w:t>
      </w:r>
    </w:p>
    <w:sdt>
      <w:sdtPr>
        <w:rPr>
          <w:rFonts w:ascii="Times New Roman" w:hAnsi="Times New Roman"/>
          <w:b w:val="0"/>
          <w:sz w:val="22"/>
          <w:u w:val="none"/>
        </w:rPr>
        <w:id w:val="1414195809"/>
        <w:docPartObj>
          <w:docPartGallery w:val="Bibliographies"/>
          <w:docPartUnique/>
        </w:docPartObj>
      </w:sdtPr>
      <w:sdtContent>
        <w:p w:rsidR="00526D33" w:rsidRDefault="00526D33">
          <w:pPr>
            <w:pStyle w:val="Heading1"/>
          </w:pPr>
          <w:r>
            <w:t>References</w:t>
          </w:r>
        </w:p>
        <w:sdt>
          <w:sdtPr>
            <w:id w:val="-573587230"/>
            <w:bibliography/>
          </w:sdtPr>
          <w:sdtContent>
            <w:p w:rsidR="00A303C6" w:rsidRDefault="00526D33" w:rsidP="00417271">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A303C6">
                <w:trPr>
                  <w:divId w:val="1119763886"/>
                  <w:tblCellSpacing w:w="15" w:type="dxa"/>
                </w:trPr>
                <w:tc>
                  <w:tcPr>
                    <w:tcW w:w="50" w:type="pct"/>
                    <w:hideMark/>
                  </w:tcPr>
                  <w:p w:rsidR="00A303C6" w:rsidRDefault="00A303C6">
                    <w:pPr>
                      <w:pStyle w:val="Bibliography"/>
                      <w:rPr>
                        <w:noProof/>
                        <w:sz w:val="24"/>
                        <w:szCs w:val="24"/>
                      </w:rPr>
                    </w:pPr>
                    <w:r>
                      <w:rPr>
                        <w:noProof/>
                      </w:rPr>
                      <w:t xml:space="preserve">[1] </w:t>
                    </w:r>
                  </w:p>
                </w:tc>
                <w:tc>
                  <w:tcPr>
                    <w:tcW w:w="0" w:type="auto"/>
                    <w:hideMark/>
                  </w:tcPr>
                  <w:p w:rsidR="00A303C6" w:rsidRDefault="00A303C6">
                    <w:pPr>
                      <w:pStyle w:val="Bibliography"/>
                      <w:rPr>
                        <w:noProof/>
                      </w:rPr>
                    </w:pPr>
                    <w:r>
                      <w:rPr>
                        <w:noProof/>
                      </w:rPr>
                      <w:t xml:space="preserve">Robert Stacey (Intel), “14/1453r2 Spec Framework Proposal”.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 </w:t>
                    </w:r>
                  </w:p>
                </w:tc>
                <w:tc>
                  <w:tcPr>
                    <w:tcW w:w="0" w:type="auto"/>
                    <w:hideMark/>
                  </w:tcPr>
                  <w:p w:rsidR="00A303C6" w:rsidRDefault="00A303C6">
                    <w:pPr>
                      <w:pStyle w:val="Bibliography"/>
                      <w:rPr>
                        <w:noProof/>
                      </w:rPr>
                    </w:pPr>
                    <w:r>
                      <w:rPr>
                        <w:noProof/>
                      </w:rPr>
                      <w:t xml:space="preserve">Jiayin Zhang (Huawei), “15/0101r1 Preamble structure for 11ax system”.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[3] </w:t>
                    </w:r>
                  </w:p>
                </w:tc>
                <w:tc>
                  <w:tcPr>
                    <w:tcW w:w="0" w:type="auto"/>
                    <w:hideMark/>
                  </w:tcPr>
                  <w:p w:rsidR="00A303C6" w:rsidRDefault="00A303C6">
                    <w:pPr>
                      <w:pStyle w:val="Bibliography"/>
                      <w:rPr>
                        <w:noProof/>
                      </w:rPr>
                    </w:pPr>
                    <w:r>
                      <w:rPr>
                        <w:noProof/>
                      </w:rPr>
                      <w:t xml:space="preserve">Hongyuan Zhang (Marvell), “15/0579r3 Preamble Design and Autodetection”.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[4] </w:t>
                    </w:r>
                  </w:p>
                </w:tc>
                <w:tc>
                  <w:tcPr>
                    <w:tcW w:w="0" w:type="auto"/>
                    <w:hideMark/>
                  </w:tcPr>
                  <w:p w:rsidR="00A303C6" w:rsidRDefault="00A303C6">
                    <w:pPr>
                      <w:pStyle w:val="Bibliography"/>
                      <w:rPr>
                        <w:noProof/>
                      </w:rPr>
                    </w:pPr>
                    <w:r>
                      <w:rPr>
                        <w:noProof/>
                      </w:rPr>
                      <w:t xml:space="preserve">Jiayin Zhang (Huawei), “15/0832r1 Performance evaluation of SU/MU MIMO in OFDMA”.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[5] </w:t>
                    </w:r>
                  </w:p>
                </w:tc>
                <w:tc>
                  <w:tcPr>
                    <w:tcW w:w="0" w:type="auto"/>
                    <w:hideMark/>
                  </w:tcPr>
                  <w:p w:rsidR="00A303C6" w:rsidRDefault="00A303C6">
                    <w:pPr>
                      <w:pStyle w:val="Bibliography"/>
                      <w:rPr>
                        <w:noProof/>
                      </w:rPr>
                    </w:pPr>
                    <w:r>
                      <w:rPr>
                        <w:noProof/>
                      </w:rPr>
                      <w:t xml:space="preserve">Jianhan Liu (Mediatek Inc.), “15/0822r2 SIG-A Structure in 11ax Preamble”.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[6] </w:t>
                    </w:r>
                  </w:p>
                </w:tc>
                <w:tc>
                  <w:tcPr>
                    <w:tcW w:w="0" w:type="auto"/>
                    <w:hideMark/>
                  </w:tcPr>
                  <w:p w:rsidR="00A303C6" w:rsidRDefault="00A303C6">
                    <w:pPr>
                      <w:pStyle w:val="Bibliography"/>
                      <w:rPr>
                        <w:noProof/>
                      </w:rPr>
                    </w:pPr>
                    <w:r>
                      <w:rPr>
                        <w:noProof/>
                      </w:rPr>
                      <w:t xml:space="preserve">Young Hoon Kwon (Newracom), “15/0344r2 SIG Field Design Principle for 11ax”.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[7] </w:t>
                    </w:r>
                  </w:p>
                </w:tc>
                <w:tc>
                  <w:tcPr>
                    <w:tcW w:w="0" w:type="auto"/>
                    <w:hideMark/>
                  </w:tcPr>
                  <w:p w:rsidR="00A303C6" w:rsidRDefault="00A303C6">
                    <w:pPr>
                      <w:pStyle w:val="Bibliography"/>
                      <w:rPr>
                        <w:noProof/>
                      </w:rPr>
                    </w:pPr>
                    <w:r>
                      <w:rPr>
                        <w:noProof/>
                      </w:rPr>
                      <w:t xml:space="preserve">Ron Porat, “15/0873r0 SIG-B Encoding Structure”.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[8] </w:t>
                    </w:r>
                  </w:p>
                </w:tc>
                <w:tc>
                  <w:tcPr>
                    <w:tcW w:w="0" w:type="auto"/>
                    <w:hideMark/>
                  </w:tcPr>
                  <w:p w:rsidR="00A303C6" w:rsidRDefault="00A303C6">
                    <w:pPr>
                      <w:pStyle w:val="Bibliography"/>
                      <w:rPr>
                        <w:noProof/>
                      </w:rPr>
                    </w:pPr>
                    <w:r>
                      <w:rPr>
                        <w:noProof/>
                      </w:rPr>
                      <w:t xml:space="preserve">Joonsuk Kim (Apple), “15/0821r2 HE SIG-B Structure”.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[9] </w:t>
                    </w:r>
                  </w:p>
                </w:tc>
                <w:tc>
                  <w:tcPr>
                    <w:tcW w:w="0" w:type="auto"/>
                    <w:hideMark/>
                  </w:tcPr>
                  <w:p w:rsidR="00A303C6" w:rsidRDefault="00A303C6">
                    <w:pPr>
                      <w:pStyle w:val="Bibliography"/>
                      <w:rPr>
                        <w:noProof/>
                      </w:rPr>
                    </w:pPr>
                    <w:r>
                      <w:rPr>
                        <w:noProof/>
                      </w:rPr>
                      <w:t xml:space="preserve">Katsuo Yunoki (KDDI R&amp;D Laboratories), “15/0827r2 Considerations on HE-SIG-A and B”.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[10] </w:t>
                    </w:r>
                  </w:p>
                </w:tc>
                <w:tc>
                  <w:tcPr>
                    <w:tcW w:w="0" w:type="auto"/>
                    <w:hideMark/>
                  </w:tcPr>
                  <w:p w:rsidR="00A303C6" w:rsidRDefault="00A303C6">
                    <w:pPr>
                      <w:pStyle w:val="Bibliography"/>
                      <w:rPr>
                        <w:noProof/>
                      </w:rPr>
                    </w:pPr>
                    <w:r>
                      <w:rPr>
                        <w:noProof/>
                      </w:rPr>
                      <w:t xml:space="preserve">Yakun Sun (Marvell), “15/0381r1 HE-STF Proposal”.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[11] </w:t>
                    </w:r>
                  </w:p>
                </w:tc>
                <w:tc>
                  <w:tcPr>
                    <w:tcW w:w="0" w:type="auto"/>
                    <w:hideMark/>
                  </w:tcPr>
                  <w:p w:rsidR="00A303C6" w:rsidRDefault="00A303C6">
                    <w:pPr>
                      <w:pStyle w:val="Bibliography"/>
                      <w:rPr>
                        <w:noProof/>
                      </w:rPr>
                    </w:pPr>
                    <w:r>
                      <w:rPr>
                        <w:noProof/>
                      </w:rPr>
                      <w:t xml:space="preserve">Hongyuan Zhang (Marvell), “15/0349r2 HE-LTF Proposal”.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[12] </w:t>
                    </w:r>
                  </w:p>
                </w:tc>
                <w:tc>
                  <w:tcPr>
                    <w:tcW w:w="0" w:type="auto"/>
                    <w:hideMark/>
                  </w:tcPr>
                  <w:p w:rsidR="00A303C6" w:rsidRDefault="00A303C6">
                    <w:pPr>
                      <w:pStyle w:val="Bibliography"/>
                      <w:rPr>
                        <w:noProof/>
                      </w:rPr>
                    </w:pPr>
                    <w:r>
                      <w:rPr>
                        <w:noProof/>
                      </w:rPr>
                      <w:t xml:space="preserve">Yakun Sun (Marvell), “15/0817r0 P Matrix for HE-LTF”.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[13] </w:t>
                    </w:r>
                  </w:p>
                </w:tc>
                <w:tc>
                  <w:tcPr>
                    <w:tcW w:w="0" w:type="auto"/>
                    <w:hideMark/>
                  </w:tcPr>
                  <w:p w:rsidR="00A303C6" w:rsidRDefault="00A303C6">
                    <w:pPr>
                      <w:pStyle w:val="Bibliography"/>
                      <w:rPr>
                        <w:noProof/>
                      </w:rPr>
                    </w:pPr>
                    <w:r>
                      <w:rPr>
                        <w:noProof/>
                      </w:rPr>
                      <w:t xml:space="preserve">Bin Tian (Qualcomm), “15/0819r1 11ax OFDMA Tone Plan Leftover Tones and Pilot Structure”.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[14] </w:t>
                    </w:r>
                  </w:p>
                </w:tc>
                <w:tc>
                  <w:tcPr>
                    <w:tcW w:w="0" w:type="auto"/>
                    <w:hideMark/>
                  </w:tcPr>
                  <w:p w:rsidR="00A303C6" w:rsidRDefault="00A303C6">
                    <w:pPr>
                      <w:pStyle w:val="Bibliography"/>
                      <w:rPr>
                        <w:noProof/>
                      </w:rPr>
                    </w:pPr>
                    <w:r>
                      <w:rPr>
                        <w:noProof/>
                      </w:rPr>
                      <w:t xml:space="preserve">Sriram Venkateswaran (Broadcom), “15/0099r4 Payload Symbol Size for 11ax”.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[15] </w:t>
                    </w:r>
                  </w:p>
                </w:tc>
                <w:tc>
                  <w:tcPr>
                    <w:tcW w:w="0" w:type="auto"/>
                    <w:hideMark/>
                  </w:tcPr>
                  <w:p w:rsidR="00A303C6" w:rsidRDefault="00A303C6">
                    <w:pPr>
                      <w:pStyle w:val="Bibliography"/>
                      <w:rPr>
                        <w:noProof/>
                      </w:rPr>
                    </w:pPr>
                    <w:r>
                      <w:rPr>
                        <w:noProof/>
                      </w:rPr>
                      <w:t xml:space="preserve">Sameer Vermani (Qualcomm), “15/0812r1 Pilot Design for Data Section”.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[16] </w:t>
                    </w:r>
                  </w:p>
                </w:tc>
                <w:tc>
                  <w:tcPr>
                    <w:tcW w:w="0" w:type="auto"/>
                    <w:hideMark/>
                  </w:tcPr>
                  <w:p w:rsidR="00A303C6" w:rsidRDefault="00A303C6">
                    <w:pPr>
                      <w:pStyle w:val="Bibliography"/>
                      <w:rPr>
                        <w:noProof/>
                      </w:rPr>
                    </w:pPr>
                    <w:r>
                      <w:rPr>
                        <w:noProof/>
                      </w:rPr>
                      <w:t xml:space="preserve">Shahrnaz Azizi (Intel), “15/0330r5 OFDMA Numerology and Structure”.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[17] </w:t>
                    </w:r>
                  </w:p>
                </w:tc>
                <w:tc>
                  <w:tcPr>
                    <w:tcW w:w="0" w:type="auto"/>
                    <w:hideMark/>
                  </w:tcPr>
                  <w:p w:rsidR="00A303C6" w:rsidRDefault="00A303C6">
                    <w:pPr>
                      <w:pStyle w:val="Bibliography"/>
                      <w:rPr>
                        <w:noProof/>
                      </w:rPr>
                    </w:pPr>
                    <w:r>
                      <w:rPr>
                        <w:noProof/>
                      </w:rPr>
                      <w:t xml:space="preserve">Hongyuan Zhang (Marvell), “15/0580r1 11ax coding discussion”.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[18] </w:t>
                    </w:r>
                  </w:p>
                </w:tc>
                <w:tc>
                  <w:tcPr>
                    <w:tcW w:w="0" w:type="auto"/>
                    <w:hideMark/>
                  </w:tcPr>
                  <w:p w:rsidR="00A303C6" w:rsidRDefault="00A303C6">
                    <w:pPr>
                      <w:pStyle w:val="Bibliography"/>
                      <w:rPr>
                        <w:noProof/>
                      </w:rPr>
                    </w:pPr>
                    <w:r>
                      <w:rPr>
                        <w:noProof/>
                      </w:rPr>
                      <w:t xml:space="preserve">Tomoko Adachi (Toshiba), “15/0064r1 Consideration on UL-MU overheads”. </w:t>
                    </w:r>
                  </w:p>
                </w:tc>
              </w:tr>
              <w:tr w:rsidR="00A303C6">
                <w:trPr>
                  <w:divId w:val="1119763886"/>
                  <w:tblCellSpacing w:w="15" w:type="dxa"/>
                </w:trPr>
                <w:tc>
                  <w:tcPr>
                    <w:tcW w:w="50" w:type="pct"/>
                    <w:hideMark/>
                  </w:tcPr>
                  <w:p w:rsidR="00A303C6" w:rsidRDefault="00A303C6">
                    <w:pPr>
                      <w:pStyle w:val="Bibliography"/>
                      <w:rPr>
                        <w:noProof/>
                      </w:rPr>
                    </w:pPr>
                    <w:r>
                      <w:rPr>
                        <w:noProof/>
                      </w:rPr>
                      <w:lastRenderedPageBreak/>
                      <w:t xml:space="preserve">[19] </w:t>
                    </w:r>
                  </w:p>
                </w:tc>
                <w:tc>
                  <w:tcPr>
                    <w:tcW w:w="0" w:type="auto"/>
                    <w:hideMark/>
                  </w:tcPr>
                  <w:p w:rsidR="00A303C6" w:rsidRDefault="00A303C6">
                    <w:pPr>
                      <w:pStyle w:val="Bibliography"/>
                      <w:rPr>
                        <w:noProof/>
                      </w:rPr>
                    </w:pPr>
                    <w:r>
                      <w:rPr>
                        <w:noProof/>
                      </w:rPr>
                      <w:t xml:space="preserve">Zhigang Rong (Huawei), “15/0813r1 CP Indication for UL MU Transmission”.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[20] </w:t>
                    </w:r>
                  </w:p>
                </w:tc>
                <w:tc>
                  <w:tcPr>
                    <w:tcW w:w="0" w:type="auto"/>
                    <w:hideMark/>
                  </w:tcPr>
                  <w:p w:rsidR="00A303C6" w:rsidRDefault="00A303C6">
                    <w:pPr>
                      <w:pStyle w:val="Bibliography"/>
                      <w:rPr>
                        <w:noProof/>
                      </w:rPr>
                    </w:pPr>
                    <w:r>
                      <w:rPr>
                        <w:noProof/>
                      </w:rPr>
                      <w:t xml:space="preserve">Reza Hedayat (Newracom), “15/0379r1 DL OFDMA Performance and ACK Multiplexing”.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[21] </w:t>
                    </w:r>
                  </w:p>
                </w:tc>
                <w:tc>
                  <w:tcPr>
                    <w:tcW w:w="0" w:type="auto"/>
                    <w:hideMark/>
                  </w:tcPr>
                  <w:p w:rsidR="00A303C6" w:rsidRDefault="00A303C6">
                    <w:pPr>
                      <w:pStyle w:val="Bibliography"/>
                      <w:rPr>
                        <w:noProof/>
                      </w:rPr>
                    </w:pPr>
                    <w:r>
                      <w:rPr>
                        <w:noProof/>
                      </w:rPr>
                      <w:t xml:space="preserve">Liwen Chu (Marvell), “15/0615r2 UL OFDMA Bandwidth”.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[22] </w:t>
                    </w:r>
                  </w:p>
                </w:tc>
                <w:tc>
                  <w:tcPr>
                    <w:tcW w:w="0" w:type="auto"/>
                    <w:hideMark/>
                  </w:tcPr>
                  <w:p w:rsidR="00A303C6" w:rsidRDefault="00A303C6">
                    <w:pPr>
                      <w:pStyle w:val="Bibliography"/>
                      <w:rPr>
                        <w:noProof/>
                      </w:rPr>
                    </w:pPr>
                    <w:r>
                      <w:rPr>
                        <w:noProof/>
                      </w:rPr>
                      <w:t xml:space="preserve">Reza Hedayat (Newracom), “15/0829r3 Uplink ACK and BA Multiplexing”.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[23] </w:t>
                    </w:r>
                  </w:p>
                </w:tc>
                <w:tc>
                  <w:tcPr>
                    <w:tcW w:w="0" w:type="auto"/>
                    <w:hideMark/>
                  </w:tcPr>
                  <w:p w:rsidR="00A303C6" w:rsidRDefault="00A303C6">
                    <w:pPr>
                      <w:pStyle w:val="Bibliography"/>
                      <w:rPr>
                        <w:noProof/>
                      </w:rPr>
                    </w:pPr>
                    <w:r>
                      <w:rPr>
                        <w:noProof/>
                      </w:rPr>
                      <w:t xml:space="preserve">Liwen Chu (Marvell), “15/0615r3 UL OFDMA Bandwidth”.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[24] </w:t>
                    </w:r>
                  </w:p>
                </w:tc>
                <w:tc>
                  <w:tcPr>
                    <w:tcW w:w="0" w:type="auto"/>
                    <w:hideMark/>
                  </w:tcPr>
                  <w:p w:rsidR="00A303C6" w:rsidRDefault="00A303C6">
                    <w:pPr>
                      <w:pStyle w:val="Bibliography"/>
                      <w:rPr>
                        <w:noProof/>
                      </w:rPr>
                    </w:pPr>
                    <w:r>
                      <w:rPr>
                        <w:noProof/>
                      </w:rPr>
                      <w:t xml:space="preserve">David Xun Yang (Huawei), “15/0841r0 Cascading Structure”.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[25] </w:t>
                    </w:r>
                  </w:p>
                </w:tc>
                <w:tc>
                  <w:tcPr>
                    <w:tcW w:w="0" w:type="auto"/>
                    <w:hideMark/>
                  </w:tcPr>
                  <w:p w:rsidR="00A303C6" w:rsidRDefault="00A303C6">
                    <w:pPr>
                      <w:pStyle w:val="Bibliography"/>
                      <w:rPr>
                        <w:noProof/>
                      </w:rPr>
                    </w:pPr>
                    <w:r>
                      <w:rPr>
                        <w:noProof/>
                      </w:rPr>
                      <w:t xml:space="preserve">Liwen Chu (Marvell), “15/0831r2 Broadcast and Unicast in DL MU”.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[26] </w:t>
                    </w:r>
                  </w:p>
                </w:tc>
                <w:tc>
                  <w:tcPr>
                    <w:tcW w:w="0" w:type="auto"/>
                    <w:hideMark/>
                  </w:tcPr>
                  <w:p w:rsidR="00A303C6" w:rsidRDefault="00A303C6">
                    <w:pPr>
                      <w:pStyle w:val="Bibliography"/>
                      <w:rPr>
                        <w:noProof/>
                      </w:rPr>
                    </w:pPr>
                    <w:r>
                      <w:rPr>
                        <w:noProof/>
                      </w:rPr>
                      <w:t xml:space="preserve">Simone Merlin (Qualcomm), “15/0876r1 Duration and MAC Padding for MU PPDUs”.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[27] </w:t>
                    </w:r>
                  </w:p>
                </w:tc>
                <w:tc>
                  <w:tcPr>
                    <w:tcW w:w="0" w:type="auto"/>
                    <w:hideMark/>
                  </w:tcPr>
                  <w:p w:rsidR="00A303C6" w:rsidRDefault="00A303C6">
                    <w:pPr>
                      <w:pStyle w:val="Bibliography"/>
                      <w:rPr>
                        <w:noProof/>
                      </w:rPr>
                    </w:pPr>
                    <w:r>
                      <w:rPr>
                        <w:noProof/>
                      </w:rPr>
                      <w:t xml:space="preserve">Po-Kai Huang (Intel), “15/0867r1 MU-RTS/CTS for DL MU”.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[28] </w:t>
                    </w:r>
                  </w:p>
                </w:tc>
                <w:tc>
                  <w:tcPr>
                    <w:tcW w:w="0" w:type="auto"/>
                    <w:hideMark/>
                  </w:tcPr>
                  <w:p w:rsidR="00A303C6" w:rsidRDefault="00A303C6">
                    <w:pPr>
                      <w:pStyle w:val="Bibliography"/>
                      <w:rPr>
                        <w:noProof/>
                      </w:rPr>
                    </w:pPr>
                    <w:r>
                      <w:rPr>
                        <w:noProof/>
                      </w:rPr>
                      <w:t xml:space="preserve">Chittabrata Ghosh (Intel), “15/0875r1 Random Access with Trigger Frames using OFDMA”.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[29] </w:t>
                    </w:r>
                  </w:p>
                </w:tc>
                <w:tc>
                  <w:tcPr>
                    <w:tcW w:w="0" w:type="auto"/>
                    <w:hideMark/>
                  </w:tcPr>
                  <w:p w:rsidR="00A303C6" w:rsidRDefault="00A303C6">
                    <w:pPr>
                      <w:pStyle w:val="Bibliography"/>
                      <w:rPr>
                        <w:noProof/>
                      </w:rPr>
                    </w:pPr>
                    <w:r>
                      <w:rPr>
                        <w:noProof/>
                      </w:rPr>
                      <w:t xml:space="preserve">Kome Oteri (InterDigital), “15/0818r1 Further Analysis of Feedback and Frequency Selective Scheduling (FSS) for TGax OFDMA”.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[30] </w:t>
                    </w:r>
                  </w:p>
                </w:tc>
                <w:tc>
                  <w:tcPr>
                    <w:tcW w:w="0" w:type="auto"/>
                    <w:hideMark/>
                  </w:tcPr>
                  <w:p w:rsidR="00A303C6" w:rsidRDefault="00A303C6">
                    <w:pPr>
                      <w:pStyle w:val="Bibliography"/>
                      <w:rPr>
                        <w:noProof/>
                      </w:rPr>
                    </w:pPr>
                    <w:r>
                      <w:rPr>
                        <w:noProof/>
                      </w:rPr>
                      <w:t xml:space="preserve">Sigurd Schelstraete (Quantenna), “15/0059r1 Uplink RTS/CTS Control”.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[31] </w:t>
                    </w:r>
                  </w:p>
                </w:tc>
                <w:tc>
                  <w:tcPr>
                    <w:tcW w:w="0" w:type="auto"/>
                    <w:hideMark/>
                  </w:tcPr>
                  <w:p w:rsidR="00A303C6" w:rsidRDefault="00A303C6">
                    <w:pPr>
                      <w:pStyle w:val="Bibliography"/>
                      <w:rPr>
                        <w:noProof/>
                      </w:rPr>
                    </w:pPr>
                    <w:r>
                      <w:rPr>
                        <w:noProof/>
                      </w:rPr>
                      <w:t xml:space="preserve">Guido R. Hiertz (Ericsson), “15/0874r0 Minimal data rates management frame transmissions in 2.4 GHz”.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[32] </w:t>
                    </w:r>
                  </w:p>
                </w:tc>
                <w:tc>
                  <w:tcPr>
                    <w:tcW w:w="0" w:type="auto"/>
                    <w:hideMark/>
                  </w:tcPr>
                  <w:p w:rsidR="00A303C6" w:rsidRDefault="00A303C6">
                    <w:pPr>
                      <w:pStyle w:val="Bibliography"/>
                      <w:rPr>
                        <w:noProof/>
                      </w:rPr>
                    </w:pPr>
                    <w:r>
                      <w:rPr>
                        <w:noProof/>
                      </w:rPr>
                      <w:t xml:space="preserve">Alfred Asterjadhi (Qualcomm Inc.), “15/0880r2 Scheduled Trigger frames”.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[33] </w:t>
                    </w:r>
                  </w:p>
                </w:tc>
                <w:tc>
                  <w:tcPr>
                    <w:tcW w:w="0" w:type="auto"/>
                    <w:hideMark/>
                  </w:tcPr>
                  <w:p w:rsidR="00A303C6" w:rsidRDefault="00A303C6">
                    <w:pPr>
                      <w:pStyle w:val="Bibliography"/>
                      <w:rPr>
                        <w:noProof/>
                      </w:rPr>
                    </w:pPr>
                    <w:r>
                      <w:rPr>
                        <w:noProof/>
                      </w:rPr>
                      <w:t xml:space="preserve">Simone Merlin (Qualcomm), “15/0877r0 Trigger Frame Format”.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[34] </w:t>
                    </w:r>
                  </w:p>
                </w:tc>
                <w:tc>
                  <w:tcPr>
                    <w:tcW w:w="0" w:type="auto"/>
                    <w:hideMark/>
                  </w:tcPr>
                  <w:p w:rsidR="00A303C6" w:rsidRDefault="00A303C6">
                    <w:pPr>
                      <w:pStyle w:val="Bibliography"/>
                      <w:rPr>
                        <w:noProof/>
                      </w:rPr>
                    </w:pPr>
                    <w:r>
                      <w:rPr>
                        <w:noProof/>
                      </w:rPr>
                      <w:t xml:space="preserve">Simone Merlin (Qualcomm), “15/0366r2 Multi-STA BA”. </w:t>
                    </w:r>
                  </w:p>
                </w:tc>
              </w:tr>
              <w:tr w:rsidR="00A303C6">
                <w:trPr>
                  <w:divId w:val="1119763886"/>
                  <w:tblCellSpacing w:w="15" w:type="dxa"/>
                </w:trPr>
                <w:tc>
                  <w:tcPr>
                    <w:tcW w:w="50" w:type="pct"/>
                    <w:hideMark/>
                  </w:tcPr>
                  <w:p w:rsidR="00A303C6" w:rsidRDefault="00A303C6">
                    <w:pPr>
                      <w:pStyle w:val="Bibliography"/>
                      <w:rPr>
                        <w:noProof/>
                      </w:rPr>
                    </w:pPr>
                    <w:r>
                      <w:rPr>
                        <w:noProof/>
                      </w:rPr>
                      <w:t xml:space="preserve">[35] </w:t>
                    </w:r>
                  </w:p>
                </w:tc>
                <w:tc>
                  <w:tcPr>
                    <w:tcW w:w="0" w:type="auto"/>
                    <w:hideMark/>
                  </w:tcPr>
                  <w:p w:rsidR="00A303C6" w:rsidRDefault="00A303C6">
                    <w:pPr>
                      <w:pStyle w:val="Bibliography"/>
                      <w:rPr>
                        <w:noProof/>
                      </w:rPr>
                    </w:pPr>
                    <w:r>
                      <w:rPr>
                        <w:noProof/>
                      </w:rPr>
                      <w:t xml:space="preserve">Jeongki Kim (LG Electronics), “15/0626r1 Further consideration on Multi-STA Block ACK”. </w:t>
                    </w:r>
                  </w:p>
                </w:tc>
              </w:tr>
            </w:tbl>
            <w:p w:rsidR="00A303C6" w:rsidRDefault="00A303C6">
              <w:pPr>
                <w:divId w:val="1119763886"/>
                <w:rPr>
                  <w:noProof/>
                </w:rPr>
              </w:pPr>
            </w:p>
            <w:p w:rsidR="008C042B" w:rsidRDefault="00526D33" w:rsidP="00417271">
              <w:r>
                <w:rPr>
                  <w:b/>
                  <w:bCs/>
                  <w:noProof/>
                </w:rPr>
                <w:fldChar w:fldCharType="end"/>
              </w:r>
            </w:p>
          </w:sdtContent>
        </w:sdt>
      </w:sdtContent>
    </w:sdt>
    <w:sectPr w:rsidR="008C042B"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113" w:rsidRDefault="00DE5113">
      <w:r>
        <w:separator/>
      </w:r>
    </w:p>
  </w:endnote>
  <w:endnote w:type="continuationSeparator" w:id="0">
    <w:p w:rsidR="00DE5113" w:rsidRDefault="00DE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BB" w:rsidRDefault="006539B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t>TGax</w:t>
    </w:r>
    <w:proofErr w:type="spellEnd"/>
    <w:r>
      <w:t xml:space="preserve"> Spec Framework</w:t>
    </w:r>
    <w:r>
      <w:fldChar w:fldCharType="end"/>
    </w:r>
    <w:r>
      <w:tab/>
      <w:t xml:space="preserve">page </w:t>
    </w:r>
    <w:r>
      <w:fldChar w:fldCharType="begin"/>
    </w:r>
    <w:r>
      <w:instrText xml:space="preserve">page </w:instrText>
    </w:r>
    <w:r>
      <w:fldChar w:fldCharType="separate"/>
    </w:r>
    <w:r w:rsidR="00A01B3C">
      <w:rPr>
        <w:noProof/>
      </w:rPr>
      <w:t>2</w:t>
    </w:r>
    <w:r>
      <w:fldChar w:fldCharType="end"/>
    </w:r>
    <w:r>
      <w:tab/>
    </w:r>
    <w:fldSimple w:instr=" COMMENTS   \* MERGEFORMAT ">
      <w:r>
        <w:t>Robert Stacey, Intel</w:t>
      </w:r>
    </w:fldSimple>
  </w:p>
  <w:p w:rsidR="006539BB" w:rsidRDefault="00653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113" w:rsidRDefault="00DE5113">
      <w:r>
        <w:separator/>
      </w:r>
    </w:p>
  </w:footnote>
  <w:footnote w:type="continuationSeparator" w:id="0">
    <w:p w:rsidR="00DE5113" w:rsidRDefault="00DE5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BB" w:rsidRDefault="006539BB" w:rsidP="00732A32">
    <w:pPr>
      <w:pStyle w:val="Header"/>
      <w:tabs>
        <w:tab w:val="clear" w:pos="6480"/>
        <w:tab w:val="center" w:pos="4680"/>
        <w:tab w:val="right" w:pos="9360"/>
      </w:tabs>
    </w:pPr>
    <w:r>
      <w:fldChar w:fldCharType="begin"/>
    </w:r>
    <w:r>
      <w:instrText xml:space="preserve"> KEYWORDS  \* MERGEFORMAT </w:instrText>
    </w:r>
    <w:r>
      <w:fldChar w:fldCharType="separate"/>
    </w:r>
    <w:r>
      <w:t>July 2015</w:t>
    </w:r>
    <w:r>
      <w:fldChar w:fldCharType="end"/>
    </w:r>
    <w:r>
      <w:tab/>
    </w:r>
    <w:r>
      <w:tab/>
    </w:r>
    <w:fldSimple w:instr=" TITLE  \* MERGEFORMAT ">
      <w:r>
        <w:t>doc.: IEEE 802.11-15/0132r7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8"/>
  </w:num>
  <w:num w:numId="4">
    <w:abstractNumId w:val="18"/>
  </w:num>
  <w:num w:numId="5">
    <w:abstractNumId w:val="16"/>
  </w:num>
  <w:num w:numId="6">
    <w:abstractNumId w:val="3"/>
  </w:num>
  <w:num w:numId="7">
    <w:abstractNumId w:val="7"/>
  </w:num>
  <w:num w:numId="8">
    <w:abstractNumId w:val="1"/>
  </w:num>
  <w:num w:numId="9">
    <w:abstractNumId w:val="6"/>
  </w:num>
  <w:num w:numId="10">
    <w:abstractNumId w:val="4"/>
  </w:num>
  <w:num w:numId="11">
    <w:abstractNumId w:val="17"/>
  </w:num>
  <w:num w:numId="12">
    <w:abstractNumId w:val="2"/>
  </w:num>
  <w:num w:numId="13">
    <w:abstractNumId w:val="15"/>
  </w:num>
  <w:num w:numId="14">
    <w:abstractNumId w:val="0"/>
  </w:num>
  <w:num w:numId="15">
    <w:abstractNumId w:val="13"/>
  </w:num>
  <w:num w:numId="16">
    <w:abstractNumId w:val="11"/>
  </w:num>
  <w:num w:numId="17">
    <w:abstractNumId w:val="1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11009"/>
    <w:rsid w:val="00044F0F"/>
    <w:rsid w:val="000840D0"/>
    <w:rsid w:val="00085C91"/>
    <w:rsid w:val="00086463"/>
    <w:rsid w:val="000A365F"/>
    <w:rsid w:val="000A6729"/>
    <w:rsid w:val="000A764C"/>
    <w:rsid w:val="000B4A3A"/>
    <w:rsid w:val="000D180D"/>
    <w:rsid w:val="000D43F8"/>
    <w:rsid w:val="001004D3"/>
    <w:rsid w:val="00113B7E"/>
    <w:rsid w:val="0013004F"/>
    <w:rsid w:val="00130286"/>
    <w:rsid w:val="00135192"/>
    <w:rsid w:val="001469FB"/>
    <w:rsid w:val="001547A8"/>
    <w:rsid w:val="00160619"/>
    <w:rsid w:val="00163F16"/>
    <w:rsid w:val="001738A3"/>
    <w:rsid w:val="00175B26"/>
    <w:rsid w:val="001850ED"/>
    <w:rsid w:val="00193996"/>
    <w:rsid w:val="001A2B00"/>
    <w:rsid w:val="001B217E"/>
    <w:rsid w:val="001D25A0"/>
    <w:rsid w:val="001D3204"/>
    <w:rsid w:val="001D723B"/>
    <w:rsid w:val="001E3BE4"/>
    <w:rsid w:val="0020389D"/>
    <w:rsid w:val="002126A1"/>
    <w:rsid w:val="00212EC4"/>
    <w:rsid w:val="002248B1"/>
    <w:rsid w:val="002360E0"/>
    <w:rsid w:val="00244FE5"/>
    <w:rsid w:val="002600EB"/>
    <w:rsid w:val="00260F6A"/>
    <w:rsid w:val="00264D47"/>
    <w:rsid w:val="00277A9A"/>
    <w:rsid w:val="0028670D"/>
    <w:rsid w:val="0029020B"/>
    <w:rsid w:val="002B1ACA"/>
    <w:rsid w:val="002B58CB"/>
    <w:rsid w:val="002D441A"/>
    <w:rsid w:val="002D44BE"/>
    <w:rsid w:val="002D4CBF"/>
    <w:rsid w:val="002F272A"/>
    <w:rsid w:val="00326D9A"/>
    <w:rsid w:val="00327E24"/>
    <w:rsid w:val="003467AC"/>
    <w:rsid w:val="00360C64"/>
    <w:rsid w:val="00361221"/>
    <w:rsid w:val="0036165C"/>
    <w:rsid w:val="0039564A"/>
    <w:rsid w:val="003C292F"/>
    <w:rsid w:val="003D6E7F"/>
    <w:rsid w:val="003E49B0"/>
    <w:rsid w:val="003F3E21"/>
    <w:rsid w:val="00403B31"/>
    <w:rsid w:val="00417271"/>
    <w:rsid w:val="00426089"/>
    <w:rsid w:val="00441EEC"/>
    <w:rsid w:val="00442037"/>
    <w:rsid w:val="004427B8"/>
    <w:rsid w:val="004465F3"/>
    <w:rsid w:val="00455675"/>
    <w:rsid w:val="00456C11"/>
    <w:rsid w:val="004675B6"/>
    <w:rsid w:val="0047111F"/>
    <w:rsid w:val="00477B34"/>
    <w:rsid w:val="004A35AB"/>
    <w:rsid w:val="004A66D0"/>
    <w:rsid w:val="004A6910"/>
    <w:rsid w:val="004C133A"/>
    <w:rsid w:val="004D578D"/>
    <w:rsid w:val="004F6AFF"/>
    <w:rsid w:val="00506864"/>
    <w:rsid w:val="00510FF3"/>
    <w:rsid w:val="0051324F"/>
    <w:rsid w:val="005267E4"/>
    <w:rsid w:val="00526D33"/>
    <w:rsid w:val="00527100"/>
    <w:rsid w:val="00531BCF"/>
    <w:rsid w:val="00533027"/>
    <w:rsid w:val="005500DD"/>
    <w:rsid w:val="00555978"/>
    <w:rsid w:val="00560867"/>
    <w:rsid w:val="0057495D"/>
    <w:rsid w:val="00577F01"/>
    <w:rsid w:val="005915A7"/>
    <w:rsid w:val="005A0ED7"/>
    <w:rsid w:val="005A232A"/>
    <w:rsid w:val="005A7DC3"/>
    <w:rsid w:val="005B607D"/>
    <w:rsid w:val="005C004F"/>
    <w:rsid w:val="005C1214"/>
    <w:rsid w:val="005E3477"/>
    <w:rsid w:val="005E3A8F"/>
    <w:rsid w:val="005F6434"/>
    <w:rsid w:val="006171D0"/>
    <w:rsid w:val="006176F4"/>
    <w:rsid w:val="0062440B"/>
    <w:rsid w:val="00632143"/>
    <w:rsid w:val="00634189"/>
    <w:rsid w:val="00634FA1"/>
    <w:rsid w:val="0065185D"/>
    <w:rsid w:val="006539BB"/>
    <w:rsid w:val="00656E90"/>
    <w:rsid w:val="006960A7"/>
    <w:rsid w:val="006B1B2A"/>
    <w:rsid w:val="006B6F80"/>
    <w:rsid w:val="006C0727"/>
    <w:rsid w:val="006E145F"/>
    <w:rsid w:val="006F2890"/>
    <w:rsid w:val="00704203"/>
    <w:rsid w:val="00721E00"/>
    <w:rsid w:val="00730060"/>
    <w:rsid w:val="00732A32"/>
    <w:rsid w:val="007443E1"/>
    <w:rsid w:val="00745712"/>
    <w:rsid w:val="00750BD5"/>
    <w:rsid w:val="00757566"/>
    <w:rsid w:val="00760889"/>
    <w:rsid w:val="00762A7D"/>
    <w:rsid w:val="00770572"/>
    <w:rsid w:val="00781A78"/>
    <w:rsid w:val="00792AA8"/>
    <w:rsid w:val="00793A62"/>
    <w:rsid w:val="007A64F1"/>
    <w:rsid w:val="007C67E6"/>
    <w:rsid w:val="008050EC"/>
    <w:rsid w:val="00807234"/>
    <w:rsid w:val="00814D7A"/>
    <w:rsid w:val="008243BD"/>
    <w:rsid w:val="00827530"/>
    <w:rsid w:val="0084679F"/>
    <w:rsid w:val="0084798C"/>
    <w:rsid w:val="00856898"/>
    <w:rsid w:val="0085778D"/>
    <w:rsid w:val="0089289E"/>
    <w:rsid w:val="00893069"/>
    <w:rsid w:val="008A5FF8"/>
    <w:rsid w:val="008B1DA0"/>
    <w:rsid w:val="008B22D7"/>
    <w:rsid w:val="008C00F1"/>
    <w:rsid w:val="008C042B"/>
    <w:rsid w:val="008C557D"/>
    <w:rsid w:val="008C6206"/>
    <w:rsid w:val="008C63DE"/>
    <w:rsid w:val="008F1369"/>
    <w:rsid w:val="00900B66"/>
    <w:rsid w:val="009226DA"/>
    <w:rsid w:val="009236FF"/>
    <w:rsid w:val="009315C2"/>
    <w:rsid w:val="00935DBA"/>
    <w:rsid w:val="00943214"/>
    <w:rsid w:val="0094395A"/>
    <w:rsid w:val="00944135"/>
    <w:rsid w:val="00947217"/>
    <w:rsid w:val="009473AA"/>
    <w:rsid w:val="00954111"/>
    <w:rsid w:val="00964FE7"/>
    <w:rsid w:val="00972267"/>
    <w:rsid w:val="009813F0"/>
    <w:rsid w:val="00981B9D"/>
    <w:rsid w:val="00995250"/>
    <w:rsid w:val="009B5811"/>
    <w:rsid w:val="009B7B8C"/>
    <w:rsid w:val="009D5A16"/>
    <w:rsid w:val="009E4398"/>
    <w:rsid w:val="009F37A9"/>
    <w:rsid w:val="009F73E5"/>
    <w:rsid w:val="00A01B3C"/>
    <w:rsid w:val="00A303C6"/>
    <w:rsid w:val="00A32ED6"/>
    <w:rsid w:val="00A40F72"/>
    <w:rsid w:val="00A422E3"/>
    <w:rsid w:val="00A640BF"/>
    <w:rsid w:val="00A83036"/>
    <w:rsid w:val="00A8394A"/>
    <w:rsid w:val="00A974F3"/>
    <w:rsid w:val="00AA1354"/>
    <w:rsid w:val="00AA427C"/>
    <w:rsid w:val="00AB15FE"/>
    <w:rsid w:val="00AB7D1B"/>
    <w:rsid w:val="00B12457"/>
    <w:rsid w:val="00B13640"/>
    <w:rsid w:val="00B332CF"/>
    <w:rsid w:val="00B51BA4"/>
    <w:rsid w:val="00B63C2F"/>
    <w:rsid w:val="00B65C57"/>
    <w:rsid w:val="00B80455"/>
    <w:rsid w:val="00B82C30"/>
    <w:rsid w:val="00B95E90"/>
    <w:rsid w:val="00B960E8"/>
    <w:rsid w:val="00BA4274"/>
    <w:rsid w:val="00BA4F8A"/>
    <w:rsid w:val="00BB633A"/>
    <w:rsid w:val="00BC1EEE"/>
    <w:rsid w:val="00BC6567"/>
    <w:rsid w:val="00BD6FB0"/>
    <w:rsid w:val="00BE68C2"/>
    <w:rsid w:val="00BF36F9"/>
    <w:rsid w:val="00BF3731"/>
    <w:rsid w:val="00BF6992"/>
    <w:rsid w:val="00C04D06"/>
    <w:rsid w:val="00C07427"/>
    <w:rsid w:val="00C154C3"/>
    <w:rsid w:val="00C27B1D"/>
    <w:rsid w:val="00C6158E"/>
    <w:rsid w:val="00C82D24"/>
    <w:rsid w:val="00CA09B2"/>
    <w:rsid w:val="00CB0D21"/>
    <w:rsid w:val="00CB2E9D"/>
    <w:rsid w:val="00CB6723"/>
    <w:rsid w:val="00CC4AA1"/>
    <w:rsid w:val="00CE046E"/>
    <w:rsid w:val="00CE3D20"/>
    <w:rsid w:val="00CE713E"/>
    <w:rsid w:val="00CF5327"/>
    <w:rsid w:val="00D029E5"/>
    <w:rsid w:val="00D50EE6"/>
    <w:rsid w:val="00D629B9"/>
    <w:rsid w:val="00D74F15"/>
    <w:rsid w:val="00D9244C"/>
    <w:rsid w:val="00D9374D"/>
    <w:rsid w:val="00DA1B53"/>
    <w:rsid w:val="00DA7075"/>
    <w:rsid w:val="00DB53E0"/>
    <w:rsid w:val="00DB6057"/>
    <w:rsid w:val="00DC5A7B"/>
    <w:rsid w:val="00DD6F04"/>
    <w:rsid w:val="00DD7017"/>
    <w:rsid w:val="00DE10FA"/>
    <w:rsid w:val="00DE5113"/>
    <w:rsid w:val="00DE5A0B"/>
    <w:rsid w:val="00E01E2C"/>
    <w:rsid w:val="00E173BB"/>
    <w:rsid w:val="00E3225D"/>
    <w:rsid w:val="00E5465F"/>
    <w:rsid w:val="00E55C95"/>
    <w:rsid w:val="00E5726C"/>
    <w:rsid w:val="00E60532"/>
    <w:rsid w:val="00E845EF"/>
    <w:rsid w:val="00EA6B47"/>
    <w:rsid w:val="00EB2CD0"/>
    <w:rsid w:val="00EB30F6"/>
    <w:rsid w:val="00EF1E58"/>
    <w:rsid w:val="00EF4E78"/>
    <w:rsid w:val="00F04210"/>
    <w:rsid w:val="00F155EB"/>
    <w:rsid w:val="00F44D0F"/>
    <w:rsid w:val="00F47391"/>
    <w:rsid w:val="00F50D50"/>
    <w:rsid w:val="00F54DA7"/>
    <w:rsid w:val="00F57301"/>
    <w:rsid w:val="00F639BA"/>
    <w:rsid w:val="00F82A01"/>
    <w:rsid w:val="00F9626C"/>
    <w:rsid w:val="00FB7E34"/>
    <w:rsid w:val="00FD2CE9"/>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uiPriority w:val="9"/>
    <w:rsid w:val="00526D33"/>
    <w:rPr>
      <w:rFonts w:ascii="Arial" w:hAnsi="Arial"/>
      <w:b/>
      <w:sz w:val="32"/>
      <w:u w:val="single"/>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stacey@inte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88"/>
    <w:rsid w:val="0001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8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27</b:RefOrder>
  </b:Source>
  <b:Source>
    <b:Tag>Chi</b:Tag>
    <b:SourceType>ConferenceProceedings</b:SourceType>
    <b:Guid>{D1320672-4F7C-4908-AFBA-D9695A334290}</b:Guid>
    <b:Author>
      <b:Author>
        <b:Corporate>Chittabrata Ghosh (Intel)</b:Corporate>
      </b:Author>
    </b:Author>
    <b:Title>15/0875r1 Random Access with Trigger Frames using OFDMA</b:Title>
    <b:RefOrder>28</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29</b:RefOrder>
  </b:Source>
  <b:Source>
    <b:Tag>15_0829r3</b:Tag>
    <b:SourceType>ConferenceProceedings</b:SourceType>
    <b:Guid>{DCEE951D-1833-4C43-AE7B-EBC62C901D18}</b:Guid>
    <b:Author>
      <b:Author>
        <b:Corporate>Reza Hedayat (Newracom)</b:Corporate>
      </b:Author>
    </b:Author>
    <b:Title>15/0829r3 Uplink ACK and BA Multiplexing</b:Title>
    <b:RefOrder>22</b:RefOrder>
  </b:Source>
  <b:Source>
    <b:Tag>Liw</b:Tag>
    <b:SourceType>ConferenceProceedings</b:SourceType>
    <b:Guid>{769FBB33-C8C0-4104-AFFD-2DF9729E2997}</b:Guid>
    <b:Author>
      <b:Author>
        <b:Corporate>Liwen Chu (Marvell)</b:Corporate>
      </b:Author>
    </b:Author>
    <b:Title>15/0615r3 UL OFDMA Bandwidth</b:Title>
    <b:RefOrder>23</b:RefOrder>
  </b:Source>
  <b:Source>
    <b:Tag>15_0841r0</b:Tag>
    <b:SourceType>ConferenceProceedings</b:SourceType>
    <b:Guid>{01D3AC1A-1F69-4090-B0FD-4E6457435A38}</b:Guid>
    <b:Author>
      <b:Author>
        <b:Corporate>David Xun Yang (Huawei)</b:Corporate>
      </b:Author>
    </b:Author>
    <b:Title>15/0841r0 Cascading Structure</b:Title>
    <b:RefOrder>24</b:RefOrder>
  </b:Source>
  <b:Source>
    <b:Tag>Sim</b:Tag>
    <b:SourceType>ConferenceProceedings</b:SourceType>
    <b:Guid>{0CD7ADB7-4D19-4D21-8BE9-0051C5DB00D0}</b:Guid>
    <b:Author>
      <b:Author>
        <b:Corporate>Simone Merlin (Qualcomm)</b:Corporate>
      </b:Author>
    </b:Author>
    <b:Title>15/0877r0 Trigger Frame Format</b:Title>
    <b:RefOrder>33</b:RefOrder>
  </b:Source>
  <b:Source>
    <b:Tag>15_0831r2</b:Tag>
    <b:SourceType>ConferenceProceedings</b:SourceType>
    <b:Guid>{75FB6EF0-36AA-48DD-9C75-416BDA546087}</b:Guid>
    <b:Author>
      <b:Author>
        <b:Corporate>Liwen Chu (Marvell)</b:Corporate>
      </b:Author>
    </b:Author>
    <b:Title>15/0831r2 Broadcast and Unicast in DL MU</b:Title>
    <b:RefOrder>25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31</b:RefOrder>
  </b:Source>
  <b:Source>
    <b:Tag>15_0876r1</b:Tag>
    <b:SourceType>ConferenceProceedings</b:SourceType>
    <b:Guid>{E81C58C2-A871-4245-A85D-92CA79F702BC}</b:Guid>
    <b:Author>
      <b:Author>
        <b:Corporate>Simone Merlin (Qualcomm)</b:Corporate>
      </b:Author>
    </b:Author>
    <b:Title>15/0876r1 Duration and MAC Padding for MU PPDUs</b:Title>
    <b:RefOrder>26</b:RefOrder>
  </b:Source>
  <b:Source>
    <b:Tag>15_0880r2</b:Tag>
    <b:SourceType>ConferenceProceedings</b:SourceType>
    <b:Guid>{65320606-7FB0-4627-9E2B-83BC90D164A5}</b:Guid>
    <b:Author>
      <b:Author>
        <b:Corporate>Alfred Asterjadhi (Qualcomm Inc.)</b:Corporate>
      </b:Author>
    </b:Author>
    <b:Title>15/0880r2 Scheduled Trigger frames</b:Title>
    <b:RefOrder>32</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30</b:RefOrder>
  </b:Source>
  <b:Source>
    <b:Tag>15_0064r1</b:Tag>
    <b:SourceType>ConferenceProceedings</b:SourceType>
    <b:Guid>{1DCAFFB9-EE29-4571-A7A7-54E3153CCCDB}</b:Guid>
    <b:Title>15/0064r1 Consideration on UL-MU overheads</b:Title>
    <b:Author>
      <b:Author>
        <b:Corporate>Tomoko Adachi (Toshiba)</b:Corporate>
      </b:Author>
    </b:Author>
    <b:RefOrder>18</b:RefOrder>
  </b:Source>
  <b:Source>
    <b:Tag>15_0099r4</b:Tag>
    <b:SourceType>ConferenceProceedings</b:SourceType>
    <b:Guid>{FDE6EF87-1D78-454F-A2CB-BD4B2D42A8B8}</b:Guid>
    <b:Title>15/0099r4 Payload Symbol Size for 11ax</b:Title>
    <b:Author>
      <b:Author>
        <b:Corporate>Sriram Venkateswaran (Broadcom)</b:Corporate>
      </b:Author>
    </b:Author>
    <b:RefOrder>14</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16</b:RefOrder>
  </b:Source>
  <b:Source>
    <b:Tag>15_0366r2</b:Tag>
    <b:SourceType>ConferenceProceedings</b:SourceType>
    <b:Guid>{1047A485-2B40-4D67-B5EB-ACDDCA0EE8FF}</b:Guid>
    <b:Title>15/0366r2 Multi-STA BA</b:Title>
    <b:Author>
      <b:Author>
        <b:Corporate>Simone Merlin (Qualcomm)</b:Corporate>
      </b:Author>
    </b:Author>
    <b:RefOrder>34</b:RefOrder>
  </b:Source>
  <b:Source>
    <b:Tag>15_0344r2</b:Tag>
    <b:SourceType>ConferenceProceedings</b:SourceType>
    <b:Guid>{515F7AFC-D269-44DE-BE42-EA99E80F18A9}</b:Guid>
    <b:Title>15/0344r2 SIG Field Design Principle for 11ax</b:Title>
    <b:Author>
      <b:Author>
        <b:Corporate>Young Hoon Kwon (Newracom)</b:Corporate>
      </b:Author>
    </b:Author>
    <b:RefOrder>6</b:RefOrder>
  </b:Source>
  <b:Source>
    <b:Tag>15_0349r2</b:Tag>
    <b:SourceType>ConferenceProceedings</b:SourceType>
    <b:Guid>{3F336F28-38A1-4D42-BC8A-0D03A6389B7F}</b:Guid>
    <b:Title>15/0349r2 HE-LTF Proposal</b:Title>
    <b:Author>
      <b:Author>
        <b:Corporate>Hongyuan Zhang (Marvell)</b:Corporate>
      </b:Author>
    </b:Author>
    <b:RefOrder>11</b:RefOrder>
  </b:Source>
  <b:Source>
    <b:Tag>15_0379r1</b:Tag>
    <b:SourceType>ConferenceProceedings</b:SourceType>
    <b:Guid>{4E2F305C-DB82-4CE1-A66B-AA8DDC2A7CC4}</b:Guid>
    <b:Title>15/0379r1 DL OFDMA Performance and ACK Multiplexing</b:Title>
    <b:Author>
      <b:Author>
        <b:Corporate>Reza Hedayat (Newracom)</b:Corporate>
      </b:Author>
    </b:Author>
    <b:RefOrder>20</b:RefOrder>
  </b:Source>
  <b:Source>
    <b:Tag>15_0381r1</b:Tag>
    <b:SourceType>ConferenceProceedings</b:SourceType>
    <b:Guid>{BC506AF0-11A2-42B3-9C77-15FC5590CBDE}</b:Guid>
    <b:Title>15/0381r1 HE-STF Proposal</b:Title>
    <b:Author>
      <b:Author>
        <b:Corporate>Yakun Sun (Marvell)</b:Corporate>
      </b:Author>
    </b:Author>
    <b:RefOrder>10</b:RefOrder>
  </b:Source>
  <b:Source>
    <b:Tag>15_0579r3</b:Tag>
    <b:SourceType>ConferenceProceedings</b:SourceType>
    <b:Guid>{452DD322-947F-457E-A1D7-8D280BAE72F7}</b:Guid>
    <b:Title>15/0579r3 Preamble Design and Autodetection</b:Title>
    <b:Author>
      <b:Author>
        <b:Corporate>Hongyuan Zhang (Marvell)</b:Corporate>
      </b:Author>
    </b:Author>
    <b:RefOrder>3</b:RefOrder>
  </b:Source>
  <b:Source>
    <b:Tag>15021</b:Tag>
    <b:SourceType>ConferenceProceedings</b:SourceType>
    <b:Guid>{D6AB01D9-E2DB-473D-8A99-EF3C33417224}</b:Guid>
    <b:Title>15/0580r1 11ax coding discussion</b:Title>
    <b:Author>
      <b:Author>
        <b:Corporate>Hongyuan Zhang (Marvell)</b:Corporate>
      </b:Author>
    </b:Author>
    <b:RefOrder>17</b:RefOrder>
  </b:Source>
  <b:Source>
    <b:Tag>15011</b:Tag>
    <b:SourceType>ConferenceProceedings</b:SourceType>
    <b:Guid>{FC1D793B-D645-4F2F-8AE9-44C6DB50CA18}</b:Guid>
    <b:Title>15/0615r2 UL OFDMA Bandwidth</b:Title>
    <b:Author>
      <b:Author>
        <b:Corporate>Liwen Chu (Marvell)</b:Corporate>
      </b:Author>
    </b:Author>
    <b:RefOrder>21</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35</b:RefOrder>
  </b:Source>
  <b:Source>
    <b:Tag>15_0812r1</b:Tag>
    <b:SourceType>ConferenceProceedings</b:SourceType>
    <b:Guid>{6218F639-0120-49E5-B2A4-7DEA39998BB3}</b:Guid>
    <b:Title>15/0812r1 Pilot Design for Data Section</b:Title>
    <b:Author>
      <b:Author>
        <b:Corporate>Sameer Vermani (Qualcomm)</b:Corporate>
      </b:Author>
    </b:Author>
    <b:RefOrder>15</b:RefOrder>
  </b:Source>
  <b:Source>
    <b:Tag>15_0813r1</b:Tag>
    <b:SourceType>ConferenceProceedings</b:SourceType>
    <b:Guid>{46CFD754-EB66-4BA3-9D32-C7FF83B0D266}</b:Guid>
    <b:Title>15/0813r1 CP Indication for UL MU Transmission</b:Title>
    <b:Author>
      <b:Author>
        <b:Corporate>Zhigang Rong (Huawei)</b:Corporate>
      </b:Author>
    </b:Author>
    <b:RefOrder>19</b:RefOrder>
  </b:Source>
  <b:Source>
    <b:Tag>15_0817r0</b:Tag>
    <b:SourceType>ConferenceProceedings</b:SourceType>
    <b:Guid>{82E5E8A8-7669-4013-83ED-54B1B5801F4C}</b:Guid>
    <b:Title>15/0817r0 P Matrix for HE-LTF</b:Title>
    <b:Author>
      <b:Author>
        <b:Corporate>Yakun Sun (Marvell)</b:Corporate>
      </b:Author>
    </b:Author>
    <b:RefOrder>12</b:RefOrder>
  </b:Source>
  <b:Source>
    <b:Tag>15_0821r2</b:Tag>
    <b:SourceType>ConferenceProceedings</b:SourceType>
    <b:Guid>{B07DED17-5D03-4B33-969B-12F7FEA4A958}</b:Guid>
    <b:Title>15/0821r2 HE SIG-B Structure</b:Title>
    <b:Author>
      <b:Author>
        <b:Corporate>Joonsuk Kim (Apple)</b:Corporate>
      </b:Author>
    </b:Author>
    <b:RefOrder>8</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13</b:RefOrder>
  </b:Source>
  <b:Source>
    <b:Tag>15_0822r2</b:Tag>
    <b:SourceType>ConferenceProceedings</b:SourceType>
    <b:Guid>{08630542-E5BA-41A3-8797-E732A88F9967}</b:Guid>
    <b:Title>15/0822r2 SIG-A Structure in 11ax Preamble</b:Title>
    <b:Author>
      <b:Author>
        <b:Corporate>Jianhan Liu (Mediatek Inc.)</b:Corporate>
      </b:Author>
    </b:Author>
    <b:RefOrder>5</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9</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7</b:RefOrder>
  </b:Source>
</b:Sources>
</file>

<file path=customXml/itemProps1.xml><?xml version="1.0" encoding="utf-8"?>
<ds:datastoreItem xmlns:ds="http://schemas.openxmlformats.org/officeDocument/2006/customXml" ds:itemID="{1A1E7FE2-CC31-4D37-9E6C-9293DD1C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4294</TotalTime>
  <Pages>13</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doc.: IEEE 802.11-15/0132r7</vt:lpstr>
    </vt:vector>
  </TitlesOfParts>
  <Company>Intel</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802.11-15/0132r7</dc:title>
  <dc:subject>TGac Spec Framework</dc:subject>
  <dc:creator>Robert Stacey</dc:creator>
  <cp:keywords>July 2015</cp:keywords>
  <dc:description>Robert Stacey, Intel</dc:description>
  <cp:lastModifiedBy>Stacey, Robert</cp:lastModifiedBy>
  <cp:revision>6</cp:revision>
  <cp:lastPrinted>2014-06-04T16:31:00Z</cp:lastPrinted>
  <dcterms:created xsi:type="dcterms:W3CDTF">2015-07-14T00:02:00Z</dcterms:created>
  <dcterms:modified xsi:type="dcterms:W3CDTF">2015-07-20T21:36:00Z</dcterms:modified>
</cp:coreProperties>
</file>