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TGax</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F44D0F">
              <w:rPr>
                <w:color w:val="000000"/>
                <w:sz w:val="20"/>
                <w:lang w:val="en-US"/>
              </w:rPr>
              <w:t>5-01</w:t>
            </w:r>
            <w:r w:rsidRPr="00BD6FB0">
              <w:rPr>
                <w:color w:val="000000"/>
                <w:sz w:val="20"/>
                <w:lang w:val="en-US"/>
              </w:rPr>
              <w:t>-</w:t>
            </w:r>
            <w:r w:rsidR="00F44D0F">
              <w:rPr>
                <w:color w:val="000000"/>
                <w:sz w:val="20"/>
                <w:lang w:val="en-US"/>
              </w:rPr>
              <w:t>13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Robert Stacey</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175B26" w:rsidP="00BD6FB0">
            <w:pPr>
              <w:jc w:val="center"/>
              <w:rPr>
                <w:color w:val="000000"/>
                <w:sz w:val="16"/>
                <w:szCs w:val="16"/>
                <w:lang w:val="en-US"/>
              </w:rPr>
            </w:pPr>
            <w:hyperlink r:id="rId7" w:history="1">
              <w:r w:rsidRPr="0050594A">
                <w:rPr>
                  <w:rStyle w:val="Hyperlink"/>
                  <w:sz w:val="16"/>
                  <w:szCs w:val="16"/>
                  <w:lang w:val="en-US"/>
                </w:rPr>
                <w:t>robert.stacey@intel.com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175B26" w:rsidP="00F639BA">
            <w:r>
              <w:t>January</w:t>
            </w:r>
            <w:r w:rsidR="003F3E21">
              <w:t xml:space="preserve"> </w:t>
            </w:r>
            <w:r>
              <w:t>1</w:t>
            </w:r>
            <w:r w:rsidR="003F3E21">
              <w:t>3</w:t>
            </w:r>
            <w:r w:rsidR="00F639BA">
              <w:t>, 201</w:t>
            </w:r>
            <w:r>
              <w:t>5</w:t>
            </w:r>
          </w:p>
        </w:tc>
        <w:tc>
          <w:tcPr>
            <w:tcW w:w="6295" w:type="dxa"/>
          </w:tcPr>
          <w:p w:rsidR="00F639BA" w:rsidRDefault="00175B26" w:rsidP="00DD7017">
            <w:r>
              <w:t>As approved by TG motion</w:t>
            </w:r>
            <w:r w:rsidR="00DD7017">
              <w:t xml:space="preserve"> at the November 2014 </w:t>
            </w:r>
            <w:bookmarkStart w:id="0" w:name="_GoBack"/>
            <w:bookmarkEnd w:id="0"/>
            <w:r w:rsidR="00DD7017">
              <w:t>meeting</w:t>
            </w:r>
          </w:p>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CB2E9D" w:rsidP="0089289E">
      <w:pPr>
        <w:pStyle w:val="Heading1"/>
      </w:pPr>
      <w:r>
        <w:t xml:space="preserve">1 </w:t>
      </w:r>
      <w:r w:rsidR="00750BD5">
        <w:t>Definitions</w:t>
      </w:r>
    </w:p>
    <w:p w:rsidR="001738A3" w:rsidRDefault="001738A3" w:rsidP="001738A3"/>
    <w:p w:rsidR="0089289E" w:rsidRDefault="0089289E" w:rsidP="0089289E">
      <w:pPr>
        <w:rPr>
          <w:b/>
          <w:bCs/>
        </w:rPr>
      </w:pPr>
    </w:p>
    <w:p w:rsidR="0089289E" w:rsidRDefault="00CB2E9D" w:rsidP="0089289E">
      <w:pPr>
        <w:pStyle w:val="Heading1"/>
      </w:pPr>
      <w:r>
        <w:t xml:space="preserve">2 </w:t>
      </w:r>
      <w:r w:rsidR="0089289E">
        <w:t>Abbreviations and acronyms</w:t>
      </w:r>
    </w:p>
    <w:p w:rsidR="0089289E" w:rsidRDefault="0089289E" w:rsidP="0089289E"/>
    <w:p w:rsidR="0013004F" w:rsidRDefault="00417271" w:rsidP="0089289E">
      <w:proofErr w:type="gramStart"/>
      <w:r>
        <w:t>HE</w:t>
      </w:r>
      <w:proofErr w:type="gramEnd"/>
      <w:r w:rsidR="00B13640">
        <w:tab/>
      </w:r>
      <w:r w:rsidR="00160619">
        <w:tab/>
      </w:r>
      <w:r>
        <w:t>High Efficiency</w:t>
      </w:r>
    </w:p>
    <w:p w:rsidR="00B13640" w:rsidRDefault="00B13640" w:rsidP="0089289E">
      <w:r>
        <w:t>UL</w:t>
      </w:r>
      <w:r>
        <w:tab/>
      </w:r>
      <w:r w:rsidR="00160619">
        <w:tab/>
      </w:r>
      <w:r>
        <w:t>Uplink</w:t>
      </w:r>
    </w:p>
    <w:p w:rsidR="00B13640" w:rsidRDefault="00B13640" w:rsidP="0089289E">
      <w:r>
        <w:t>DL</w:t>
      </w:r>
      <w:r>
        <w:tab/>
      </w:r>
      <w:r w:rsidR="00160619">
        <w:tab/>
      </w:r>
      <w:proofErr w:type="spellStart"/>
      <w:r>
        <w:t>Dowlink</w:t>
      </w:r>
      <w:proofErr w:type="spellEnd"/>
    </w:p>
    <w:p w:rsidR="00F639BA" w:rsidRDefault="00160619" w:rsidP="0089289E">
      <w:r>
        <w:t>OFDMA</w:t>
      </w:r>
      <w:r>
        <w:tab/>
      </w:r>
      <w:r w:rsidRPr="00160619">
        <w:t>Orthogonal Frequency-Division Multiple Access</w:t>
      </w:r>
    </w:p>
    <w:p w:rsidR="00CB2E9D" w:rsidRDefault="00CB2E9D" w:rsidP="0089289E"/>
    <w:p w:rsidR="00CB2E9D" w:rsidRDefault="00CB2E9D" w:rsidP="00CB2E9D">
      <w:pPr>
        <w:pStyle w:val="Heading1"/>
      </w:pPr>
      <w:r>
        <w:t xml:space="preserve">3 </w:t>
      </w:r>
      <w:r w:rsidR="00935DBA">
        <w:t>High Efficiency (HE)</w:t>
      </w:r>
      <w:r>
        <w:t xml:space="preserve"> Physical Layer</w:t>
      </w:r>
    </w:p>
    <w:p w:rsidR="00856898" w:rsidRDefault="00856898" w:rsidP="00856898"/>
    <w:p w:rsidR="00856898" w:rsidRDefault="00856898" w:rsidP="00856898">
      <w:r>
        <w:t>This section describes the functional blocks in the physical layer.</w:t>
      </w:r>
    </w:p>
    <w:p w:rsidR="00760889" w:rsidRPr="00760889" w:rsidRDefault="00760889" w:rsidP="00B63C2F"/>
    <w:p w:rsidR="003D6E7F" w:rsidRDefault="00856898" w:rsidP="00417271">
      <w:pPr>
        <w:pStyle w:val="Heading1"/>
      </w:pPr>
      <w:r>
        <w:t xml:space="preserve">4 </w:t>
      </w:r>
      <w:r w:rsidR="00634FA1">
        <w:t>M</w:t>
      </w:r>
      <w:r w:rsidR="00477B34">
        <w:t>ulti-user (MU)</w:t>
      </w:r>
      <w:r w:rsidR="00417271">
        <w:t xml:space="preserve"> </w:t>
      </w:r>
      <w:r w:rsidR="00477B34">
        <w:t>features</w:t>
      </w:r>
    </w:p>
    <w:p w:rsidR="00417271" w:rsidRPr="00417271" w:rsidRDefault="00417271" w:rsidP="00417271"/>
    <w:p w:rsidR="00417271" w:rsidRDefault="00417271" w:rsidP="005267E4">
      <w:r>
        <w:t xml:space="preserve">This section describes </w:t>
      </w:r>
      <w:r w:rsidR="00477B34">
        <w:t>MU related features</w:t>
      </w:r>
      <w:r>
        <w:t>.</w:t>
      </w:r>
      <w:r w:rsidR="0039564A">
        <w:t xml:space="preserve"> MU features include </w:t>
      </w:r>
      <w:r w:rsidR="00BD6FB0">
        <w:t xml:space="preserve">UL and DL </w:t>
      </w:r>
      <w:r w:rsidR="0039564A">
        <w:t xml:space="preserve">OFDMA </w:t>
      </w:r>
      <w:r w:rsidR="009B5811">
        <w:t>and</w:t>
      </w:r>
      <w:r w:rsidR="00EF4E78">
        <w:t xml:space="preserve"> </w:t>
      </w:r>
      <w:r w:rsidR="00BD6FB0">
        <w:t xml:space="preserve">UL and DL </w:t>
      </w:r>
      <w:r w:rsidR="0039564A">
        <w:t>MU-MIMO.</w:t>
      </w:r>
    </w:p>
    <w:p w:rsidR="00893069" w:rsidRDefault="00893069" w:rsidP="00893069"/>
    <w:p w:rsidR="009B5811" w:rsidRDefault="00417271" w:rsidP="00417271">
      <w:pPr>
        <w:pStyle w:val="Heading1"/>
      </w:pPr>
      <w:r>
        <w:t xml:space="preserve">5 </w:t>
      </w:r>
      <w:r w:rsidR="009B5811">
        <w:t>Coexistence</w:t>
      </w:r>
    </w:p>
    <w:p w:rsidR="009B5811" w:rsidRDefault="009B5811" w:rsidP="009B5811"/>
    <w:p w:rsidR="009B5811" w:rsidRPr="009B5811" w:rsidRDefault="009B5811" w:rsidP="009B5811">
      <w:r>
        <w:t>This section describes the functional blocks that support coexistence.</w:t>
      </w:r>
    </w:p>
    <w:p w:rsidR="00555978" w:rsidRDefault="009B5811" w:rsidP="009B5811">
      <w:pPr>
        <w:pStyle w:val="Heading2"/>
      </w:pPr>
      <w:r>
        <w:t xml:space="preserve">5.1 </w:t>
      </w:r>
      <w:r w:rsidR="002360E0">
        <w:t xml:space="preserve">Features for </w:t>
      </w:r>
      <w:r w:rsidR="00477B34">
        <w:t>operation in dense environments</w:t>
      </w:r>
      <w:r w:rsidR="00555978">
        <w:t xml:space="preserve"> </w:t>
      </w:r>
    </w:p>
    <w:p w:rsidR="000840D0" w:rsidRDefault="000840D0" w:rsidP="000840D0"/>
    <w:p w:rsidR="00193996" w:rsidRDefault="00477B34" w:rsidP="000840D0">
      <w:r>
        <w:t>This section describes features that improve overlapping BSS (OBSS) operation in dense environments.</w:t>
      </w:r>
      <w:r w:rsidR="0039564A">
        <w:t xml:space="preserve"> This includes features such </w:t>
      </w:r>
      <w:r w:rsidR="00EF1E58">
        <w:t xml:space="preserve">as </w:t>
      </w:r>
      <w:r w:rsidR="0039564A">
        <w:t>deferral rules and CCA levels.</w:t>
      </w:r>
    </w:p>
    <w:p w:rsidR="00527100" w:rsidRDefault="00527100" w:rsidP="000840D0"/>
    <w:p w:rsidR="009B5811" w:rsidRDefault="009B5811" w:rsidP="00DD7017">
      <w:pPr>
        <w:pStyle w:val="Heading1"/>
      </w:pPr>
      <w:r>
        <w:lastRenderedPageBreak/>
        <w:t>6 MAC</w:t>
      </w:r>
    </w:p>
    <w:p w:rsidR="009B5811" w:rsidRDefault="009B5811" w:rsidP="009B5811"/>
    <w:p w:rsidR="009B5811" w:rsidRDefault="009B5811" w:rsidP="009B5811">
      <w:r>
        <w:t>This section describes general MAC functional blocks.</w:t>
      </w:r>
    </w:p>
    <w:p w:rsidR="00DD7017" w:rsidRDefault="00DD7017" w:rsidP="009B5811"/>
    <w:p w:rsidR="00DD7017" w:rsidRDefault="00DD7017" w:rsidP="00DD7017">
      <w:pPr>
        <w:pStyle w:val="Heading2"/>
      </w:pPr>
      <w:r>
        <w:t>6.1 Power Save</w:t>
      </w:r>
    </w:p>
    <w:p w:rsidR="00BA4F8A" w:rsidRDefault="00BA4F8A" w:rsidP="009B5811"/>
    <w:p w:rsidR="00DD7017" w:rsidRPr="009B5811" w:rsidRDefault="00DD7017" w:rsidP="009B5811"/>
    <w:p w:rsidR="00CA09B2" w:rsidRDefault="00CA09B2" w:rsidP="00417271">
      <w:pPr>
        <w:pStyle w:val="Heading1"/>
      </w:pPr>
      <w:r>
        <w:t>References:</w:t>
      </w:r>
    </w:p>
    <w:p w:rsidR="00BA4F8A" w:rsidRDefault="00175B26" w:rsidP="00417271">
      <w:r>
        <w:t>14/1453r2</w:t>
      </w:r>
      <w:r w:rsidR="00BA4F8A">
        <w:t xml:space="preserve"> </w:t>
      </w:r>
      <w:r w:rsidR="00BA4F8A" w:rsidRPr="00BA4F8A">
        <w:t>Propose</w:t>
      </w:r>
      <w:r>
        <w:t xml:space="preserve">d Spec Framework Document for </w:t>
      </w:r>
      <w:proofErr w:type="spellStart"/>
      <w:r>
        <w:t>TGax</w:t>
      </w:r>
      <w:proofErr w:type="spellEnd"/>
    </w:p>
    <w:p w:rsidR="00BA4F8A" w:rsidRPr="00417271" w:rsidRDefault="00BA4F8A" w:rsidP="00417271"/>
    <w:sectPr w:rsidR="00BA4F8A" w:rsidRPr="0041727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E1" w:rsidRDefault="007443E1">
      <w:r>
        <w:separator/>
      </w:r>
    </w:p>
  </w:endnote>
  <w:endnote w:type="continuationSeparator" w:id="0">
    <w:p w:rsidR="007443E1" w:rsidRDefault="0074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F9626C">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TGax</w:t>
    </w:r>
    <w:proofErr w:type="spellEnd"/>
    <w:r>
      <w:t xml:space="preserve"> Spec Framework</w:t>
    </w:r>
    <w:r>
      <w:fldChar w:fldCharType="end"/>
    </w:r>
    <w:r>
      <w:tab/>
      <w:t xml:space="preserve">page </w:t>
    </w:r>
    <w:r>
      <w:fldChar w:fldCharType="begin"/>
    </w:r>
    <w:r>
      <w:instrText xml:space="preserve">page </w:instrText>
    </w:r>
    <w:r>
      <w:fldChar w:fldCharType="separate"/>
    </w:r>
    <w:r w:rsidR="00DD7017">
      <w:rPr>
        <w:noProof/>
      </w:rPr>
      <w:t>1</w:t>
    </w:r>
    <w:r>
      <w:fldChar w:fldCharType="end"/>
    </w:r>
    <w:r>
      <w:tab/>
    </w:r>
    <w:fldSimple w:instr=" COMMENTS   \* MERGEFORMAT ">
      <w:r w:rsidR="00F44D0F">
        <w:t>Robert Stacey, Intel</w:t>
      </w:r>
    </w:fldSimple>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E1" w:rsidRDefault="007443E1">
      <w:r>
        <w:separator/>
      </w:r>
    </w:p>
  </w:footnote>
  <w:footnote w:type="continuationSeparator" w:id="0">
    <w:p w:rsidR="007443E1" w:rsidRDefault="00744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F9626C" w:rsidP="00732A32">
    <w:pPr>
      <w:pStyle w:val="Header"/>
      <w:tabs>
        <w:tab w:val="clear" w:pos="6480"/>
        <w:tab w:val="center" w:pos="4680"/>
        <w:tab w:val="right" w:pos="9360"/>
      </w:tabs>
    </w:pPr>
    <w:r>
      <w:fldChar w:fldCharType="begin"/>
    </w:r>
    <w:r>
      <w:instrText xml:space="preserve"> KEYWORDS  \* MERGEFORMAT </w:instrText>
    </w:r>
    <w:r>
      <w:fldChar w:fldCharType="separate"/>
    </w:r>
    <w:r w:rsidR="00F44D0F">
      <w:t>January 2015</w:t>
    </w:r>
    <w:r>
      <w:fldChar w:fldCharType="end"/>
    </w:r>
    <w:r>
      <w:tab/>
    </w:r>
    <w:r>
      <w:tab/>
    </w:r>
    <w:r w:rsidR="007443E1">
      <w:fldChar w:fldCharType="begin"/>
    </w:r>
    <w:r w:rsidR="007443E1">
      <w:instrText xml:space="preserve"> TITLE  \* MERGEFORMAT </w:instrText>
    </w:r>
    <w:r w:rsidR="007443E1">
      <w:fldChar w:fldCharType="separate"/>
    </w:r>
    <w:r w:rsidR="00F44D0F">
      <w:t>doc.: IEEE 802.11-15/0132r0</w:t>
    </w:r>
    <w:r w:rsidR="007443E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44F0F"/>
    <w:rsid w:val="000840D0"/>
    <w:rsid w:val="00086463"/>
    <w:rsid w:val="000A365F"/>
    <w:rsid w:val="000A764C"/>
    <w:rsid w:val="000D43F8"/>
    <w:rsid w:val="00113B7E"/>
    <w:rsid w:val="0013004F"/>
    <w:rsid w:val="00130286"/>
    <w:rsid w:val="00135192"/>
    <w:rsid w:val="00160619"/>
    <w:rsid w:val="001738A3"/>
    <w:rsid w:val="00175B26"/>
    <w:rsid w:val="001850ED"/>
    <w:rsid w:val="00193996"/>
    <w:rsid w:val="001A2B00"/>
    <w:rsid w:val="001B217E"/>
    <w:rsid w:val="001D3204"/>
    <w:rsid w:val="001D723B"/>
    <w:rsid w:val="001E3BE4"/>
    <w:rsid w:val="0020389D"/>
    <w:rsid w:val="00212EC4"/>
    <w:rsid w:val="002248B1"/>
    <w:rsid w:val="002360E0"/>
    <w:rsid w:val="00244FE5"/>
    <w:rsid w:val="002600EB"/>
    <w:rsid w:val="00260F6A"/>
    <w:rsid w:val="00264D47"/>
    <w:rsid w:val="0028670D"/>
    <w:rsid w:val="0029020B"/>
    <w:rsid w:val="002B1ACA"/>
    <w:rsid w:val="002B58CB"/>
    <w:rsid w:val="002D44BE"/>
    <w:rsid w:val="002D4CBF"/>
    <w:rsid w:val="002F272A"/>
    <w:rsid w:val="00326D9A"/>
    <w:rsid w:val="003467AC"/>
    <w:rsid w:val="00360C64"/>
    <w:rsid w:val="0036165C"/>
    <w:rsid w:val="0039564A"/>
    <w:rsid w:val="003C292F"/>
    <w:rsid w:val="003D6E7F"/>
    <w:rsid w:val="003F3E21"/>
    <w:rsid w:val="00403B31"/>
    <w:rsid w:val="00417271"/>
    <w:rsid w:val="00426089"/>
    <w:rsid w:val="00442037"/>
    <w:rsid w:val="004427B8"/>
    <w:rsid w:val="00455675"/>
    <w:rsid w:val="00456C11"/>
    <w:rsid w:val="004675B6"/>
    <w:rsid w:val="0047111F"/>
    <w:rsid w:val="00477B34"/>
    <w:rsid w:val="004A35AB"/>
    <w:rsid w:val="004C133A"/>
    <w:rsid w:val="004F6AFF"/>
    <w:rsid w:val="00506864"/>
    <w:rsid w:val="00510FF3"/>
    <w:rsid w:val="0051324F"/>
    <w:rsid w:val="005267E4"/>
    <w:rsid w:val="00527100"/>
    <w:rsid w:val="00533027"/>
    <w:rsid w:val="005500DD"/>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FA1"/>
    <w:rsid w:val="0065185D"/>
    <w:rsid w:val="00656E90"/>
    <w:rsid w:val="006B1B2A"/>
    <w:rsid w:val="006C0727"/>
    <w:rsid w:val="006E145F"/>
    <w:rsid w:val="006F2890"/>
    <w:rsid w:val="00721E00"/>
    <w:rsid w:val="00730060"/>
    <w:rsid w:val="00732A32"/>
    <w:rsid w:val="007443E1"/>
    <w:rsid w:val="00745712"/>
    <w:rsid w:val="00750BD5"/>
    <w:rsid w:val="00760889"/>
    <w:rsid w:val="00762A7D"/>
    <w:rsid w:val="00770572"/>
    <w:rsid w:val="00793A62"/>
    <w:rsid w:val="007A64F1"/>
    <w:rsid w:val="007C67E6"/>
    <w:rsid w:val="008050EC"/>
    <w:rsid w:val="00807234"/>
    <w:rsid w:val="00814D7A"/>
    <w:rsid w:val="008243BD"/>
    <w:rsid w:val="0084679F"/>
    <w:rsid w:val="00856898"/>
    <w:rsid w:val="0089289E"/>
    <w:rsid w:val="00893069"/>
    <w:rsid w:val="008A5FF8"/>
    <w:rsid w:val="008B1DA0"/>
    <w:rsid w:val="008B22D7"/>
    <w:rsid w:val="008C557D"/>
    <w:rsid w:val="008C6206"/>
    <w:rsid w:val="008C63DE"/>
    <w:rsid w:val="008F1369"/>
    <w:rsid w:val="009236FF"/>
    <w:rsid w:val="009315C2"/>
    <w:rsid w:val="00935DBA"/>
    <w:rsid w:val="0094395A"/>
    <w:rsid w:val="00944135"/>
    <w:rsid w:val="00947217"/>
    <w:rsid w:val="009473AA"/>
    <w:rsid w:val="00954111"/>
    <w:rsid w:val="00964FE7"/>
    <w:rsid w:val="009813F0"/>
    <w:rsid w:val="00981B9D"/>
    <w:rsid w:val="00995250"/>
    <w:rsid w:val="009B5811"/>
    <w:rsid w:val="009D5A16"/>
    <w:rsid w:val="009E4398"/>
    <w:rsid w:val="00A32ED6"/>
    <w:rsid w:val="00A40F72"/>
    <w:rsid w:val="00A640BF"/>
    <w:rsid w:val="00A8394A"/>
    <w:rsid w:val="00A974F3"/>
    <w:rsid w:val="00AA1354"/>
    <w:rsid w:val="00AA427C"/>
    <w:rsid w:val="00AB15FE"/>
    <w:rsid w:val="00AB7D1B"/>
    <w:rsid w:val="00B13640"/>
    <w:rsid w:val="00B332CF"/>
    <w:rsid w:val="00B51BA4"/>
    <w:rsid w:val="00B63C2F"/>
    <w:rsid w:val="00B65C57"/>
    <w:rsid w:val="00B80455"/>
    <w:rsid w:val="00B82C30"/>
    <w:rsid w:val="00B960E8"/>
    <w:rsid w:val="00BA4274"/>
    <w:rsid w:val="00BA4F8A"/>
    <w:rsid w:val="00BC1EEE"/>
    <w:rsid w:val="00BD6FB0"/>
    <w:rsid w:val="00BE68C2"/>
    <w:rsid w:val="00BF36F9"/>
    <w:rsid w:val="00BF3731"/>
    <w:rsid w:val="00BF6992"/>
    <w:rsid w:val="00C154C3"/>
    <w:rsid w:val="00C27B1D"/>
    <w:rsid w:val="00C82D24"/>
    <w:rsid w:val="00CA09B2"/>
    <w:rsid w:val="00CB2E9D"/>
    <w:rsid w:val="00CB6723"/>
    <w:rsid w:val="00CE046E"/>
    <w:rsid w:val="00CE713E"/>
    <w:rsid w:val="00D029E5"/>
    <w:rsid w:val="00D629B9"/>
    <w:rsid w:val="00D9374D"/>
    <w:rsid w:val="00DA1B53"/>
    <w:rsid w:val="00DA7075"/>
    <w:rsid w:val="00DB53E0"/>
    <w:rsid w:val="00DB6057"/>
    <w:rsid w:val="00DC5A7B"/>
    <w:rsid w:val="00DD7017"/>
    <w:rsid w:val="00DE5A0B"/>
    <w:rsid w:val="00E173BB"/>
    <w:rsid w:val="00E3225D"/>
    <w:rsid w:val="00E55C95"/>
    <w:rsid w:val="00E5726C"/>
    <w:rsid w:val="00E60532"/>
    <w:rsid w:val="00E845EF"/>
    <w:rsid w:val="00EA6B47"/>
    <w:rsid w:val="00EB2CD0"/>
    <w:rsid w:val="00EB30F6"/>
    <w:rsid w:val="00EF1E58"/>
    <w:rsid w:val="00EF4E78"/>
    <w:rsid w:val="00F04210"/>
    <w:rsid w:val="00F155EB"/>
    <w:rsid w:val="00F44D0F"/>
    <w:rsid w:val="00F47391"/>
    <w:rsid w:val="00F57301"/>
    <w:rsid w:val="00F639BA"/>
    <w:rsid w:val="00F82A01"/>
    <w:rsid w:val="00F9626C"/>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ert.stacey@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3</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802.11-15/0132r0</dc:title>
  <dc:subject>TGac Spec Framework</dc:subject>
  <dc:creator>Robert Stacey</dc:creator>
  <cp:keywords>January 2015</cp:keywords>
  <dc:description>Robert Stacey, Intel</dc:description>
  <cp:lastModifiedBy>Stacey, Robert</cp:lastModifiedBy>
  <cp:revision>3</cp:revision>
  <cp:lastPrinted>2014-06-04T16:31:00Z</cp:lastPrinted>
  <dcterms:created xsi:type="dcterms:W3CDTF">2015-01-13T14:47:00Z</dcterms:created>
  <dcterms:modified xsi:type="dcterms:W3CDTF">2015-01-13T14:51:00Z</dcterms:modified>
</cp:coreProperties>
</file>