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09D7ECB" w:rsidR="00CA09B2" w:rsidRDefault="00880C23">
            <w:pPr>
              <w:pStyle w:val="T2"/>
            </w:pPr>
            <w:r>
              <w:t>Assorted 11ak Improvements</w:t>
            </w:r>
          </w:p>
        </w:tc>
      </w:tr>
      <w:tr w:rsidR="00CA09B2" w14:paraId="3A12E709" w14:textId="77777777">
        <w:trPr>
          <w:trHeight w:val="359"/>
          <w:jc w:val="center"/>
        </w:trPr>
        <w:tc>
          <w:tcPr>
            <w:tcW w:w="9576" w:type="dxa"/>
            <w:gridSpan w:val="5"/>
            <w:vAlign w:val="center"/>
          </w:tcPr>
          <w:p w14:paraId="415A238E" w14:textId="7BC653E7" w:rsidR="003C12A9" w:rsidRPr="003C12A9" w:rsidRDefault="00CA09B2" w:rsidP="00880C23">
            <w:pPr>
              <w:pStyle w:val="T2"/>
              <w:ind w:left="0"/>
              <w:rPr>
                <w:b w:val="0"/>
                <w:sz w:val="20"/>
              </w:rPr>
            </w:pPr>
            <w:r>
              <w:rPr>
                <w:sz w:val="20"/>
              </w:rPr>
              <w:t>Date:</w:t>
            </w:r>
            <w:r>
              <w:rPr>
                <w:b w:val="0"/>
                <w:sz w:val="20"/>
              </w:rPr>
              <w:t xml:space="preserve">  </w:t>
            </w:r>
            <w:r w:rsidR="00DC112D">
              <w:rPr>
                <w:b w:val="0"/>
                <w:sz w:val="20"/>
              </w:rPr>
              <w:t>2014-</w:t>
            </w:r>
            <w:r w:rsidR="00E25B8A">
              <w:rPr>
                <w:b w:val="0"/>
                <w:sz w:val="20"/>
              </w:rPr>
              <w:t>02-2</w:t>
            </w:r>
            <w:r w:rsidR="00752227">
              <w:rPr>
                <w:b w:val="0"/>
                <w:sz w:val="20"/>
              </w:rPr>
              <w:t>2</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64F488E2">
                <wp:simplePos x="0" y="0"/>
                <wp:positionH relativeFrom="column">
                  <wp:posOffset>-62865</wp:posOffset>
                </wp:positionH>
                <wp:positionV relativeFrom="paragraph">
                  <wp:posOffset>186055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752227" w:rsidRDefault="00752227">
                            <w:pPr>
                              <w:pStyle w:val="T1"/>
                              <w:spacing w:after="120"/>
                            </w:pPr>
                            <w:r>
                              <w:t>Abstract</w:t>
                            </w:r>
                          </w:p>
                          <w:p w14:paraId="0C811D4F" w14:textId="58858B94" w:rsidR="00752227" w:rsidRDefault="00752227">
                            <w:pPr>
                              <w:jc w:val="both"/>
                            </w:pPr>
                            <w:r>
                              <w:t>This document proposes text for improvements to P802.11ak D0.07.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4.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ByIPb93gAAAAkBAAAPAAAAZHJzL2Rvd25yZXYueG1sTI9BT4NAFITvJv6HzWvixbSLtIIgj0ZN&#10;NL229gc82C2Qsm8Juy3037ue9DiZycw3xXY2vbjq0XWWEZ5WEQjNtVUdNwjH78/lCwjniRX1ljXC&#10;TTvYlvd3BeXKTrzX14NvRChhlxNC6/2QS+nqVhtyKztoDt7JjoZ8kGMj1UhTKDe9jKMokYY6Dgst&#10;Dfqj1fX5cDEIp930+JxN1Zc/pvtN8k5dWtkb4sNifnsF4fXs/8Lwix/QoQxMlb2wcqJHWGaB3CPE&#10;2RpE8LM4iUFUCJs0XYMsC/n/QfkDAAD//wMAUEsBAi0AFAAGAAgAAAAhAOSZw8D7AAAA4QEAABMA&#10;AAAAAAAAAAAAAAAAAAAAAFtDb250ZW50X1R5cGVzXS54bWxQSwECLQAUAAYACAAAACEAI7Jq4dcA&#10;AACUAQAACwAAAAAAAAAAAAAAAAAsAQAAX3JlbHMvLnJlbHNQSwECLQAUAAYACAAAACEA9HJXz4IC&#10;AAAQBQAADgAAAAAAAAAAAAAAAAAsAgAAZHJzL2Uyb0RvYy54bWxQSwECLQAUAAYACAAAACEAciD2&#10;/d4AAAAJAQAADwAAAAAAAAAAAAAAAADaBAAAZHJzL2Rvd25yZXYueG1sUEsFBgAAAAAEAAQA8wAA&#10;AOUFAAAAAA==&#10;" o:allowincell="f" stroked="f">
                <v:textbox>
                  <w:txbxContent>
                    <w:p w14:paraId="289C3A9B" w14:textId="77777777" w:rsidR="00752227" w:rsidRDefault="00752227">
                      <w:pPr>
                        <w:pStyle w:val="T1"/>
                        <w:spacing w:after="120"/>
                      </w:pPr>
                      <w:r>
                        <w:t>Abstract</w:t>
                      </w:r>
                    </w:p>
                    <w:p w14:paraId="0C811D4F" w14:textId="58858B94" w:rsidR="00752227" w:rsidRDefault="00752227">
                      <w:pPr>
                        <w:jc w:val="both"/>
                      </w:pPr>
                      <w:r>
                        <w:t>This document proposes text for improvements to P802.11ak D0.07.</w:t>
                      </w:r>
                    </w:p>
                  </w:txbxContent>
                </v:textbox>
              </v:shape>
            </w:pict>
          </mc:Fallback>
        </mc:AlternateContent>
      </w:r>
    </w:p>
    <w:p w14:paraId="69200A16" w14:textId="77777777" w:rsidR="00CA09B2" w:rsidRDefault="00CA09B2" w:rsidP="003C12A9"/>
    <w:p w14:paraId="0B37F607" w14:textId="7042A5B5" w:rsidR="00CA09B2" w:rsidRDefault="00CA09B2" w:rsidP="00706927">
      <w:pPr>
        <w:jc w:val="center"/>
      </w:pPr>
      <w:r>
        <w:br w:type="page"/>
      </w:r>
    </w:p>
    <w:p w14:paraId="153A038A" w14:textId="77777777" w:rsidR="00706927" w:rsidRDefault="00706927" w:rsidP="00706927">
      <w:pPr>
        <w:pStyle w:val="Heading1"/>
        <w:numPr>
          <w:ilvl w:val="0"/>
          <w:numId w:val="0"/>
        </w:numPr>
        <w:ind w:left="432" w:hanging="432"/>
      </w:pPr>
      <w:bookmarkStart w:id="0" w:name="_Toc286065093"/>
      <w:r>
        <w:lastRenderedPageBreak/>
        <w:t>Introduction</w:t>
      </w:r>
      <w:bookmarkEnd w:id="0"/>
    </w:p>
    <w:p w14:paraId="657DC37D" w14:textId="529A587A" w:rsidR="0005534D" w:rsidRPr="0005534D" w:rsidRDefault="00976713" w:rsidP="0005534D">
      <w:pPr>
        <w:jc w:val="both"/>
        <w:rPr>
          <w:sz w:val="28"/>
        </w:rPr>
      </w:pPr>
      <w:r>
        <w:rPr>
          <w:sz w:val="28"/>
        </w:rPr>
        <w:t>Th</w:t>
      </w:r>
      <w:r w:rsidR="0005534D" w:rsidRPr="0005534D">
        <w:rPr>
          <w:sz w:val="28"/>
        </w:rPr>
        <w:t xml:space="preserve">is document proposes text </w:t>
      </w:r>
      <w:r w:rsidR="00E10F75">
        <w:rPr>
          <w:sz w:val="28"/>
        </w:rPr>
        <w:t>and rational for a number of</w:t>
      </w:r>
      <w:r w:rsidR="006A1D65">
        <w:rPr>
          <w:sz w:val="28"/>
        </w:rPr>
        <w:t xml:space="preserve"> improvements to P802.11ak D0.07</w:t>
      </w:r>
      <w:r w:rsidR="0005534D" w:rsidRPr="0005534D">
        <w:rPr>
          <w:sz w:val="28"/>
        </w:rPr>
        <w:t>.</w:t>
      </w:r>
      <w:r w:rsidR="005529F4">
        <w:rPr>
          <w:sz w:val="28"/>
        </w:rPr>
        <w:t xml:space="preserve"> There</w:t>
      </w:r>
      <w:r w:rsidR="006A1D65">
        <w:rPr>
          <w:sz w:val="28"/>
        </w:rPr>
        <w:t xml:space="preserve"> are written as changes to D0.07</w:t>
      </w:r>
      <w:r w:rsidR="005529F4">
        <w:rPr>
          <w:sz w:val="28"/>
        </w:rPr>
        <w:t xml:space="preserve"> using the usual </w:t>
      </w:r>
      <w:r w:rsidR="005529F4" w:rsidRPr="005529F4">
        <w:rPr>
          <w:b/>
          <w:i/>
          <w:sz w:val="28"/>
        </w:rPr>
        <w:t>change</w:t>
      </w:r>
      <w:r w:rsidR="00FF19EF">
        <w:rPr>
          <w:b/>
          <w:i/>
          <w:sz w:val="28"/>
        </w:rPr>
        <w:t>, delete, insert, replace</w:t>
      </w:r>
      <w:r w:rsidR="005529F4">
        <w:rPr>
          <w:sz w:val="28"/>
        </w:rPr>
        <w:t xml:space="preserve"> notation.</w:t>
      </w:r>
      <w:r w:rsidR="00FF19EF">
        <w:rPr>
          <w:sz w:val="28"/>
        </w:rPr>
        <w:t xml:space="preserve"> The </w:t>
      </w:r>
      <w:r w:rsidR="00FF19EF" w:rsidRPr="002F7B87">
        <w:rPr>
          <w:i/>
          <w:color w:val="FF0000"/>
          <w:sz w:val="28"/>
        </w:rPr>
        <w:t>Editorial Notes</w:t>
      </w:r>
      <w:r w:rsidR="00FF19EF">
        <w:rPr>
          <w:sz w:val="28"/>
        </w:rPr>
        <w:t xml:space="preserve"> are just for explanation in this document and would not be added to the draft.</w:t>
      </w:r>
    </w:p>
    <w:p w14:paraId="5358F7ED" w14:textId="77777777" w:rsidR="00976713" w:rsidRDefault="00976713" w:rsidP="00706927">
      <w:pPr>
        <w:jc w:val="both"/>
        <w:rPr>
          <w:sz w:val="36"/>
        </w:rPr>
      </w:pPr>
    </w:p>
    <w:p w14:paraId="3A64DCAF" w14:textId="77777777" w:rsidR="00D56289" w:rsidRDefault="00D56289">
      <w:pPr>
        <w:pStyle w:val="TOC1"/>
        <w:tabs>
          <w:tab w:val="right" w:leader="dot" w:pos="9350"/>
        </w:tabs>
        <w:rPr>
          <w:rFonts w:asciiTheme="minorHAnsi" w:eastAsiaTheme="minorEastAsia" w:hAnsiTheme="minorHAnsi" w:cstheme="minorBidi"/>
          <w:noProof/>
          <w:szCs w:val="24"/>
          <w:lang w:val="en-US" w:eastAsia="ja-JP"/>
        </w:rPr>
      </w:pPr>
      <w:r>
        <w:rPr>
          <w:sz w:val="36"/>
        </w:rPr>
        <w:fldChar w:fldCharType="begin"/>
      </w:r>
      <w:r>
        <w:rPr>
          <w:sz w:val="36"/>
        </w:rPr>
        <w:instrText xml:space="preserve"> TOC \o "1-3" </w:instrText>
      </w:r>
      <w:r>
        <w:rPr>
          <w:sz w:val="36"/>
        </w:rPr>
        <w:fldChar w:fldCharType="separate"/>
      </w:r>
      <w:r>
        <w:rPr>
          <w:noProof/>
        </w:rPr>
        <w:t>Introduction</w:t>
      </w:r>
      <w:r>
        <w:rPr>
          <w:noProof/>
        </w:rPr>
        <w:tab/>
      </w:r>
      <w:r>
        <w:rPr>
          <w:noProof/>
        </w:rPr>
        <w:fldChar w:fldCharType="begin"/>
      </w:r>
      <w:r>
        <w:rPr>
          <w:noProof/>
        </w:rPr>
        <w:instrText xml:space="preserve"> PAGEREF _Toc286065093 \h </w:instrText>
      </w:r>
      <w:r>
        <w:rPr>
          <w:noProof/>
        </w:rPr>
      </w:r>
      <w:r>
        <w:rPr>
          <w:noProof/>
        </w:rPr>
        <w:fldChar w:fldCharType="separate"/>
      </w:r>
      <w:r w:rsidR="00E25B8A">
        <w:rPr>
          <w:noProof/>
        </w:rPr>
        <w:t>2</w:t>
      </w:r>
      <w:r>
        <w:rPr>
          <w:noProof/>
        </w:rPr>
        <w:fldChar w:fldCharType="end"/>
      </w:r>
    </w:p>
    <w:p w14:paraId="4A730BDA" w14:textId="77777777" w:rsidR="00D56289" w:rsidRDefault="00D56289">
      <w:pPr>
        <w:pStyle w:val="TOC1"/>
        <w:tabs>
          <w:tab w:val="left" w:pos="347"/>
          <w:tab w:val="right" w:leader="dot" w:pos="9350"/>
        </w:tabs>
        <w:rPr>
          <w:rFonts w:asciiTheme="minorHAnsi" w:eastAsiaTheme="minorEastAsia" w:hAnsiTheme="minorHAnsi" w:cstheme="minorBidi"/>
          <w:noProof/>
          <w:szCs w:val="24"/>
          <w:lang w:val="en-US" w:eastAsia="ja-JP"/>
        </w:rPr>
      </w:pPr>
      <w:r>
        <w:rPr>
          <w:noProof/>
        </w:rPr>
        <w:t>a</w:t>
      </w:r>
      <w:r>
        <w:rPr>
          <w:rFonts w:asciiTheme="minorHAnsi" w:eastAsiaTheme="minorEastAsia" w:hAnsiTheme="minorHAnsi" w:cstheme="minorBidi"/>
          <w:noProof/>
          <w:szCs w:val="24"/>
          <w:lang w:val="en-US" w:eastAsia="ja-JP"/>
        </w:rPr>
        <w:tab/>
      </w:r>
      <w:r>
        <w:rPr>
          <w:noProof/>
        </w:rPr>
        <w:t>No IBSS/Mesh Selective Reception</w:t>
      </w:r>
      <w:r>
        <w:rPr>
          <w:noProof/>
        </w:rPr>
        <w:tab/>
      </w:r>
      <w:r>
        <w:rPr>
          <w:noProof/>
        </w:rPr>
        <w:fldChar w:fldCharType="begin"/>
      </w:r>
      <w:r>
        <w:rPr>
          <w:noProof/>
        </w:rPr>
        <w:instrText xml:space="preserve"> PAGEREF _Toc286065094 \h </w:instrText>
      </w:r>
      <w:r>
        <w:rPr>
          <w:noProof/>
        </w:rPr>
      </w:r>
      <w:r>
        <w:rPr>
          <w:noProof/>
        </w:rPr>
        <w:fldChar w:fldCharType="separate"/>
      </w:r>
      <w:r w:rsidR="00E25B8A">
        <w:rPr>
          <w:noProof/>
        </w:rPr>
        <w:t>3</w:t>
      </w:r>
      <w:r>
        <w:rPr>
          <w:noProof/>
        </w:rPr>
        <w:fldChar w:fldCharType="end"/>
      </w:r>
    </w:p>
    <w:p w14:paraId="3A9A81B6" w14:textId="77777777" w:rsidR="00D56289" w:rsidRDefault="00D5628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b</w:t>
      </w:r>
      <w:r>
        <w:rPr>
          <w:rFonts w:asciiTheme="minorHAnsi" w:eastAsiaTheme="minorEastAsia" w:hAnsiTheme="minorHAnsi" w:cstheme="minorBidi"/>
          <w:noProof/>
          <w:szCs w:val="24"/>
          <w:lang w:val="en-US" w:eastAsia="ja-JP"/>
        </w:rPr>
        <w:tab/>
      </w:r>
      <w:r>
        <w:rPr>
          <w:noProof/>
        </w:rPr>
        <w:t>GLK STA versus Transmission</w:t>
      </w:r>
      <w:r>
        <w:rPr>
          <w:noProof/>
        </w:rPr>
        <w:tab/>
      </w:r>
      <w:r>
        <w:rPr>
          <w:noProof/>
        </w:rPr>
        <w:fldChar w:fldCharType="begin"/>
      </w:r>
      <w:r>
        <w:rPr>
          <w:noProof/>
        </w:rPr>
        <w:instrText xml:space="preserve"> PAGEREF _Toc286065095 \h </w:instrText>
      </w:r>
      <w:r>
        <w:rPr>
          <w:noProof/>
        </w:rPr>
      </w:r>
      <w:r>
        <w:rPr>
          <w:noProof/>
        </w:rPr>
        <w:fldChar w:fldCharType="separate"/>
      </w:r>
      <w:r w:rsidR="00E25B8A">
        <w:rPr>
          <w:noProof/>
        </w:rPr>
        <w:t>3</w:t>
      </w:r>
      <w:r>
        <w:rPr>
          <w:noProof/>
        </w:rPr>
        <w:fldChar w:fldCharType="end"/>
      </w:r>
    </w:p>
    <w:p w14:paraId="546F02F3" w14:textId="77777777" w:rsidR="00D56289" w:rsidRDefault="00D56289">
      <w:pPr>
        <w:pStyle w:val="TOC1"/>
        <w:tabs>
          <w:tab w:val="left" w:pos="347"/>
          <w:tab w:val="right" w:leader="dot" w:pos="9350"/>
        </w:tabs>
        <w:rPr>
          <w:rFonts w:asciiTheme="minorHAnsi" w:eastAsiaTheme="minorEastAsia" w:hAnsiTheme="minorHAnsi" w:cstheme="minorBidi"/>
          <w:noProof/>
          <w:szCs w:val="24"/>
          <w:lang w:val="en-US" w:eastAsia="ja-JP"/>
        </w:rPr>
      </w:pPr>
      <w:r>
        <w:rPr>
          <w:noProof/>
        </w:rPr>
        <w:t>c</w:t>
      </w:r>
      <w:r>
        <w:rPr>
          <w:rFonts w:asciiTheme="minorHAnsi" w:eastAsiaTheme="minorEastAsia" w:hAnsiTheme="minorHAnsi" w:cstheme="minorBidi"/>
          <w:noProof/>
          <w:szCs w:val="24"/>
          <w:lang w:val="en-US" w:eastAsia="ja-JP"/>
        </w:rPr>
        <w:tab/>
      </w:r>
      <w:r>
        <w:rPr>
          <w:noProof/>
        </w:rPr>
        <w:t>9.42 SYNRA address filtering</w:t>
      </w:r>
      <w:r>
        <w:rPr>
          <w:noProof/>
        </w:rPr>
        <w:tab/>
      </w:r>
      <w:r>
        <w:rPr>
          <w:noProof/>
        </w:rPr>
        <w:fldChar w:fldCharType="begin"/>
      </w:r>
      <w:r>
        <w:rPr>
          <w:noProof/>
        </w:rPr>
        <w:instrText xml:space="preserve"> PAGEREF _Toc286065096 \h </w:instrText>
      </w:r>
      <w:r>
        <w:rPr>
          <w:noProof/>
        </w:rPr>
      </w:r>
      <w:r>
        <w:rPr>
          <w:noProof/>
        </w:rPr>
        <w:fldChar w:fldCharType="separate"/>
      </w:r>
      <w:r w:rsidR="00E25B8A">
        <w:rPr>
          <w:noProof/>
        </w:rPr>
        <w:t>4</w:t>
      </w:r>
      <w:r>
        <w:rPr>
          <w:noProof/>
        </w:rPr>
        <w:fldChar w:fldCharType="end"/>
      </w:r>
    </w:p>
    <w:p w14:paraId="41D10A54" w14:textId="77777777" w:rsidR="00D56289" w:rsidRDefault="00D5628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d</w:t>
      </w:r>
      <w:r>
        <w:rPr>
          <w:rFonts w:asciiTheme="minorHAnsi" w:eastAsiaTheme="minorEastAsia" w:hAnsiTheme="minorHAnsi" w:cstheme="minorBidi"/>
          <w:noProof/>
          <w:szCs w:val="24"/>
          <w:lang w:val="en-US" w:eastAsia="ja-JP"/>
        </w:rPr>
        <w:tab/>
      </w:r>
      <w:r>
        <w:rPr>
          <w:noProof/>
        </w:rPr>
        <w:t>More MIB Stuff</w:t>
      </w:r>
      <w:r>
        <w:rPr>
          <w:noProof/>
        </w:rPr>
        <w:tab/>
      </w:r>
      <w:r>
        <w:rPr>
          <w:noProof/>
        </w:rPr>
        <w:fldChar w:fldCharType="begin"/>
      </w:r>
      <w:r>
        <w:rPr>
          <w:noProof/>
        </w:rPr>
        <w:instrText xml:space="preserve"> PAGEREF _Toc286065097 \h </w:instrText>
      </w:r>
      <w:r>
        <w:rPr>
          <w:noProof/>
        </w:rPr>
      </w:r>
      <w:r>
        <w:rPr>
          <w:noProof/>
        </w:rPr>
        <w:fldChar w:fldCharType="separate"/>
      </w:r>
      <w:r w:rsidR="00E25B8A">
        <w:rPr>
          <w:noProof/>
        </w:rPr>
        <w:t>5</w:t>
      </w:r>
      <w:r>
        <w:rPr>
          <w:noProof/>
        </w:rPr>
        <w:fldChar w:fldCharType="end"/>
      </w:r>
    </w:p>
    <w:p w14:paraId="0B86217E" w14:textId="77777777" w:rsidR="00D56289" w:rsidRDefault="00D56289">
      <w:pPr>
        <w:pStyle w:val="TOC1"/>
        <w:tabs>
          <w:tab w:val="left" w:pos="347"/>
          <w:tab w:val="right" w:leader="dot" w:pos="9350"/>
        </w:tabs>
        <w:rPr>
          <w:rFonts w:asciiTheme="minorHAnsi" w:eastAsiaTheme="minorEastAsia" w:hAnsiTheme="minorHAnsi" w:cstheme="minorBidi"/>
          <w:noProof/>
          <w:szCs w:val="24"/>
          <w:lang w:val="en-US" w:eastAsia="ja-JP"/>
        </w:rPr>
      </w:pPr>
      <w:r>
        <w:rPr>
          <w:noProof/>
        </w:rPr>
        <w:t>e</w:t>
      </w:r>
      <w:r>
        <w:rPr>
          <w:rFonts w:asciiTheme="minorHAnsi" w:eastAsiaTheme="minorEastAsia" w:hAnsiTheme="minorHAnsi" w:cstheme="minorBidi"/>
          <w:noProof/>
          <w:szCs w:val="24"/>
          <w:lang w:val="en-US" w:eastAsia="ja-JP"/>
        </w:rPr>
        <w:tab/>
      </w:r>
      <w:r>
        <w:rPr>
          <w:noProof/>
        </w:rPr>
        <w:t>Minor Miscellaneous</w:t>
      </w:r>
      <w:r>
        <w:rPr>
          <w:noProof/>
        </w:rPr>
        <w:tab/>
      </w:r>
      <w:r>
        <w:rPr>
          <w:noProof/>
        </w:rPr>
        <w:fldChar w:fldCharType="begin"/>
      </w:r>
      <w:r>
        <w:rPr>
          <w:noProof/>
        </w:rPr>
        <w:instrText xml:space="preserve"> PAGEREF _Toc286065098 \h </w:instrText>
      </w:r>
      <w:r>
        <w:rPr>
          <w:noProof/>
        </w:rPr>
      </w:r>
      <w:r>
        <w:rPr>
          <w:noProof/>
        </w:rPr>
        <w:fldChar w:fldCharType="separate"/>
      </w:r>
      <w:r w:rsidR="00E25B8A">
        <w:rPr>
          <w:noProof/>
        </w:rPr>
        <w:t>5</w:t>
      </w:r>
      <w:r>
        <w:rPr>
          <w:noProof/>
        </w:rPr>
        <w:fldChar w:fldCharType="end"/>
      </w:r>
    </w:p>
    <w:p w14:paraId="5EDE4D24" w14:textId="512B32A2" w:rsidR="00746D6C" w:rsidRDefault="00D56289" w:rsidP="00FF19EF">
      <w:pPr>
        <w:jc w:val="both"/>
        <w:rPr>
          <w:sz w:val="36"/>
        </w:rPr>
      </w:pPr>
      <w:r>
        <w:rPr>
          <w:sz w:val="36"/>
        </w:rPr>
        <w:fldChar w:fldCharType="end"/>
      </w:r>
      <w:r w:rsidR="00746D6C">
        <w:rPr>
          <w:sz w:val="36"/>
        </w:rPr>
        <w:br w:type="page"/>
      </w:r>
    </w:p>
    <w:p w14:paraId="12DA52F0" w14:textId="77777777" w:rsidR="00746D6C" w:rsidRPr="007B3CCA" w:rsidRDefault="00746D6C" w:rsidP="00706927">
      <w:pPr>
        <w:jc w:val="both"/>
        <w:rPr>
          <w:sz w:val="36"/>
        </w:rPr>
      </w:pPr>
    </w:p>
    <w:p w14:paraId="004E974D" w14:textId="675F9102" w:rsidR="00E10F75" w:rsidRDefault="00752227" w:rsidP="007B3CCA">
      <w:pPr>
        <w:pStyle w:val="Heading1"/>
      </w:pPr>
      <w:bookmarkStart w:id="1" w:name="_Toc286065094"/>
      <w:r>
        <w:t xml:space="preserve">AP only, </w:t>
      </w:r>
      <w:r w:rsidR="00852C7D">
        <w:t xml:space="preserve">No </w:t>
      </w:r>
      <w:r w:rsidR="00E10F75">
        <w:t>IBSS</w:t>
      </w:r>
      <w:r w:rsidR="00852C7D">
        <w:t>/Mesh</w:t>
      </w:r>
      <w:r>
        <w:t>,</w:t>
      </w:r>
      <w:r w:rsidR="00E10F75">
        <w:t xml:space="preserve"> Selective Reception</w:t>
      </w:r>
      <w:bookmarkEnd w:id="1"/>
    </w:p>
    <w:p w14:paraId="0AB4E4A8" w14:textId="77777777" w:rsidR="007B3CCA" w:rsidRDefault="007B3CCA" w:rsidP="007B3CCA"/>
    <w:p w14:paraId="4FB5546A" w14:textId="176C4B2C" w:rsidR="007B3CCA" w:rsidRPr="007B3CCA" w:rsidRDefault="007B3CCA" w:rsidP="00AA2D59">
      <w:pPr>
        <w:pStyle w:val="EditorNote"/>
      </w:pPr>
      <w:r>
        <w:t>Editorial Note: These changes clarify that selective reception</w:t>
      </w:r>
      <w:r w:rsidR="00852C7D">
        <w:t xml:space="preserve"> (SYNRA)</w:t>
      </w:r>
      <w:r>
        <w:t xml:space="preserve"> is </w:t>
      </w:r>
      <w:r w:rsidR="00852C7D">
        <w:t xml:space="preserve">NOT </w:t>
      </w:r>
      <w:r>
        <w:t>available in an IBSS</w:t>
      </w:r>
      <w:r w:rsidR="00852C7D">
        <w:t xml:space="preserve"> or Mesh.</w:t>
      </w:r>
    </w:p>
    <w:p w14:paraId="1455C5DB" w14:textId="77777777" w:rsidR="00E10F75" w:rsidRDefault="00E10F75" w:rsidP="00706927">
      <w:pPr>
        <w:jc w:val="both"/>
      </w:pPr>
    </w:p>
    <w:p w14:paraId="44954ADE" w14:textId="2D5326AF" w:rsidR="00E10F75" w:rsidRDefault="005529F4" w:rsidP="00706927">
      <w:pPr>
        <w:jc w:val="both"/>
        <w:rPr>
          <w:b/>
          <w:i/>
        </w:rPr>
      </w:pPr>
      <w:r>
        <w:rPr>
          <w:b/>
          <w:i/>
        </w:rPr>
        <w:t>Change</w:t>
      </w:r>
      <w:r w:rsidR="00E10F75" w:rsidRPr="00E10F75">
        <w:rPr>
          <w:b/>
          <w:i/>
        </w:rPr>
        <w:t xml:space="preserve"> text in Clause </w:t>
      </w:r>
      <w:r w:rsidR="007B3CCA">
        <w:rPr>
          <w:b/>
          <w:i/>
        </w:rPr>
        <w:t xml:space="preserve">4.3.23.1 </w:t>
      </w:r>
      <w:r w:rsidR="00E10F75" w:rsidRPr="00E10F75">
        <w:rPr>
          <w:b/>
          <w:i/>
        </w:rPr>
        <w:t>as follows:</w:t>
      </w:r>
    </w:p>
    <w:p w14:paraId="1B0CE633" w14:textId="77777777" w:rsidR="00E10F75" w:rsidRDefault="00E10F75" w:rsidP="00706927">
      <w:pPr>
        <w:jc w:val="both"/>
        <w:rPr>
          <w:b/>
          <w:i/>
        </w:rPr>
      </w:pPr>
    </w:p>
    <w:p w14:paraId="7601B1F7" w14:textId="40008B54" w:rsidR="00852C7D" w:rsidRDefault="00852C7D" w:rsidP="00852C7D">
      <w:r>
        <w:t xml:space="preserve">As described in clause 4.3.23.3, in a data MPDU transmitted </w:t>
      </w:r>
      <w:r w:rsidRPr="00852C7D">
        <w:rPr>
          <w:strike/>
        </w:rPr>
        <w:t>between</w:t>
      </w:r>
      <w:r>
        <w:t xml:space="preserve"> </w:t>
      </w:r>
      <w:r>
        <w:rPr>
          <w:u w:val="single"/>
        </w:rPr>
        <w:t xml:space="preserve">by a </w:t>
      </w:r>
      <w:r>
        <w:t xml:space="preserve">GLK </w:t>
      </w:r>
      <w:r w:rsidRPr="00852C7D">
        <w:rPr>
          <w:u w:val="single"/>
        </w:rPr>
        <w:t>AP</w:t>
      </w:r>
      <w:r>
        <w:t xml:space="preserve"> </w:t>
      </w:r>
      <w:r w:rsidRPr="00852C7D">
        <w:rPr>
          <w:strike/>
        </w:rPr>
        <w:t>STAs</w:t>
      </w:r>
      <w:r>
        <w:t xml:space="preserve"> that has a group address RA, the RA will be a SYNRA and therefore not equal the DA;</w:t>
      </w:r>
      <w:r w:rsidRPr="001D0631">
        <w:t xml:space="preserve"> </w:t>
      </w:r>
      <w:r>
        <w:t>a</w:t>
      </w:r>
      <w:r w:rsidRPr="00FF5084">
        <w:t xml:space="preserve"> non-AP GLK STA supports selective rec</w:t>
      </w:r>
      <w:r>
        <w:t>eption of group addressed MP</w:t>
      </w:r>
      <w:r w:rsidRPr="00FF5084">
        <w:t>DU</w:t>
      </w:r>
      <w:r>
        <w:t>s using SYNRA.</w:t>
      </w:r>
    </w:p>
    <w:p w14:paraId="6FA77FD3" w14:textId="77777777" w:rsidR="00D56289" w:rsidRDefault="00D56289" w:rsidP="00852C7D"/>
    <w:p w14:paraId="6182950D" w14:textId="671402F6" w:rsidR="00D56289" w:rsidRDefault="00D56289" w:rsidP="00852C7D">
      <w:r>
        <w:t xml:space="preserve">It only applies when there is </w:t>
      </w:r>
      <w:r w:rsidRPr="00D56289">
        <w:rPr>
          <w:strike/>
        </w:rPr>
        <w:t>a “central control point” of some sort (</w:t>
      </w:r>
      <w:r>
        <w:t xml:space="preserve"> </w:t>
      </w:r>
      <w:r>
        <w:rPr>
          <w:u w:val="single"/>
        </w:rPr>
        <w:t xml:space="preserve">an </w:t>
      </w:r>
      <w:r>
        <w:t xml:space="preserve">AP, </w:t>
      </w:r>
      <w:r w:rsidRPr="00D56289">
        <w:rPr>
          <w:strike/>
        </w:rPr>
        <w:t>PCP, etc.),</w:t>
      </w:r>
      <w:r>
        <w:t xml:space="preserve"> thus we will not try to apply it to IBSS, or Mesh.</w:t>
      </w:r>
    </w:p>
    <w:p w14:paraId="53118D63" w14:textId="77777777" w:rsidR="0021408C" w:rsidRDefault="0021408C" w:rsidP="00706927">
      <w:pPr>
        <w:jc w:val="both"/>
      </w:pPr>
    </w:p>
    <w:p w14:paraId="2DC9FD30" w14:textId="3F35E762" w:rsidR="00F064A4" w:rsidRPr="00F064A4" w:rsidRDefault="00A52B28" w:rsidP="00706927">
      <w:pPr>
        <w:jc w:val="both"/>
        <w:rPr>
          <w:b/>
          <w:i/>
        </w:rPr>
      </w:pPr>
      <w:r>
        <w:rPr>
          <w:b/>
          <w:i/>
        </w:rPr>
        <w:t>Change the last two paragraphs</w:t>
      </w:r>
      <w:r w:rsidR="00F064A4">
        <w:rPr>
          <w:b/>
          <w:i/>
        </w:rPr>
        <w:t xml:space="preserve"> of</w:t>
      </w:r>
      <w:r w:rsidR="00F064A4" w:rsidRPr="00F064A4">
        <w:rPr>
          <w:b/>
          <w:i/>
        </w:rPr>
        <w:t xml:space="preserve"> Clause 4.3.23.4.</w:t>
      </w:r>
      <w:r>
        <w:rPr>
          <w:b/>
          <w:i/>
        </w:rPr>
        <w:t>3</w:t>
      </w:r>
      <w:r w:rsidR="00F064A4" w:rsidRPr="00F064A4">
        <w:rPr>
          <w:b/>
          <w:i/>
        </w:rPr>
        <w:t xml:space="preserve"> as follows:</w:t>
      </w:r>
    </w:p>
    <w:p w14:paraId="4D6DB65B" w14:textId="77777777" w:rsidR="00F064A4" w:rsidRDefault="00F064A4" w:rsidP="00706927">
      <w:pPr>
        <w:jc w:val="both"/>
      </w:pPr>
    </w:p>
    <w:p w14:paraId="36E28622" w14:textId="595E386E" w:rsidR="00A52B28" w:rsidRPr="00A52B28" w:rsidRDefault="00A52B28" w:rsidP="00A52B28">
      <w:pPr>
        <w:rPr>
          <w:u w:val="single"/>
        </w:rPr>
      </w:pPr>
      <w:r>
        <w:t xml:space="preserve">Implementation of this selective reception facility </w:t>
      </w:r>
      <w:r>
        <w:rPr>
          <w:u w:val="single"/>
        </w:rPr>
        <w:t xml:space="preserve">in the AP case </w:t>
      </w:r>
      <w:r>
        <w:t xml:space="preserve">includes use of a synthetic group address RA (SYNRA, see clause 8.3.2.1.2). As an alternative to the use of a SYNRA, a copy of the data MPDU can be sent to each intended receiver using MPDUs with individual address RAs, a process known as serial unicast. In either case, an appropriate address format must be used given that the DA will differ from the RA, because the RA is the SYNRA or a serial unicast individual RA. </w:t>
      </w:r>
      <w:r>
        <w:rPr>
          <w:u w:val="single"/>
        </w:rPr>
        <w:t xml:space="preserve">In the case of IBSS or mesh, the choice for </w:t>
      </w:r>
      <w:r w:rsidR="002B4503">
        <w:rPr>
          <w:u w:val="single"/>
        </w:rPr>
        <w:t>MPDUs intended for a group of receivers is either a non-SYNRA group addressed RA or serial unicast, because SYNRA is only used by APs.</w:t>
      </w:r>
    </w:p>
    <w:p w14:paraId="73041415" w14:textId="77777777" w:rsidR="00A52B28" w:rsidRDefault="00A52B28" w:rsidP="00706927">
      <w:pPr>
        <w:jc w:val="both"/>
      </w:pPr>
    </w:p>
    <w:p w14:paraId="74867FC8" w14:textId="74D68A17" w:rsidR="00A52B28" w:rsidRDefault="00A52B28" w:rsidP="00A52B28">
      <w:pPr>
        <w:pStyle w:val="EditorNote"/>
        <w:rPr>
          <w:b w:val="0"/>
          <w:i w:val="0"/>
          <w:color w:val="auto"/>
        </w:rPr>
      </w:pPr>
      <w:r>
        <w:rPr>
          <w:b w:val="0"/>
          <w:i w:val="0"/>
          <w:color w:val="auto"/>
        </w:rPr>
        <w:t xml:space="preserve">All </w:t>
      </w:r>
      <w:r>
        <w:rPr>
          <w:b w:val="0"/>
          <w:i w:val="0"/>
          <w:color w:val="auto"/>
          <w:u w:val="single"/>
        </w:rPr>
        <w:t xml:space="preserve">non-mesh </w:t>
      </w:r>
      <w:r>
        <w:rPr>
          <w:b w:val="0"/>
          <w:i w:val="0"/>
          <w:color w:val="auto"/>
        </w:rPr>
        <w:t>GLK STAs support receipt of SYNRAs (see 8.3.2.1.2 and 9.42) but are not required to be able to construct a SYNRA MPDU, since it is always possible to use serial unicast.</w:t>
      </w:r>
    </w:p>
    <w:p w14:paraId="6BDC81CA" w14:textId="77777777" w:rsidR="00752227" w:rsidRDefault="00752227" w:rsidP="00A52B28">
      <w:pPr>
        <w:pStyle w:val="EditorNote"/>
        <w:rPr>
          <w:b w:val="0"/>
          <w:i w:val="0"/>
          <w:color w:val="auto"/>
        </w:rPr>
      </w:pPr>
    </w:p>
    <w:p w14:paraId="3DBEC8F0" w14:textId="0A23D1CB" w:rsidR="00752227" w:rsidRPr="00752227" w:rsidRDefault="00752227" w:rsidP="00A52B28">
      <w:pPr>
        <w:pStyle w:val="EditorNote"/>
        <w:rPr>
          <w:color w:val="auto"/>
        </w:rPr>
      </w:pPr>
      <w:r w:rsidRPr="00752227">
        <w:rPr>
          <w:color w:val="auto"/>
        </w:rPr>
        <w:t>Change text in Clause 9.43 as follows:</w:t>
      </w:r>
    </w:p>
    <w:p w14:paraId="16FD2FEA" w14:textId="77777777" w:rsidR="00752227" w:rsidRDefault="00752227" w:rsidP="00A52B28">
      <w:pPr>
        <w:pStyle w:val="EditorNote"/>
        <w:rPr>
          <w:b w:val="0"/>
          <w:i w:val="0"/>
          <w:color w:val="auto"/>
        </w:rPr>
      </w:pPr>
    </w:p>
    <w:p w14:paraId="22900BCB" w14:textId="77777777" w:rsidR="00752227" w:rsidRDefault="00752227" w:rsidP="00752227">
      <w:pPr>
        <w:rPr>
          <w:szCs w:val="22"/>
        </w:rPr>
      </w:pPr>
      <w:r>
        <w:rPr>
          <w:rFonts w:hint="eastAsia"/>
          <w:szCs w:val="22"/>
        </w:rPr>
        <w:t xml:space="preserve">If </w:t>
      </w:r>
      <w:r>
        <w:rPr>
          <w:szCs w:val="22"/>
        </w:rPr>
        <w:t>a corresponding IEEE 802.1Q Bridge specifies multiple immediate STA destinations</w:t>
      </w:r>
      <w:r>
        <w:rPr>
          <w:rFonts w:hint="eastAsia"/>
          <w:szCs w:val="22"/>
        </w:rPr>
        <w:t xml:space="preserve">, GLK </w:t>
      </w:r>
      <w:r>
        <w:rPr>
          <w:szCs w:val="22"/>
        </w:rPr>
        <w:t>transmission of</w:t>
      </w:r>
      <w:r>
        <w:rPr>
          <w:rFonts w:hint="eastAsia"/>
          <w:szCs w:val="22"/>
        </w:rPr>
        <w:t xml:space="preserve"> a MSDU </w:t>
      </w:r>
      <w:r>
        <w:rPr>
          <w:szCs w:val="22"/>
        </w:rPr>
        <w:t>shall use</w:t>
      </w:r>
      <w:r>
        <w:rPr>
          <w:rFonts w:hint="eastAsia"/>
          <w:szCs w:val="22"/>
        </w:rPr>
        <w:t xml:space="preserve"> one of the following methods:</w:t>
      </w:r>
    </w:p>
    <w:p w14:paraId="0B213561" w14:textId="77777777" w:rsidR="00752227" w:rsidRDefault="00752227" w:rsidP="00752227">
      <w:pPr>
        <w:numPr>
          <w:ilvl w:val="0"/>
          <w:numId w:val="37"/>
        </w:numPr>
        <w:rPr>
          <w:szCs w:val="22"/>
        </w:rPr>
      </w:pPr>
      <w:r>
        <w:rPr>
          <w:rFonts w:hint="eastAsia"/>
          <w:szCs w:val="22"/>
        </w:rPr>
        <w:t>Transmit multiple individually addressed MPDUs to each immediate destination.</w:t>
      </w:r>
    </w:p>
    <w:p w14:paraId="14097A6C" w14:textId="28D32F53" w:rsidR="00752227" w:rsidRDefault="00752227" w:rsidP="00752227">
      <w:pPr>
        <w:numPr>
          <w:ilvl w:val="0"/>
          <w:numId w:val="37"/>
        </w:numPr>
        <w:rPr>
          <w:szCs w:val="22"/>
        </w:rPr>
      </w:pPr>
      <w:r w:rsidRPr="00752227">
        <w:rPr>
          <w:rFonts w:hint="eastAsia"/>
          <w:szCs w:val="22"/>
          <w:u w:val="single"/>
        </w:rPr>
        <w:t>If the transmitter is an AP,</w:t>
      </w:r>
      <w:r>
        <w:rPr>
          <w:rFonts w:hint="eastAsia"/>
          <w:szCs w:val="22"/>
        </w:rPr>
        <w:t xml:space="preserve"> transmit group addressed MPDU(s) using </w:t>
      </w:r>
      <w:r>
        <w:rPr>
          <w:szCs w:val="22"/>
        </w:rPr>
        <w:t xml:space="preserve">a </w:t>
      </w:r>
      <w:r>
        <w:rPr>
          <w:rFonts w:hint="eastAsia"/>
          <w:szCs w:val="22"/>
        </w:rPr>
        <w:t>SYNRA</w:t>
      </w:r>
      <w:r>
        <w:rPr>
          <w:szCs w:val="22"/>
        </w:rPr>
        <w:t xml:space="preserve"> as specified in </w:t>
      </w:r>
      <w:r w:rsidRPr="006807A6">
        <w:rPr>
          <w:szCs w:val="22"/>
        </w:rPr>
        <w:t xml:space="preserve">9.42 </w:t>
      </w:r>
      <w:r>
        <w:rPr>
          <w:szCs w:val="22"/>
        </w:rPr>
        <w:t>(</w:t>
      </w:r>
      <w:r w:rsidRPr="006807A6">
        <w:rPr>
          <w:szCs w:val="22"/>
        </w:rPr>
        <w:t>SYNRA address filtering operation</w:t>
      </w:r>
      <w:r>
        <w:rPr>
          <w:szCs w:val="22"/>
        </w:rPr>
        <w:t>)</w:t>
      </w:r>
      <w:r>
        <w:rPr>
          <w:rFonts w:hint="eastAsia"/>
          <w:szCs w:val="22"/>
        </w:rPr>
        <w:t>.</w:t>
      </w:r>
    </w:p>
    <w:p w14:paraId="3600FD88" w14:textId="77777777" w:rsidR="00F2366F" w:rsidRDefault="00F2366F" w:rsidP="00706927">
      <w:pPr>
        <w:jc w:val="both"/>
      </w:pPr>
    </w:p>
    <w:p w14:paraId="1D9B0564" w14:textId="5D84A6BF" w:rsidR="00817EEE" w:rsidRDefault="00817EEE" w:rsidP="00AA2D59">
      <w:pPr>
        <w:pStyle w:val="Heading1"/>
      </w:pPr>
      <w:bookmarkStart w:id="2" w:name="_Toc286065095"/>
      <w:r>
        <w:t>Update Figure</w:t>
      </w:r>
      <w:r w:rsidR="00BC3F6D">
        <w:t xml:space="preserve"> 4-14a</w:t>
      </w:r>
    </w:p>
    <w:p w14:paraId="00F1F65B" w14:textId="77777777" w:rsidR="00BC3F6D" w:rsidRPr="00BC3F6D" w:rsidRDefault="00BC3F6D" w:rsidP="00BC3F6D"/>
    <w:p w14:paraId="77F927EF" w14:textId="5F2AA212" w:rsidR="005529F4" w:rsidRDefault="00AA2D59" w:rsidP="00AA2D59">
      <w:pPr>
        <w:pStyle w:val="Heading1"/>
      </w:pPr>
      <w:r>
        <w:t xml:space="preserve">GLK STA versus </w:t>
      </w:r>
      <w:r w:rsidR="007708A3">
        <w:t>Transmission</w:t>
      </w:r>
      <w:bookmarkEnd w:id="2"/>
    </w:p>
    <w:p w14:paraId="5E62021C" w14:textId="77777777" w:rsidR="00AA2D59" w:rsidRDefault="00AA2D59" w:rsidP="00AA2D59"/>
    <w:p w14:paraId="05B92FDB" w14:textId="360762FC" w:rsidR="00AA2D59" w:rsidRPr="00AA2D59" w:rsidRDefault="00E27FE8" w:rsidP="00AA2D59">
      <w:pPr>
        <w:pStyle w:val="EditorNote"/>
      </w:pPr>
      <w:r>
        <w:lastRenderedPageBreak/>
        <w:t>Editorial Note: A</w:t>
      </w:r>
      <w:r w:rsidR="00AA2D59">
        <w:t>lthough we still have the concept of a GLK STA</w:t>
      </w:r>
      <w:r w:rsidR="00746D6C">
        <w:t>, that is a STA that is GLK capable and enabled</w:t>
      </w:r>
      <w:r w:rsidR="00AA2D59">
        <w:t xml:space="preserve">, transmissions from such STAs can be to another GLK STA or, in the case </w:t>
      </w:r>
      <w:r w:rsidR="00A52B28">
        <w:t>of a mixed infrastructure BSS</w:t>
      </w:r>
      <w:r w:rsidR="00AA2D59">
        <w:t xml:space="preserve">, can be to a non-GLK STA. So text about GLK </w:t>
      </w:r>
      <w:r>
        <w:t>traffic</w:t>
      </w:r>
      <w:r w:rsidR="00AA2D59">
        <w:t xml:space="preserve"> should not be conditional on being sent by a GLK STA but rather conditional on being </w:t>
      </w:r>
      <w:r w:rsidR="00605CE6">
        <w:t xml:space="preserve">a GLK transmission or </w:t>
      </w:r>
      <w:r w:rsidR="00AA2D59">
        <w:t>sent over a GLK link</w:t>
      </w:r>
      <w:r w:rsidR="00746D6C">
        <w:t xml:space="preserve"> or the like</w:t>
      </w:r>
      <w:r w:rsidR="00AA2D59">
        <w:t>.</w:t>
      </w:r>
    </w:p>
    <w:p w14:paraId="4B08D17C" w14:textId="77777777" w:rsidR="00AA2D59" w:rsidRDefault="00AA2D59" w:rsidP="00706927">
      <w:pPr>
        <w:jc w:val="both"/>
      </w:pPr>
    </w:p>
    <w:p w14:paraId="70F3CC1E" w14:textId="202D2931" w:rsidR="00AA2D59" w:rsidRPr="00AA2D59" w:rsidRDefault="00AA2D59" w:rsidP="00706927">
      <w:pPr>
        <w:jc w:val="both"/>
        <w:rPr>
          <w:b/>
          <w:i/>
        </w:rPr>
      </w:pPr>
      <w:r w:rsidRPr="00AA2D59">
        <w:rPr>
          <w:b/>
          <w:i/>
        </w:rPr>
        <w:t xml:space="preserve">Change text </w:t>
      </w:r>
      <w:r>
        <w:rPr>
          <w:b/>
          <w:i/>
        </w:rPr>
        <w:t>in Clause 9.12</w:t>
      </w:r>
      <w:r w:rsidR="00746D6C">
        <w:rPr>
          <w:b/>
          <w:i/>
        </w:rPr>
        <w:t xml:space="preserve"> </w:t>
      </w:r>
      <w:r w:rsidRPr="00746D6C">
        <w:rPr>
          <w:b/>
        </w:rPr>
        <w:t xml:space="preserve">A-MSDU Operation </w:t>
      </w:r>
      <w:r w:rsidRPr="00AA2D59">
        <w:rPr>
          <w:b/>
          <w:i/>
        </w:rPr>
        <w:t>as follows:</w:t>
      </w:r>
    </w:p>
    <w:p w14:paraId="5631B2D9" w14:textId="77777777" w:rsidR="00AA2D59" w:rsidRDefault="00AA2D59" w:rsidP="00706927">
      <w:pPr>
        <w:jc w:val="both"/>
      </w:pPr>
    </w:p>
    <w:p w14:paraId="3552EA28" w14:textId="10855D93" w:rsidR="00AA2D59" w:rsidRDefault="00605CE6" w:rsidP="00706927">
      <w:pPr>
        <w:jc w:val="both"/>
        <w:rPr>
          <w:color w:val="000000"/>
        </w:rPr>
      </w:pPr>
      <w:r>
        <w:rPr>
          <w:color w:val="000000"/>
          <w:u w:val="single"/>
        </w:rPr>
        <w:t xml:space="preserve">In non-GLK transmissions, </w:t>
      </w:r>
      <w:r w:rsidR="00AA2D59" w:rsidRPr="00605CE6">
        <w:rPr>
          <w:strike/>
          <w:color w:val="000000"/>
        </w:rPr>
        <w:t>The</w:t>
      </w:r>
      <w:r w:rsidR="00AA2D59" w:rsidRPr="00AA2D59">
        <w:rPr>
          <w:color w:val="000000"/>
        </w:rPr>
        <w:t xml:space="preserve"> Address 1 field of an MPDU carrying an A-MSDU </w:t>
      </w:r>
      <w:r w:rsidR="00AA2D59" w:rsidRPr="00605CE6">
        <w:rPr>
          <w:strike/>
          <w:color w:val="000000"/>
        </w:rPr>
        <w:t>transmitted by a non-GLK STA</w:t>
      </w:r>
      <w:r w:rsidR="00AA2D59" w:rsidRPr="00AA2D59">
        <w:rPr>
          <w:color w:val="000000"/>
        </w:rPr>
        <w:t xml:space="preserve"> shall be set to an individual address or to the GCR concealment address. </w:t>
      </w:r>
      <w:r w:rsidR="00AA2D59" w:rsidRPr="00605CE6">
        <w:rPr>
          <w:strike/>
          <w:color w:val="000000" w:themeColor="text1"/>
        </w:rPr>
        <w:t>If such an MPDU is transmitted by a GLK STA</w:t>
      </w:r>
      <w:r>
        <w:rPr>
          <w:color w:val="000000"/>
        </w:rPr>
        <w:t xml:space="preserve"> </w:t>
      </w:r>
      <w:r w:rsidRPr="00605CE6">
        <w:rPr>
          <w:color w:val="000000"/>
          <w:u w:val="single"/>
        </w:rPr>
        <w:t>In</w:t>
      </w:r>
      <w:r>
        <w:rPr>
          <w:color w:val="000000"/>
          <w:u w:val="single"/>
        </w:rPr>
        <w:t xml:space="preserve"> GLK transmissions</w:t>
      </w:r>
      <w:r w:rsidR="00AA2D59" w:rsidRPr="00AA2D59">
        <w:rPr>
          <w:color w:val="000000"/>
        </w:rPr>
        <w:t>, the Address 1 field may be group addressed.</w:t>
      </w:r>
    </w:p>
    <w:p w14:paraId="60E52728" w14:textId="77777777" w:rsidR="00AA2D59" w:rsidRDefault="00AA2D59" w:rsidP="00706927">
      <w:pPr>
        <w:jc w:val="both"/>
        <w:rPr>
          <w:color w:val="000000"/>
        </w:rPr>
      </w:pPr>
    </w:p>
    <w:p w14:paraId="673F2DD1" w14:textId="06C0918E" w:rsidR="00AA2D59" w:rsidRPr="00746D6C" w:rsidRDefault="00AA2D59" w:rsidP="00706927">
      <w:pPr>
        <w:jc w:val="both"/>
        <w:rPr>
          <w:b/>
          <w:i/>
          <w:color w:val="000000"/>
        </w:rPr>
      </w:pPr>
      <w:r w:rsidRPr="00746D6C">
        <w:rPr>
          <w:b/>
          <w:i/>
          <w:color w:val="000000"/>
        </w:rPr>
        <w:t>Change text in Clause 9.13</w:t>
      </w:r>
      <w:r w:rsidR="00746D6C" w:rsidRPr="00746D6C">
        <w:rPr>
          <w:b/>
          <w:i/>
          <w:color w:val="000000"/>
        </w:rPr>
        <w:t xml:space="preserve">.4 </w:t>
      </w:r>
      <w:r w:rsidR="00746D6C" w:rsidRPr="00746D6C">
        <w:rPr>
          <w:b/>
          <w:color w:val="000000"/>
        </w:rPr>
        <w:t xml:space="preserve">A-MPDU aggregation of group addressed data </w:t>
      </w:r>
      <w:r w:rsidR="00746D6C" w:rsidRPr="00746D6C">
        <w:rPr>
          <w:b/>
          <w:i/>
          <w:color w:val="000000"/>
        </w:rPr>
        <w:t>as follows:</w:t>
      </w:r>
    </w:p>
    <w:p w14:paraId="60802DBC" w14:textId="77777777" w:rsidR="00746D6C" w:rsidRDefault="00746D6C" w:rsidP="00706927">
      <w:pPr>
        <w:jc w:val="both"/>
        <w:rPr>
          <w:color w:val="000000"/>
        </w:rPr>
      </w:pPr>
    </w:p>
    <w:p w14:paraId="3DBE976D" w14:textId="7EAA43AF" w:rsidR="00746D6C" w:rsidRPr="00746D6C" w:rsidRDefault="00746D6C" w:rsidP="00746D6C">
      <w:r w:rsidRPr="00746D6C">
        <w:t xml:space="preserve">A STA </w:t>
      </w:r>
      <w:r w:rsidRPr="00746D6C">
        <w:rPr>
          <w:strike/>
        </w:rPr>
        <w:t>that is a DMG STA or a GLK</w:t>
      </w:r>
      <w:r w:rsidRPr="00746D6C">
        <w:t xml:space="preserve"> may transmit an A-MPDU containing MPDUs with a group addressed RA</w:t>
      </w:r>
      <w:r>
        <w:t xml:space="preserve"> </w:t>
      </w:r>
      <w:r w:rsidRPr="00746D6C">
        <w:rPr>
          <w:u w:val="single"/>
        </w:rPr>
        <w:t>if it is (a) a DMG STA or (b) a GLK STA transmitting to a GLK STA</w:t>
      </w:r>
      <w:r w:rsidRPr="00746D6C">
        <w:t>.</w:t>
      </w:r>
    </w:p>
    <w:p w14:paraId="42E81098" w14:textId="77777777" w:rsidR="00746D6C" w:rsidRDefault="00746D6C" w:rsidP="00706927">
      <w:pPr>
        <w:jc w:val="both"/>
      </w:pPr>
    </w:p>
    <w:p w14:paraId="6A0635EA" w14:textId="61BF3A37" w:rsidR="00746D6C" w:rsidRDefault="00746D6C" w:rsidP="006F7545">
      <w:pPr>
        <w:pStyle w:val="Heading1"/>
      </w:pPr>
      <w:bookmarkStart w:id="3" w:name="_Toc286065096"/>
      <w:r>
        <w:t>9.42 SYNRA address filtering</w:t>
      </w:r>
      <w:bookmarkEnd w:id="3"/>
    </w:p>
    <w:p w14:paraId="48A9B327" w14:textId="77777777" w:rsidR="00AF65D3" w:rsidRDefault="00AF65D3" w:rsidP="00AF65D3">
      <w:pPr>
        <w:jc w:val="both"/>
      </w:pPr>
    </w:p>
    <w:p w14:paraId="314ACAD7" w14:textId="77777777" w:rsidR="00AF65D3" w:rsidRPr="00AF65D3" w:rsidRDefault="00AF65D3" w:rsidP="00AF65D3">
      <w:pPr>
        <w:rPr>
          <w:b/>
          <w:i/>
        </w:rPr>
      </w:pPr>
      <w:r w:rsidRPr="00AF65D3">
        <w:rPr>
          <w:b/>
          <w:i/>
        </w:rPr>
        <w:t>Change text as follows:</w:t>
      </w:r>
    </w:p>
    <w:p w14:paraId="00293EF4" w14:textId="77777777" w:rsidR="00746D6C" w:rsidRDefault="00746D6C" w:rsidP="00706927">
      <w:pPr>
        <w:jc w:val="both"/>
      </w:pPr>
    </w:p>
    <w:p w14:paraId="6A95375B" w14:textId="59E815C8" w:rsidR="006F7545" w:rsidRDefault="00AF65D3" w:rsidP="00AF65D3">
      <w:pPr>
        <w:pStyle w:val="EditorNote"/>
      </w:pPr>
      <w:r>
        <w:t xml:space="preserve">Editorial Note: </w:t>
      </w:r>
      <w:r w:rsidR="007708A3">
        <w:t>The text in Clause 9.2.8 as amended by D0.06 includes validation of the BSSID but only for non-SYNRA Address 1. So that needs to be added to 9.42</w:t>
      </w:r>
      <w:r>
        <w:t xml:space="preserve"> (not sure if we need the stuff about OCB)</w:t>
      </w:r>
      <w:r w:rsidR="007708A3">
        <w:t>.</w:t>
      </w:r>
    </w:p>
    <w:p w14:paraId="61ACA57E" w14:textId="77777777" w:rsidR="00AF65D3" w:rsidRDefault="00AF65D3" w:rsidP="007708A3"/>
    <w:p w14:paraId="549AD89A" w14:textId="62FA53AA" w:rsidR="007708A3" w:rsidRDefault="007708A3" w:rsidP="007708A3">
      <w:r w:rsidRPr="00147B02">
        <w:t>A GLK STA receiving an MPDU with a SYNRA performs the address filtering described in this clause</w:t>
      </w:r>
      <w:r>
        <w:t xml:space="preserve"> </w:t>
      </w:r>
      <w:r w:rsidRPr="007708A3">
        <w:rPr>
          <w:u w:val="single"/>
        </w:rPr>
        <w:t>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w:t>
      </w:r>
      <w:r w:rsidRPr="00AF65D3">
        <w:t>.</w:t>
      </w:r>
      <w:r w:rsidRPr="00147B02">
        <w:t xml:space="preserve"> If the ToDS bit is zero, the MPDU is discarded. The structure of a SYNRA is shown in Figure 9-90-SYNRA structure.</w:t>
      </w:r>
    </w:p>
    <w:p w14:paraId="356BDEE1" w14:textId="77777777" w:rsidR="00AF65D3" w:rsidRDefault="00AF65D3" w:rsidP="00AF65D3">
      <w:pPr>
        <w:jc w:val="both"/>
      </w:pPr>
    </w:p>
    <w:p w14:paraId="065236AF" w14:textId="77777777" w:rsidR="00AF65D3" w:rsidRPr="006F7545" w:rsidRDefault="00AF65D3" w:rsidP="00AF65D3">
      <w:pPr>
        <w:jc w:val="both"/>
        <w:rPr>
          <w:b/>
          <w:i/>
        </w:rPr>
      </w:pPr>
      <w:r w:rsidRPr="006F7545">
        <w:rPr>
          <w:b/>
          <w:i/>
        </w:rPr>
        <w:t>Change text as follows:</w:t>
      </w:r>
    </w:p>
    <w:p w14:paraId="2400A2F7" w14:textId="77777777" w:rsidR="007708A3" w:rsidRDefault="007708A3" w:rsidP="00706927">
      <w:pPr>
        <w:jc w:val="both"/>
      </w:pPr>
    </w:p>
    <w:p w14:paraId="3E4898A6" w14:textId="7CA88E6D" w:rsidR="006F7545" w:rsidRDefault="007708A3" w:rsidP="002110A0">
      <w:pPr>
        <w:pStyle w:val="EditorNote"/>
      </w:pPr>
      <w:r>
        <w:t>Editorial N</w:t>
      </w:r>
      <w:r w:rsidR="006F7545">
        <w:t>ote: The text for SYNRA type zero does not clearly state what happens if the receiver AID is outside of the limited range covered by the 22-bit array.</w:t>
      </w:r>
    </w:p>
    <w:p w14:paraId="66EFADBF" w14:textId="77777777" w:rsidR="006F7545" w:rsidRDefault="006F7545" w:rsidP="00706927">
      <w:pPr>
        <w:jc w:val="both"/>
      </w:pPr>
    </w:p>
    <w:p w14:paraId="4FD62C7B" w14:textId="5B723D75" w:rsidR="00746D6C" w:rsidRPr="00147B02" w:rsidRDefault="00746D6C" w:rsidP="00746D6C">
      <w:r w:rsidRPr="00147B02">
        <w:t xml:space="preserve">If the SYNRA type is zero, the SYNRA control field is a bit array indicating which receivers in the AID range 1000 to 1021 are to accept the MPDU. B26 corresponds to AID 1000 and B47 corresponds to AID 1021. </w:t>
      </w:r>
      <w:r>
        <w:rPr>
          <w:u w:val="single"/>
        </w:rPr>
        <w:t>For this SYNRA type, receivers will an AID l</w:t>
      </w:r>
      <w:r w:rsidR="006F7545">
        <w:rPr>
          <w:u w:val="single"/>
        </w:rPr>
        <w:t>ess than 1000 or greater than 10</w:t>
      </w:r>
      <w:r>
        <w:rPr>
          <w:u w:val="single"/>
        </w:rPr>
        <w:t xml:space="preserve">21 shall discard the MPDU. </w:t>
      </w:r>
      <w:r w:rsidRPr="00147B02">
        <w:t>If the bit corresponding to an AID is 0, the STA having that AID for its association with the transmitter shall discard the MPDU. If the bit is a 1, the MPDU passes the address 1 filter.</w:t>
      </w:r>
    </w:p>
    <w:p w14:paraId="7458165E" w14:textId="77777777" w:rsidR="00746D6C" w:rsidRDefault="00746D6C" w:rsidP="00706927">
      <w:pPr>
        <w:jc w:val="both"/>
      </w:pPr>
    </w:p>
    <w:p w14:paraId="175EEF3B" w14:textId="4AFE05E3" w:rsidR="006F7545" w:rsidRPr="006F7545" w:rsidRDefault="006F7545" w:rsidP="00706927">
      <w:pPr>
        <w:jc w:val="both"/>
        <w:rPr>
          <w:b/>
          <w:i/>
        </w:rPr>
      </w:pPr>
      <w:r w:rsidRPr="006F7545">
        <w:rPr>
          <w:b/>
          <w:i/>
        </w:rPr>
        <w:t>Change text as follows:</w:t>
      </w:r>
    </w:p>
    <w:p w14:paraId="61E9375E" w14:textId="77777777" w:rsidR="006F7545" w:rsidRDefault="006F7545" w:rsidP="00706927">
      <w:pPr>
        <w:jc w:val="both"/>
      </w:pPr>
    </w:p>
    <w:p w14:paraId="022C5DD1" w14:textId="49917709" w:rsidR="006F7545" w:rsidRPr="00147B02" w:rsidRDefault="006F7545" w:rsidP="006F7545">
      <w:r w:rsidRPr="00147B02">
        <w:lastRenderedPageBreak/>
        <w:t xml:space="preserve">If the SYNRA type is 1, the Extended SYNRA Information is a vector of bits representing AIDs whose length in octets is equal to the Extended SYNRA Size subfield. This size may be zero, in which case all receivers </w:t>
      </w:r>
      <w:r w:rsidRPr="006F7545">
        <w:rPr>
          <w:u w:val="single"/>
        </w:rPr>
        <w:t>shall</w:t>
      </w:r>
      <w:r>
        <w:t xml:space="preserve"> </w:t>
      </w:r>
      <w:r w:rsidRPr="00147B02">
        <w:t>discard the MPDU. If this size is non-zero, bit 0 of the vector represents the 14-bit AID (see 8.4.1.8) contained in the 14-bit Extended SYNRA Second subfield.  Subsequent bits of the vector represent AIDs formed by the sum of the bit index and the Extended SYNRA Second subfield treated as an unsigned integer. If the bit corresponding to an AID is 0, the station with that AID assigned to its association with the transmitter discards the MPDU. If the bit is a 1, the MPDU passes the Address 1 filter.</w:t>
      </w:r>
      <w:r>
        <w:t xml:space="preserve"> </w:t>
      </w:r>
      <w:r w:rsidRPr="006F7545">
        <w:rPr>
          <w:u w:val="single"/>
        </w:rPr>
        <w:t>Any</w:t>
      </w:r>
      <w:r>
        <w:rPr>
          <w:u w:val="single"/>
        </w:rPr>
        <w:t xml:space="preserve"> bits in the Extended SYNRA Information shall be ignored if they correspond </w:t>
      </w:r>
      <w:r w:rsidR="00223A87">
        <w:rPr>
          <w:u w:val="single"/>
        </w:rPr>
        <w:t xml:space="preserve">to an AID of greater than 2007 </w:t>
      </w:r>
      <w:r>
        <w:rPr>
          <w:u w:val="single"/>
        </w:rPr>
        <w:t>for a non-DMG STA or greater than 254 for a DMG STA.</w:t>
      </w:r>
    </w:p>
    <w:p w14:paraId="64DAF7B7" w14:textId="77777777" w:rsidR="006F7545" w:rsidRDefault="006F7545" w:rsidP="00706927">
      <w:pPr>
        <w:jc w:val="both"/>
      </w:pPr>
    </w:p>
    <w:p w14:paraId="5AF0B9D7" w14:textId="5FB46FD4" w:rsidR="006F7545" w:rsidRDefault="006F7545" w:rsidP="002110A0">
      <w:pPr>
        <w:pStyle w:val="EditorNote"/>
      </w:pPr>
      <w:r>
        <w:t xml:space="preserve">Editorial Note: </w:t>
      </w:r>
      <w:r w:rsidR="002110A0">
        <w:t>“</w:t>
      </w:r>
      <w:r>
        <w:t>254</w:t>
      </w:r>
      <w:r w:rsidR="002110A0">
        <w:t>”</w:t>
      </w:r>
      <w:r>
        <w:t xml:space="preserve"> really </w:t>
      </w:r>
      <w:r w:rsidR="002110A0">
        <w:t xml:space="preserve">is </w:t>
      </w:r>
      <w:r>
        <w:t>correct above. AID 255 is reserved as the broadcast AID for DMG STAs.</w:t>
      </w:r>
    </w:p>
    <w:p w14:paraId="09566DC5" w14:textId="77777777" w:rsidR="006F7545" w:rsidRDefault="006F7545" w:rsidP="00706927">
      <w:pPr>
        <w:jc w:val="both"/>
      </w:pPr>
    </w:p>
    <w:p w14:paraId="09F5DFBB" w14:textId="77777777" w:rsidR="00C4604C" w:rsidRDefault="00C4604C" w:rsidP="00FF19EF">
      <w:pPr>
        <w:pStyle w:val="Heading1"/>
      </w:pPr>
      <w:bookmarkStart w:id="4" w:name="_Toc286065097"/>
      <w:r>
        <w:t>More MIB Stuff</w:t>
      </w:r>
      <w:bookmarkEnd w:id="4"/>
    </w:p>
    <w:p w14:paraId="30BD06BE" w14:textId="77777777" w:rsidR="00C4604C" w:rsidRPr="00C4604C" w:rsidRDefault="00C4604C" w:rsidP="00C4604C"/>
    <w:p w14:paraId="77DFFFFE" w14:textId="77777777" w:rsidR="00B13B7A" w:rsidRDefault="00B13B7A" w:rsidP="00FF19EF">
      <w:pPr>
        <w:pStyle w:val="Heading1"/>
      </w:pPr>
      <w:bookmarkStart w:id="5" w:name="_Toc286065098"/>
      <w:r>
        <w:t>GLK Mesh</w:t>
      </w:r>
    </w:p>
    <w:p w14:paraId="098125CB" w14:textId="77777777" w:rsidR="00B13B7A" w:rsidRPr="00B13B7A" w:rsidRDefault="00B13B7A" w:rsidP="00B13B7A">
      <w:bookmarkStart w:id="6" w:name="_GoBack"/>
      <w:bookmarkEnd w:id="6"/>
    </w:p>
    <w:p w14:paraId="283F23F2" w14:textId="676CA78F" w:rsidR="00FF19EF" w:rsidRDefault="00223A87" w:rsidP="00FF19EF">
      <w:pPr>
        <w:pStyle w:val="Heading1"/>
      </w:pPr>
      <w:r>
        <w:t>Minor Miscellaneous</w:t>
      </w:r>
      <w:bookmarkEnd w:id="5"/>
    </w:p>
    <w:p w14:paraId="5B15C27C" w14:textId="77777777" w:rsidR="00FF19EF" w:rsidRDefault="00FF19EF" w:rsidP="00706927">
      <w:pPr>
        <w:jc w:val="both"/>
      </w:pPr>
    </w:p>
    <w:p w14:paraId="19FDB10E" w14:textId="180A7139" w:rsidR="00223A87" w:rsidRDefault="002B4503" w:rsidP="00FF19EF">
      <w:pPr>
        <w:pStyle w:val="EditorNote"/>
      </w:pPr>
      <w:r>
        <w:t>Editorial N</w:t>
      </w:r>
      <w:r w:rsidR="00223A87">
        <w:t>ote: Clarify as follows.</w:t>
      </w:r>
    </w:p>
    <w:p w14:paraId="37B89E36" w14:textId="77777777" w:rsidR="00223A87" w:rsidRDefault="00223A87" w:rsidP="00FF19EF">
      <w:pPr>
        <w:pStyle w:val="EditorNote"/>
      </w:pPr>
    </w:p>
    <w:p w14:paraId="35F9AB6A" w14:textId="46FFB328" w:rsidR="00223A87" w:rsidRPr="00223A87" w:rsidRDefault="00223A87" w:rsidP="00FF19EF">
      <w:pPr>
        <w:pStyle w:val="EditorNote"/>
        <w:rPr>
          <w:color w:val="auto"/>
        </w:rPr>
      </w:pPr>
      <w:r w:rsidRPr="00223A87">
        <w:rPr>
          <w:color w:val="auto"/>
        </w:rPr>
        <w:t>Replace the following sentence in 4.3.23.2 with the second sentence below.</w:t>
      </w:r>
    </w:p>
    <w:p w14:paraId="7ABD30A2" w14:textId="77777777" w:rsidR="00223A87" w:rsidRDefault="00223A87" w:rsidP="00FF19EF">
      <w:pPr>
        <w:pStyle w:val="EditorNote"/>
        <w:rPr>
          <w:b w:val="0"/>
          <w:i w:val="0"/>
        </w:rPr>
      </w:pPr>
    </w:p>
    <w:p w14:paraId="424BFA59" w14:textId="77777777" w:rsidR="00223A87" w:rsidRDefault="00223A87" w:rsidP="00223A87">
      <w:r>
        <w:t>Pairwise communication between two EPD STAs in a BSS</w:t>
      </w:r>
      <w:r w:rsidRPr="004D0FD9">
        <w:t xml:space="preserve"> </w:t>
      </w:r>
      <w:r>
        <w:t>uses EPD otherwise LPD is used.</w:t>
      </w:r>
    </w:p>
    <w:p w14:paraId="7D3653C3" w14:textId="77777777" w:rsidR="00223A87" w:rsidRDefault="00223A87" w:rsidP="00FF19EF">
      <w:pPr>
        <w:pStyle w:val="EditorNote"/>
        <w:rPr>
          <w:b w:val="0"/>
          <w:i w:val="0"/>
        </w:rPr>
      </w:pPr>
    </w:p>
    <w:p w14:paraId="1AC83045" w14:textId="2ADB7761" w:rsidR="00223A87" w:rsidRPr="00223A87" w:rsidRDefault="00223A87" w:rsidP="00FF19EF">
      <w:pPr>
        <w:pStyle w:val="EditorNote"/>
        <w:rPr>
          <w:b w:val="0"/>
          <w:i w:val="0"/>
          <w:color w:val="auto"/>
        </w:rPr>
      </w:pPr>
      <w:r w:rsidRPr="00223A87">
        <w:rPr>
          <w:b w:val="0"/>
          <w:i w:val="0"/>
          <w:color w:val="auto"/>
        </w:rPr>
        <w:t>Communication in a BSS between two EPD STAs with an individually addressed RA uses EPD; if either STA does not support EPD, such communication uses LPD.</w:t>
      </w:r>
    </w:p>
    <w:p w14:paraId="5D1FF424" w14:textId="77777777" w:rsidR="00223A87" w:rsidRDefault="00223A87" w:rsidP="00FF19EF">
      <w:pPr>
        <w:pStyle w:val="EditorNote"/>
      </w:pPr>
    </w:p>
    <w:p w14:paraId="2E8A8EB8" w14:textId="435E07E6" w:rsidR="002B4503" w:rsidRDefault="002B4503" w:rsidP="00FF19EF">
      <w:pPr>
        <w:pStyle w:val="EditorNote"/>
      </w:pPr>
      <w:r>
        <w:t>Editorial Note: Fix typos:</w:t>
      </w:r>
    </w:p>
    <w:p w14:paraId="2FBEBCCE" w14:textId="77777777" w:rsidR="002B4503" w:rsidRDefault="002B4503" w:rsidP="00FF19EF">
      <w:pPr>
        <w:pStyle w:val="EditorNote"/>
      </w:pPr>
    </w:p>
    <w:p w14:paraId="74166D26" w14:textId="43D6359A" w:rsidR="002B4503" w:rsidRPr="00C4604C" w:rsidRDefault="002B4503" w:rsidP="00FF19EF">
      <w:pPr>
        <w:pStyle w:val="EditorNote"/>
        <w:rPr>
          <w:color w:val="auto"/>
        </w:rPr>
      </w:pPr>
      <w:r w:rsidRPr="00C4604C">
        <w:rPr>
          <w:color w:val="auto"/>
        </w:rPr>
        <w:t>Change the first sentence of 4.3.23.4.2 as follows:</w:t>
      </w:r>
    </w:p>
    <w:p w14:paraId="5854AF4E" w14:textId="77777777" w:rsidR="002B4503" w:rsidRDefault="002B4503" w:rsidP="00FF19EF">
      <w:pPr>
        <w:pStyle w:val="EditorNote"/>
        <w:rPr>
          <w:i w:val="0"/>
        </w:rPr>
      </w:pPr>
    </w:p>
    <w:p w14:paraId="74BDF844" w14:textId="55AADFB6" w:rsidR="002B4503" w:rsidRPr="002B4503" w:rsidRDefault="002B4503" w:rsidP="00FF19EF">
      <w:pPr>
        <w:pStyle w:val="EditorNote"/>
        <w:rPr>
          <w:b w:val="0"/>
          <w:i w:val="0"/>
          <w:color w:val="auto"/>
        </w:rPr>
      </w:pPr>
      <w:r w:rsidRPr="002B4503">
        <w:rPr>
          <w:b w:val="0"/>
          <w:i w:val="0"/>
          <w:color w:val="auto"/>
        </w:rPr>
        <w:t xml:space="preserve">Figure 4-14a shows a GLK IBSS involving </w:t>
      </w:r>
      <w:r w:rsidRPr="002B4503">
        <w:rPr>
          <w:b w:val="0"/>
          <w:i w:val="0"/>
          <w:color w:val="auto"/>
          <w:u w:val="single"/>
        </w:rPr>
        <w:t>three</w:t>
      </w:r>
      <w:r w:rsidRPr="002B4503">
        <w:rPr>
          <w:b w:val="0"/>
          <w:i w:val="0"/>
          <w:color w:val="auto"/>
        </w:rPr>
        <w:t xml:space="preserve"> </w:t>
      </w:r>
      <w:r w:rsidRPr="002B4503">
        <w:rPr>
          <w:b w:val="0"/>
          <w:i w:val="0"/>
          <w:strike/>
          <w:color w:val="auto"/>
        </w:rPr>
        <w:t>two</w:t>
      </w:r>
      <w:r>
        <w:rPr>
          <w:b w:val="0"/>
          <w:i w:val="0"/>
          <w:color w:val="auto"/>
        </w:rPr>
        <w:t xml:space="preserve"> </w:t>
      </w:r>
      <w:r w:rsidRPr="002B4503">
        <w:rPr>
          <w:b w:val="0"/>
          <w:i w:val="0"/>
          <w:color w:val="auto"/>
        </w:rPr>
        <w:t xml:space="preserve">GLK STAs. Each participating STA provides the MAC service via </w:t>
      </w:r>
      <w:r w:rsidRPr="002B4503">
        <w:rPr>
          <w:b w:val="0"/>
          <w:i w:val="0"/>
          <w:strike/>
          <w:color w:val="auto"/>
        </w:rPr>
        <w:t>an</w:t>
      </w:r>
      <w:r w:rsidRPr="002B4503">
        <w:rPr>
          <w:b w:val="0"/>
          <w:i w:val="0"/>
          <w:color w:val="auto"/>
        </w:rPr>
        <w:t xml:space="preserve"> ISS SAP</w:t>
      </w:r>
      <w:r>
        <w:rPr>
          <w:b w:val="0"/>
          <w:i w:val="0"/>
          <w:color w:val="auto"/>
          <w:u w:val="single"/>
        </w:rPr>
        <w:t>s</w:t>
      </w:r>
      <w:r w:rsidRPr="002B4503">
        <w:rPr>
          <w:b w:val="0"/>
          <w:i w:val="0"/>
          <w:color w:val="auto"/>
        </w:rPr>
        <w:t>.</w:t>
      </w:r>
    </w:p>
    <w:p w14:paraId="39F55BAC" w14:textId="77777777" w:rsidR="002B4503" w:rsidRPr="002B4503" w:rsidRDefault="002B4503" w:rsidP="00FF19EF">
      <w:pPr>
        <w:pStyle w:val="EditorNote"/>
        <w:rPr>
          <w:i w:val="0"/>
        </w:rPr>
      </w:pPr>
    </w:p>
    <w:p w14:paraId="6E48C425" w14:textId="347E38E2" w:rsidR="00FF19EF" w:rsidRDefault="00FF19EF" w:rsidP="00FF19EF">
      <w:pPr>
        <w:pStyle w:val="EditorNote"/>
      </w:pPr>
      <w:r>
        <w:t>Editorial Note: MMRP is used in Clause 8.4.2.171 but not expanded nor any reference given.</w:t>
      </w:r>
    </w:p>
    <w:p w14:paraId="1A78105E" w14:textId="77777777" w:rsidR="00FF19EF" w:rsidRDefault="00FF19EF" w:rsidP="00706927">
      <w:pPr>
        <w:jc w:val="both"/>
      </w:pPr>
    </w:p>
    <w:p w14:paraId="1E3AB91B" w14:textId="5D095717" w:rsidR="00FF19EF" w:rsidRPr="00FF19EF" w:rsidRDefault="00FF19EF" w:rsidP="00706927">
      <w:pPr>
        <w:jc w:val="both"/>
        <w:rPr>
          <w:b/>
          <w:i/>
        </w:rPr>
      </w:pPr>
      <w:r w:rsidRPr="00FF19EF">
        <w:rPr>
          <w:b/>
          <w:i/>
        </w:rPr>
        <w:t>Insert in alphabetic order in Clause 3.4 Abbreviations and acronyms</w:t>
      </w:r>
      <w:r>
        <w:rPr>
          <w:b/>
          <w:i/>
        </w:rPr>
        <w:t>:</w:t>
      </w:r>
    </w:p>
    <w:p w14:paraId="5FC2CD8B" w14:textId="77777777" w:rsidR="00FF19EF" w:rsidRDefault="00FF19EF" w:rsidP="00706927">
      <w:pPr>
        <w:jc w:val="both"/>
      </w:pPr>
    </w:p>
    <w:p w14:paraId="05352268" w14:textId="03B5FE2E" w:rsidR="00FF19EF" w:rsidRDefault="00FF19EF" w:rsidP="00706927">
      <w:pPr>
        <w:jc w:val="both"/>
      </w:pPr>
      <w:r>
        <w:t>MMRP</w:t>
      </w:r>
      <w:r>
        <w:tab/>
      </w:r>
      <w:r>
        <w:tab/>
      </w:r>
      <w:r>
        <w:tab/>
        <w:t>Multiple Mac Registratio</w:t>
      </w:r>
      <w:r w:rsidR="006A1D65">
        <w:t>n Protocol (IEEE Std 802.1Q-2014</w:t>
      </w:r>
      <w:r>
        <w:t>)</w:t>
      </w:r>
    </w:p>
    <w:p w14:paraId="18CBDE60" w14:textId="77777777" w:rsidR="00FF19EF" w:rsidRDefault="00FF19EF" w:rsidP="00706927">
      <w:pPr>
        <w:jc w:val="both"/>
      </w:pPr>
    </w:p>
    <w:p w14:paraId="06837D98" w14:textId="77777777" w:rsidR="00FF19EF" w:rsidRPr="00AA2D59" w:rsidRDefault="00FF19EF" w:rsidP="00706927">
      <w:pPr>
        <w:jc w:val="both"/>
      </w:pPr>
    </w:p>
    <w:sectPr w:rsidR="00FF19EF" w:rsidRPr="00AA2D59"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752227" w:rsidRDefault="00752227">
      <w:r>
        <w:separator/>
      </w:r>
    </w:p>
  </w:endnote>
  <w:endnote w:type="continuationSeparator" w:id="0">
    <w:p w14:paraId="4248402F" w14:textId="77777777" w:rsidR="00752227" w:rsidRDefault="0075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752227" w:rsidRDefault="007522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13B7A">
      <w:rPr>
        <w:noProof/>
      </w:rPr>
      <w:t>5</w:t>
    </w:r>
    <w:r>
      <w:fldChar w:fldCharType="end"/>
    </w:r>
    <w:r>
      <w:tab/>
    </w:r>
    <w:fldSimple w:instr=" COMMENTS  \* MERGEFORMAT ">
      <w:r>
        <w:t>Donald Eastlake, Huawei Technologies</w:t>
      </w:r>
    </w:fldSimple>
  </w:p>
  <w:p w14:paraId="087CF5B6" w14:textId="77777777" w:rsidR="00752227" w:rsidRDefault="0075222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752227" w:rsidRDefault="00752227">
      <w:r>
        <w:separator/>
      </w:r>
    </w:p>
  </w:footnote>
  <w:footnote w:type="continuationSeparator" w:id="0">
    <w:p w14:paraId="152C7D88" w14:textId="77777777" w:rsidR="00752227" w:rsidRDefault="007522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77777777" w:rsidR="00752227" w:rsidRDefault="00752227">
    <w:pPr>
      <w:pStyle w:val="Header"/>
      <w:tabs>
        <w:tab w:val="clear" w:pos="6480"/>
        <w:tab w:val="center" w:pos="4680"/>
        <w:tab w:val="right" w:pos="9360"/>
      </w:tabs>
    </w:pPr>
    <w:fldSimple w:instr=" KEYWORDS  \* MERGEFORMAT ">
      <w:r>
        <w:t>February 2015</w:t>
      </w:r>
    </w:fldSimple>
    <w:r>
      <w:tab/>
    </w:r>
    <w:r>
      <w:tab/>
    </w:r>
    <w:fldSimple w:instr=" TITLE  \* MERGEFORMAT ">
      <w:r>
        <w:t>doc.: IEEE 802.11-15/0116r1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861"/>
    <w:multiLevelType w:val="multilevel"/>
    <w:tmpl w:val="496281F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A109A"/>
    <w:multiLevelType w:val="hybridMultilevel"/>
    <w:tmpl w:val="4982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D41BE"/>
    <w:multiLevelType w:val="multilevel"/>
    <w:tmpl w:val="28E8C0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28D9450D"/>
    <w:multiLevelType w:val="multilevel"/>
    <w:tmpl w:val="CC5219E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633E00"/>
    <w:multiLevelType w:val="multilevel"/>
    <w:tmpl w:val="03124BB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E650496"/>
    <w:multiLevelType w:val="hybridMultilevel"/>
    <w:tmpl w:val="4C1EA478"/>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B195D"/>
    <w:multiLevelType w:val="multilevel"/>
    <w:tmpl w:val="714C0DE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E4698A"/>
    <w:multiLevelType w:val="multilevel"/>
    <w:tmpl w:val="E1307F6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C0648F0"/>
    <w:multiLevelType w:val="hybridMultilevel"/>
    <w:tmpl w:val="C15ED08A"/>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D612EA"/>
    <w:multiLevelType w:val="hybridMultilevel"/>
    <w:tmpl w:val="CFA0BF4E"/>
    <w:lvl w:ilvl="0" w:tplc="8CC27F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99497E"/>
    <w:multiLevelType w:val="multilevel"/>
    <w:tmpl w:val="3DDCA3D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3AF31AD"/>
    <w:multiLevelType w:val="multilevel"/>
    <w:tmpl w:val="938C014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41614E6"/>
    <w:multiLevelType w:val="hybridMultilevel"/>
    <w:tmpl w:val="FE8AA1A4"/>
    <w:lvl w:ilvl="0" w:tplc="EE40BD1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D12D0"/>
    <w:multiLevelType w:val="multilevel"/>
    <w:tmpl w:val="1EB2E7D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D5D0EAA"/>
    <w:multiLevelType w:val="multilevel"/>
    <w:tmpl w:val="2BDA933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63697043"/>
    <w:multiLevelType w:val="multilevel"/>
    <w:tmpl w:val="86D88D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nsid w:val="65DF6A87"/>
    <w:multiLevelType w:val="multilevel"/>
    <w:tmpl w:val="23FCC62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640714A"/>
    <w:multiLevelType w:val="multilevel"/>
    <w:tmpl w:val="8E70EE40"/>
    <w:lvl w:ilvl="0">
      <w:start w:val="1"/>
      <w:numFmt w:val="low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6912261B"/>
    <w:multiLevelType w:val="multilevel"/>
    <w:tmpl w:val="B6D4850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BB3118C"/>
    <w:multiLevelType w:val="multilevel"/>
    <w:tmpl w:val="FB4C5D7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D0223B9"/>
    <w:multiLevelType w:val="hybridMultilevel"/>
    <w:tmpl w:val="388CD466"/>
    <w:lvl w:ilvl="0" w:tplc="EF3E9D6A">
      <w:start w:val="9"/>
      <w:numFmt w:val="bullet"/>
      <w:lvlText w:val="-"/>
      <w:lvlJc w:val="left"/>
      <w:pPr>
        <w:ind w:left="360" w:hanging="360"/>
      </w:pPr>
      <w:rPr>
        <w:rFonts w:ascii="Times New Roman" w:eastAsia="ＭＳ 明朝"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EC268F3"/>
    <w:multiLevelType w:val="multilevel"/>
    <w:tmpl w:val="2E54C146"/>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4007439"/>
    <w:multiLevelType w:val="multilevel"/>
    <w:tmpl w:val="793A3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78011CBE"/>
    <w:multiLevelType w:val="multilevel"/>
    <w:tmpl w:val="D56AD0E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5"/>
  </w:num>
  <w:num w:numId="3">
    <w:abstractNumId w:val="8"/>
  </w:num>
  <w:num w:numId="4">
    <w:abstractNumId w:val="18"/>
  </w:num>
  <w:num w:numId="5">
    <w:abstractNumId w:val="24"/>
  </w:num>
  <w:num w:numId="6">
    <w:abstractNumId w:val="12"/>
  </w:num>
  <w:num w:numId="7">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8"/>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8"/>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
  </w:num>
  <w:num w:numId="26">
    <w:abstractNumId w:val="3"/>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0"/>
  </w:num>
  <w:num w:numId="31">
    <w:abstractNumId w:val="11"/>
  </w:num>
  <w:num w:numId="32">
    <w:abstractNumId w:val="14"/>
  </w:num>
  <w:num w:numId="33">
    <w:abstractNumId w:val="0"/>
  </w:num>
  <w:num w:numId="34">
    <w:abstractNumId w:val="23"/>
  </w:num>
  <w:num w:numId="35">
    <w:abstractNumId w:val="21"/>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1757E"/>
    <w:rsid w:val="000257AF"/>
    <w:rsid w:val="00053949"/>
    <w:rsid w:val="0005534D"/>
    <w:rsid w:val="00056E3F"/>
    <w:rsid w:val="00061E61"/>
    <w:rsid w:val="00064213"/>
    <w:rsid w:val="00070B44"/>
    <w:rsid w:val="00086DD8"/>
    <w:rsid w:val="00093FB8"/>
    <w:rsid w:val="0011493D"/>
    <w:rsid w:val="00141705"/>
    <w:rsid w:val="00147DAD"/>
    <w:rsid w:val="001552FC"/>
    <w:rsid w:val="001649A3"/>
    <w:rsid w:val="001778BD"/>
    <w:rsid w:val="00182709"/>
    <w:rsid w:val="001D0E98"/>
    <w:rsid w:val="001D723B"/>
    <w:rsid w:val="001F3683"/>
    <w:rsid w:val="002110A0"/>
    <w:rsid w:val="00212EE0"/>
    <w:rsid w:val="0021408C"/>
    <w:rsid w:val="00223285"/>
    <w:rsid w:val="00223A87"/>
    <w:rsid w:val="002477A9"/>
    <w:rsid w:val="002527FE"/>
    <w:rsid w:val="00257E8F"/>
    <w:rsid w:val="00272B21"/>
    <w:rsid w:val="0029020B"/>
    <w:rsid w:val="00295C19"/>
    <w:rsid w:val="002A750A"/>
    <w:rsid w:val="002B4503"/>
    <w:rsid w:val="002D44BE"/>
    <w:rsid w:val="002D4DE9"/>
    <w:rsid w:val="002D7628"/>
    <w:rsid w:val="002E42AC"/>
    <w:rsid w:val="002E4447"/>
    <w:rsid w:val="002F7565"/>
    <w:rsid w:val="002F7B87"/>
    <w:rsid w:val="003521CB"/>
    <w:rsid w:val="003605FB"/>
    <w:rsid w:val="003B0CDD"/>
    <w:rsid w:val="003B0E4C"/>
    <w:rsid w:val="003B13A1"/>
    <w:rsid w:val="003C12A9"/>
    <w:rsid w:val="003C3E94"/>
    <w:rsid w:val="003D01FA"/>
    <w:rsid w:val="003D7D43"/>
    <w:rsid w:val="003E0B86"/>
    <w:rsid w:val="003E62C3"/>
    <w:rsid w:val="00425E17"/>
    <w:rsid w:val="00442037"/>
    <w:rsid w:val="00465E9C"/>
    <w:rsid w:val="00473F04"/>
    <w:rsid w:val="00481990"/>
    <w:rsid w:val="00491853"/>
    <w:rsid w:val="004919D9"/>
    <w:rsid w:val="004A0FBB"/>
    <w:rsid w:val="004C3151"/>
    <w:rsid w:val="004C5FD4"/>
    <w:rsid w:val="004E624E"/>
    <w:rsid w:val="005178D6"/>
    <w:rsid w:val="00524BED"/>
    <w:rsid w:val="00532474"/>
    <w:rsid w:val="00535872"/>
    <w:rsid w:val="0054584E"/>
    <w:rsid w:val="00546875"/>
    <w:rsid w:val="00552062"/>
    <w:rsid w:val="005529F4"/>
    <w:rsid w:val="005825AE"/>
    <w:rsid w:val="005957C8"/>
    <w:rsid w:val="005B7BC1"/>
    <w:rsid w:val="005C1503"/>
    <w:rsid w:val="005C6CA0"/>
    <w:rsid w:val="00605CE6"/>
    <w:rsid w:val="006231D6"/>
    <w:rsid w:val="0062440B"/>
    <w:rsid w:val="00634B68"/>
    <w:rsid w:val="00651477"/>
    <w:rsid w:val="00657B61"/>
    <w:rsid w:val="00664422"/>
    <w:rsid w:val="00677150"/>
    <w:rsid w:val="00693597"/>
    <w:rsid w:val="006A1D65"/>
    <w:rsid w:val="006A6529"/>
    <w:rsid w:val="006C0727"/>
    <w:rsid w:val="006E0BD3"/>
    <w:rsid w:val="006E145F"/>
    <w:rsid w:val="006E281F"/>
    <w:rsid w:val="006F0B33"/>
    <w:rsid w:val="006F7545"/>
    <w:rsid w:val="00703622"/>
    <w:rsid w:val="00706927"/>
    <w:rsid w:val="00716A89"/>
    <w:rsid w:val="00722B95"/>
    <w:rsid w:val="00724498"/>
    <w:rsid w:val="00734326"/>
    <w:rsid w:val="00740C99"/>
    <w:rsid w:val="00746C24"/>
    <w:rsid w:val="00746D6C"/>
    <w:rsid w:val="00752227"/>
    <w:rsid w:val="0076206D"/>
    <w:rsid w:val="00770572"/>
    <w:rsid w:val="007708A3"/>
    <w:rsid w:val="0079575C"/>
    <w:rsid w:val="00796B2E"/>
    <w:rsid w:val="00797094"/>
    <w:rsid w:val="007A25FE"/>
    <w:rsid w:val="007B3CCA"/>
    <w:rsid w:val="007C0901"/>
    <w:rsid w:val="007D3766"/>
    <w:rsid w:val="00803F8F"/>
    <w:rsid w:val="00805B9C"/>
    <w:rsid w:val="008066B8"/>
    <w:rsid w:val="00817EEE"/>
    <w:rsid w:val="008233C1"/>
    <w:rsid w:val="0083543E"/>
    <w:rsid w:val="00852545"/>
    <w:rsid w:val="00852C7D"/>
    <w:rsid w:val="00864F25"/>
    <w:rsid w:val="00880C23"/>
    <w:rsid w:val="0088643C"/>
    <w:rsid w:val="008A7AB3"/>
    <w:rsid w:val="008C15B5"/>
    <w:rsid w:val="008D025A"/>
    <w:rsid w:val="008F2E71"/>
    <w:rsid w:val="0094267B"/>
    <w:rsid w:val="00972F8E"/>
    <w:rsid w:val="00976713"/>
    <w:rsid w:val="009A3E6D"/>
    <w:rsid w:val="009B5690"/>
    <w:rsid w:val="009E0DDE"/>
    <w:rsid w:val="009E3D86"/>
    <w:rsid w:val="009F602A"/>
    <w:rsid w:val="00A07572"/>
    <w:rsid w:val="00A209F4"/>
    <w:rsid w:val="00A42D3E"/>
    <w:rsid w:val="00A529A3"/>
    <w:rsid w:val="00A52B28"/>
    <w:rsid w:val="00AA1D65"/>
    <w:rsid w:val="00AA2D59"/>
    <w:rsid w:val="00AA427C"/>
    <w:rsid w:val="00AB4F2B"/>
    <w:rsid w:val="00AD730E"/>
    <w:rsid w:val="00AF65D3"/>
    <w:rsid w:val="00B13B7A"/>
    <w:rsid w:val="00B36273"/>
    <w:rsid w:val="00B43516"/>
    <w:rsid w:val="00B80E3F"/>
    <w:rsid w:val="00B9488A"/>
    <w:rsid w:val="00B96577"/>
    <w:rsid w:val="00BA686A"/>
    <w:rsid w:val="00BC3F6D"/>
    <w:rsid w:val="00BC44CD"/>
    <w:rsid w:val="00BE158D"/>
    <w:rsid w:val="00BE68C2"/>
    <w:rsid w:val="00C01591"/>
    <w:rsid w:val="00C0747C"/>
    <w:rsid w:val="00C117E5"/>
    <w:rsid w:val="00C13BB8"/>
    <w:rsid w:val="00C32265"/>
    <w:rsid w:val="00C34EF0"/>
    <w:rsid w:val="00C37C88"/>
    <w:rsid w:val="00C4604C"/>
    <w:rsid w:val="00C609CC"/>
    <w:rsid w:val="00C643CF"/>
    <w:rsid w:val="00C9188B"/>
    <w:rsid w:val="00CA09B2"/>
    <w:rsid w:val="00CB23FB"/>
    <w:rsid w:val="00CC148B"/>
    <w:rsid w:val="00CC4709"/>
    <w:rsid w:val="00CC5B8B"/>
    <w:rsid w:val="00CE1083"/>
    <w:rsid w:val="00CE4A8C"/>
    <w:rsid w:val="00D028A3"/>
    <w:rsid w:val="00D4128B"/>
    <w:rsid w:val="00D44D20"/>
    <w:rsid w:val="00D56289"/>
    <w:rsid w:val="00D57105"/>
    <w:rsid w:val="00D6506D"/>
    <w:rsid w:val="00DB22EB"/>
    <w:rsid w:val="00DC112D"/>
    <w:rsid w:val="00DC5A7B"/>
    <w:rsid w:val="00DF18F9"/>
    <w:rsid w:val="00E0039B"/>
    <w:rsid w:val="00E10F75"/>
    <w:rsid w:val="00E25B8A"/>
    <w:rsid w:val="00E264B8"/>
    <w:rsid w:val="00E27FE8"/>
    <w:rsid w:val="00E850D3"/>
    <w:rsid w:val="00EA1EBA"/>
    <w:rsid w:val="00EA301C"/>
    <w:rsid w:val="00EE48F1"/>
    <w:rsid w:val="00F064A4"/>
    <w:rsid w:val="00F2366F"/>
    <w:rsid w:val="00F26736"/>
    <w:rsid w:val="00F936D4"/>
    <w:rsid w:val="00F96588"/>
    <w:rsid w:val="00FB2AE0"/>
    <w:rsid w:val="00FB577D"/>
    <w:rsid w:val="00FC3D2C"/>
    <w:rsid w:val="00FC52F3"/>
    <w:rsid w:val="00FD2334"/>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sz w:val="24"/>
      <w:lang w:val="en-GB"/>
    </w:rPr>
  </w:style>
  <w:style w:type="paragraph" w:styleId="Heading1">
    <w:name w:val="heading 1"/>
    <w:basedOn w:val="Normal"/>
    <w:next w:val="Normal"/>
    <w:qFormat/>
    <w:rsid w:val="00DF18F9"/>
    <w:pPr>
      <w:keepNext/>
      <w:keepLines/>
      <w:numPr>
        <w:numId w:val="36"/>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sz w:val="24"/>
      <w:lang w:val="en-GB"/>
    </w:rPr>
  </w:style>
  <w:style w:type="paragraph" w:styleId="Heading1">
    <w:name w:val="heading 1"/>
    <w:basedOn w:val="Normal"/>
    <w:next w:val="Normal"/>
    <w:qFormat/>
    <w:rsid w:val="00DF18F9"/>
    <w:pPr>
      <w:keepNext/>
      <w:keepLines/>
      <w:numPr>
        <w:numId w:val="36"/>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36"/>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36"/>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36"/>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36"/>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3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lang w:val="en-GB"/>
    </w:rPr>
  </w:style>
  <w:style w:type="character" w:styleId="PlaceholderText">
    <w:name w:val="Placeholder Text"/>
    <w:basedOn w:val="DefaultParagraphFont"/>
    <w:uiPriority w:val="99"/>
    <w:semiHidden/>
    <w:rsid w:val="00257E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54016534">
      <w:bodyDiv w:val="1"/>
      <w:marLeft w:val="0"/>
      <w:marRight w:val="0"/>
      <w:marTop w:val="0"/>
      <w:marBottom w:val="0"/>
      <w:divBdr>
        <w:top w:val="none" w:sz="0" w:space="0" w:color="auto"/>
        <w:left w:val="none" w:sz="0" w:space="0" w:color="auto"/>
        <w:bottom w:val="none" w:sz="0" w:space="0" w:color="auto"/>
        <w:right w:val="none" w:sz="0" w:space="0" w:color="auto"/>
      </w:divBdr>
    </w:div>
    <w:div w:id="99495953">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10410642">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781732043">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28654422">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19627960">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397893585">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39852937">
      <w:bodyDiv w:val="1"/>
      <w:marLeft w:val="0"/>
      <w:marRight w:val="0"/>
      <w:marTop w:val="0"/>
      <w:marBottom w:val="0"/>
      <w:divBdr>
        <w:top w:val="none" w:sz="0" w:space="0" w:color="auto"/>
        <w:left w:val="none" w:sz="0" w:space="0" w:color="auto"/>
        <w:bottom w:val="none" w:sz="0" w:space="0" w:color="auto"/>
        <w:right w:val="none" w:sz="0" w:space="0" w:color="auto"/>
      </w:divBdr>
    </w:div>
    <w:div w:id="157346849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53</TotalTime>
  <Pages>5</Pages>
  <Words>1283</Words>
  <Characters>5917</Characters>
  <Application>Microsoft Macintosh Word</Application>
  <DocSecurity>0</DocSecurity>
  <Lines>179</Lines>
  <Paragraphs>79</Paragraphs>
  <ScaleCrop>false</ScaleCrop>
  <HeadingPairs>
    <vt:vector size="2" baseType="variant">
      <vt:variant>
        <vt:lpstr>Title</vt:lpstr>
      </vt:variant>
      <vt:variant>
        <vt:i4>1</vt:i4>
      </vt:variant>
    </vt:vector>
  </HeadingPairs>
  <TitlesOfParts>
    <vt:vector size="1" baseType="lpstr">
      <vt:lpstr>doc.: IEEE 802.11-15/0116r0</vt:lpstr>
    </vt:vector>
  </TitlesOfParts>
  <Manager/>
  <Company>Huawei Technologies</Company>
  <LinksUpToDate>false</LinksUpToDate>
  <CharactersWithSpaces>7121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802.11-15/0116r1</dc:title>
  <dc:subject>Submission</dc:subject>
  <dc:creator>Donald Eastlake</dc:creator>
  <cp:keywords>February 2015</cp:keywords>
  <dc:description>Donald Eastlake, Huawei Technologies</dc:description>
  <cp:lastModifiedBy>Donald Eastlake</cp:lastModifiedBy>
  <cp:revision>8</cp:revision>
  <cp:lastPrinted>2015-02-13T21:03:00Z</cp:lastPrinted>
  <dcterms:created xsi:type="dcterms:W3CDTF">2015-02-13T16:13:00Z</dcterms:created>
  <dcterms:modified xsi:type="dcterms:W3CDTF">2015-02-22T20:44:00Z</dcterms:modified>
  <cp:category/>
</cp:coreProperties>
</file>