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392D8E22"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880C23">
              <w:rPr>
                <w:b w:val="0"/>
                <w:sz w:val="20"/>
              </w:rPr>
              <w:t>01-12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proofErr w:type="gramStart"/>
            <w:r>
              <w:rPr>
                <w:sz w:val="20"/>
              </w:rPr>
              <w:t>email</w:t>
            </w:r>
            <w:proofErr w:type="gramEnd"/>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FF19EF" w:rsidRDefault="00FF19EF">
                            <w:pPr>
                              <w:pStyle w:val="T1"/>
                              <w:spacing w:after="120"/>
                            </w:pPr>
                            <w:r>
                              <w:t>Abstract</w:t>
                            </w:r>
                          </w:p>
                          <w:p w14:paraId="0C811D4F" w14:textId="75547F43" w:rsidR="00FF19EF" w:rsidRDefault="00FF19EF">
                            <w:pPr>
                              <w:jc w:val="both"/>
                            </w:pPr>
                            <w:r>
                              <w:t>This document proposes text for improvements to P802.11ak D0.06.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FF19EF" w:rsidRDefault="00FF19EF">
                      <w:pPr>
                        <w:pStyle w:val="T1"/>
                        <w:spacing w:after="120"/>
                      </w:pPr>
                      <w:r>
                        <w:t>Abstract</w:t>
                      </w:r>
                    </w:p>
                    <w:p w14:paraId="0C811D4F" w14:textId="75547F43" w:rsidR="00FF19EF" w:rsidRDefault="00FF19EF">
                      <w:pPr>
                        <w:jc w:val="both"/>
                      </w:pPr>
                      <w:r>
                        <w:t>This document proposes text for improvements to P802.11ak D0.06.</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2857617"/>
      <w:r>
        <w:lastRenderedPageBreak/>
        <w:t>Introduction</w:t>
      </w:r>
      <w:bookmarkEnd w:id="0"/>
    </w:p>
    <w:p w14:paraId="657DC37D" w14:textId="24DD2936" w:rsidR="0005534D" w:rsidRP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 improvements to P802.11ak D0.06</w:t>
      </w:r>
      <w:r w:rsidR="0005534D" w:rsidRPr="0005534D">
        <w:rPr>
          <w:sz w:val="28"/>
        </w:rPr>
        <w:t>.</w:t>
      </w:r>
      <w:r w:rsidR="005529F4">
        <w:rPr>
          <w:sz w:val="28"/>
        </w:rPr>
        <w:t xml:space="preserve"> There are written as changes to D0.06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5358F7ED" w14:textId="77777777" w:rsidR="00976713" w:rsidRDefault="00976713" w:rsidP="00706927">
      <w:pPr>
        <w:jc w:val="both"/>
        <w:rPr>
          <w:sz w:val="36"/>
        </w:rPr>
      </w:pPr>
    </w:p>
    <w:p w14:paraId="6E40B10B" w14:textId="77777777" w:rsidR="002F7B87" w:rsidRDefault="002F7B87">
      <w:pPr>
        <w:pStyle w:val="TOC1"/>
        <w:tabs>
          <w:tab w:val="right" w:leader="dot" w:pos="9350"/>
        </w:tabs>
        <w:rPr>
          <w:rFonts w:asciiTheme="minorHAnsi" w:eastAsiaTheme="minorEastAsia" w:hAnsiTheme="minorHAnsi" w:cstheme="minorBidi"/>
          <w:noProof/>
          <w:szCs w:val="24"/>
          <w:lang w:val="en-US" w:eastAsia="ja-JP"/>
        </w:rPr>
      </w:pPr>
      <w:r>
        <w:rPr>
          <w:sz w:val="36"/>
        </w:rPr>
        <w:fldChar w:fldCharType="begin"/>
      </w:r>
      <w:r>
        <w:rPr>
          <w:sz w:val="36"/>
        </w:rPr>
        <w:instrText xml:space="preserve"> TOC \o "1-3" </w:instrText>
      </w:r>
      <w:r>
        <w:rPr>
          <w:sz w:val="36"/>
        </w:rPr>
        <w:fldChar w:fldCharType="separate"/>
      </w:r>
      <w:r>
        <w:rPr>
          <w:noProof/>
        </w:rPr>
        <w:t>Introduction</w:t>
      </w:r>
      <w:r>
        <w:rPr>
          <w:noProof/>
        </w:rPr>
        <w:tab/>
      </w:r>
      <w:r>
        <w:rPr>
          <w:noProof/>
        </w:rPr>
        <w:fldChar w:fldCharType="begin"/>
      </w:r>
      <w:r>
        <w:rPr>
          <w:noProof/>
        </w:rPr>
        <w:instrText xml:space="preserve"> PAGEREF _Toc282857617 \h </w:instrText>
      </w:r>
      <w:r>
        <w:rPr>
          <w:noProof/>
        </w:rPr>
      </w:r>
      <w:r>
        <w:rPr>
          <w:noProof/>
        </w:rPr>
        <w:fldChar w:fldCharType="separate"/>
      </w:r>
      <w:r>
        <w:rPr>
          <w:noProof/>
        </w:rPr>
        <w:t>2</w:t>
      </w:r>
      <w:r>
        <w:rPr>
          <w:noProof/>
        </w:rPr>
        <w:fldChar w:fldCharType="end"/>
      </w:r>
    </w:p>
    <w:p w14:paraId="42D4F18D" w14:textId="77777777" w:rsidR="002F7B87" w:rsidRDefault="002F7B87">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a</w:t>
      </w:r>
      <w:r>
        <w:rPr>
          <w:rFonts w:asciiTheme="minorHAnsi" w:eastAsiaTheme="minorEastAsia" w:hAnsiTheme="minorHAnsi" w:cstheme="minorBidi"/>
          <w:noProof/>
          <w:szCs w:val="24"/>
          <w:lang w:val="en-US" w:eastAsia="ja-JP"/>
        </w:rPr>
        <w:tab/>
      </w:r>
      <w:r>
        <w:rPr>
          <w:noProof/>
        </w:rPr>
        <w:t>IBSS Selective Reception</w:t>
      </w:r>
      <w:r>
        <w:rPr>
          <w:noProof/>
        </w:rPr>
        <w:tab/>
      </w:r>
      <w:r>
        <w:rPr>
          <w:noProof/>
        </w:rPr>
        <w:fldChar w:fldCharType="begin"/>
      </w:r>
      <w:r>
        <w:rPr>
          <w:noProof/>
        </w:rPr>
        <w:instrText xml:space="preserve"> PAGEREF _Toc282857618 \h </w:instrText>
      </w:r>
      <w:r>
        <w:rPr>
          <w:noProof/>
        </w:rPr>
      </w:r>
      <w:r>
        <w:rPr>
          <w:noProof/>
        </w:rPr>
        <w:fldChar w:fldCharType="separate"/>
      </w:r>
      <w:r>
        <w:rPr>
          <w:noProof/>
        </w:rPr>
        <w:t>3</w:t>
      </w:r>
      <w:r>
        <w:rPr>
          <w:noProof/>
        </w:rPr>
        <w:fldChar w:fldCharType="end"/>
      </w:r>
    </w:p>
    <w:p w14:paraId="7E43801E" w14:textId="77777777" w:rsidR="002F7B87" w:rsidRDefault="002F7B87">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b</w:t>
      </w:r>
      <w:r>
        <w:rPr>
          <w:rFonts w:asciiTheme="minorHAnsi" w:eastAsiaTheme="minorEastAsia" w:hAnsiTheme="minorHAnsi" w:cstheme="minorBidi"/>
          <w:noProof/>
          <w:szCs w:val="24"/>
          <w:lang w:val="en-US" w:eastAsia="ja-JP"/>
        </w:rPr>
        <w:tab/>
      </w:r>
      <w:r>
        <w:rPr>
          <w:noProof/>
        </w:rPr>
        <w:t>Elimnate TBD</w:t>
      </w:r>
      <w:r>
        <w:rPr>
          <w:noProof/>
        </w:rPr>
        <w:tab/>
      </w:r>
      <w:r>
        <w:rPr>
          <w:noProof/>
        </w:rPr>
        <w:fldChar w:fldCharType="begin"/>
      </w:r>
      <w:r>
        <w:rPr>
          <w:noProof/>
        </w:rPr>
        <w:instrText xml:space="preserve"> PAGEREF _Toc282857619 \h </w:instrText>
      </w:r>
      <w:r>
        <w:rPr>
          <w:noProof/>
        </w:rPr>
      </w:r>
      <w:r>
        <w:rPr>
          <w:noProof/>
        </w:rPr>
        <w:fldChar w:fldCharType="separate"/>
      </w:r>
      <w:r>
        <w:rPr>
          <w:noProof/>
        </w:rPr>
        <w:t>3</w:t>
      </w:r>
      <w:r>
        <w:rPr>
          <w:noProof/>
        </w:rPr>
        <w:fldChar w:fldCharType="end"/>
      </w:r>
    </w:p>
    <w:p w14:paraId="7E96ED30" w14:textId="77777777" w:rsidR="002F7B87" w:rsidRDefault="002F7B87">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c</w:t>
      </w:r>
      <w:r>
        <w:rPr>
          <w:rFonts w:asciiTheme="minorHAnsi" w:eastAsiaTheme="minorEastAsia" w:hAnsiTheme="minorHAnsi" w:cstheme="minorBidi"/>
          <w:noProof/>
          <w:szCs w:val="24"/>
          <w:lang w:val="en-US" w:eastAsia="ja-JP"/>
        </w:rPr>
        <w:tab/>
      </w:r>
      <w:r>
        <w:rPr>
          <w:noProof/>
        </w:rPr>
        <w:t>GLK STA versus Transmission</w:t>
      </w:r>
      <w:r>
        <w:rPr>
          <w:noProof/>
        </w:rPr>
        <w:tab/>
      </w:r>
      <w:r>
        <w:rPr>
          <w:noProof/>
        </w:rPr>
        <w:fldChar w:fldCharType="begin"/>
      </w:r>
      <w:r>
        <w:rPr>
          <w:noProof/>
        </w:rPr>
        <w:instrText xml:space="preserve"> PAGEREF _Toc282857620 \h </w:instrText>
      </w:r>
      <w:r>
        <w:rPr>
          <w:noProof/>
        </w:rPr>
      </w:r>
      <w:r>
        <w:rPr>
          <w:noProof/>
        </w:rPr>
        <w:fldChar w:fldCharType="separate"/>
      </w:r>
      <w:r>
        <w:rPr>
          <w:noProof/>
        </w:rPr>
        <w:t>3</w:t>
      </w:r>
      <w:r>
        <w:rPr>
          <w:noProof/>
        </w:rPr>
        <w:fldChar w:fldCharType="end"/>
      </w:r>
    </w:p>
    <w:p w14:paraId="7F165906" w14:textId="77777777" w:rsidR="002F7B87" w:rsidRDefault="002F7B87">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d</w:t>
      </w:r>
      <w:r>
        <w:rPr>
          <w:rFonts w:asciiTheme="minorHAnsi" w:eastAsiaTheme="minorEastAsia" w:hAnsiTheme="minorHAnsi" w:cstheme="minorBidi"/>
          <w:noProof/>
          <w:szCs w:val="24"/>
          <w:lang w:val="en-US" w:eastAsia="ja-JP"/>
        </w:rPr>
        <w:tab/>
      </w:r>
      <w:r>
        <w:rPr>
          <w:noProof/>
        </w:rPr>
        <w:t>9.42 SYNRA address filtering</w:t>
      </w:r>
      <w:r>
        <w:rPr>
          <w:noProof/>
        </w:rPr>
        <w:tab/>
      </w:r>
      <w:r>
        <w:rPr>
          <w:noProof/>
        </w:rPr>
        <w:fldChar w:fldCharType="begin"/>
      </w:r>
      <w:r>
        <w:rPr>
          <w:noProof/>
        </w:rPr>
        <w:instrText xml:space="preserve"> PAGEREF _Toc282857621 \h </w:instrText>
      </w:r>
      <w:r>
        <w:rPr>
          <w:noProof/>
        </w:rPr>
      </w:r>
      <w:r>
        <w:rPr>
          <w:noProof/>
        </w:rPr>
        <w:fldChar w:fldCharType="separate"/>
      </w:r>
      <w:r>
        <w:rPr>
          <w:noProof/>
        </w:rPr>
        <w:t>4</w:t>
      </w:r>
      <w:r>
        <w:rPr>
          <w:noProof/>
        </w:rPr>
        <w:fldChar w:fldCharType="end"/>
      </w:r>
    </w:p>
    <w:p w14:paraId="17622E7F" w14:textId="77777777" w:rsidR="002F7B87" w:rsidRDefault="002F7B87">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e</w:t>
      </w:r>
      <w:r>
        <w:rPr>
          <w:rFonts w:asciiTheme="minorHAnsi" w:eastAsiaTheme="minorEastAsia" w:hAnsiTheme="minorHAnsi" w:cstheme="minorBidi"/>
          <w:noProof/>
          <w:szCs w:val="24"/>
          <w:lang w:val="en-US" w:eastAsia="ja-JP"/>
        </w:rPr>
        <w:tab/>
      </w:r>
      <w:r>
        <w:rPr>
          <w:noProof/>
        </w:rPr>
        <w:t>MMRP</w:t>
      </w:r>
      <w:r>
        <w:rPr>
          <w:noProof/>
        </w:rPr>
        <w:tab/>
      </w:r>
      <w:r>
        <w:rPr>
          <w:noProof/>
        </w:rPr>
        <w:fldChar w:fldCharType="begin"/>
      </w:r>
      <w:r>
        <w:rPr>
          <w:noProof/>
        </w:rPr>
        <w:instrText xml:space="preserve"> PAGEREF _Toc282857622 \h </w:instrText>
      </w:r>
      <w:r>
        <w:rPr>
          <w:noProof/>
        </w:rPr>
      </w:r>
      <w:r>
        <w:rPr>
          <w:noProof/>
        </w:rPr>
        <w:fldChar w:fldCharType="separate"/>
      </w:r>
      <w:r>
        <w:rPr>
          <w:noProof/>
        </w:rPr>
        <w:t>5</w:t>
      </w:r>
      <w:r>
        <w:rPr>
          <w:noProof/>
        </w:rPr>
        <w:fldChar w:fldCharType="end"/>
      </w:r>
    </w:p>
    <w:p w14:paraId="5EDE4D24" w14:textId="754C1CF9" w:rsidR="00746D6C" w:rsidRDefault="002F7B87" w:rsidP="00FF19EF">
      <w:pPr>
        <w:jc w:val="both"/>
        <w:rPr>
          <w:sz w:val="36"/>
        </w:rPr>
      </w:pPr>
      <w:r>
        <w:rPr>
          <w:sz w:val="36"/>
        </w:rPr>
        <w:fldChar w:fldCharType="end"/>
      </w:r>
      <w:r w:rsidR="00746D6C">
        <w:rPr>
          <w:sz w:val="36"/>
        </w:rPr>
        <w:br w:type="page"/>
      </w:r>
    </w:p>
    <w:p w14:paraId="12DA52F0" w14:textId="77777777" w:rsidR="00746D6C" w:rsidRPr="007B3CCA" w:rsidRDefault="00746D6C" w:rsidP="00706927">
      <w:pPr>
        <w:jc w:val="both"/>
        <w:rPr>
          <w:sz w:val="36"/>
        </w:rPr>
      </w:pPr>
    </w:p>
    <w:p w14:paraId="004E974D" w14:textId="39942DA3" w:rsidR="00E10F75" w:rsidRDefault="00E10F75" w:rsidP="007B3CCA">
      <w:pPr>
        <w:pStyle w:val="Heading1"/>
      </w:pPr>
      <w:bookmarkStart w:id="1" w:name="_Toc282857618"/>
      <w:r>
        <w:t>IBSS Selective Reception</w:t>
      </w:r>
      <w:bookmarkEnd w:id="1"/>
    </w:p>
    <w:p w14:paraId="0AB4E4A8" w14:textId="77777777" w:rsidR="007B3CCA" w:rsidRDefault="007B3CCA" w:rsidP="007B3CCA"/>
    <w:p w14:paraId="4FB5546A" w14:textId="71C4E854" w:rsidR="007B3CCA" w:rsidRPr="007B3CCA" w:rsidRDefault="007B3CCA" w:rsidP="00AA2D59">
      <w:pPr>
        <w:pStyle w:val="EditorNote"/>
      </w:pPr>
      <w:r>
        <w:t xml:space="preserve">Editorial Note: These changes clarify that selective reception is available in an IBSS, since an IBSS STA can send MSDUs via group addressed MPDUs to </w:t>
      </w:r>
      <w:proofErr w:type="spellStart"/>
      <w:r>
        <w:t>multilple</w:t>
      </w:r>
      <w:proofErr w:type="spellEnd"/>
      <w:r>
        <w:t xml:space="preserve"> other IBBS STAs.</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Pr="00E10F75" w:rsidRDefault="00E10F75" w:rsidP="00706927">
      <w:pPr>
        <w:jc w:val="both"/>
        <w:rPr>
          <w:b/>
          <w:i/>
        </w:rPr>
      </w:pPr>
    </w:p>
    <w:p w14:paraId="40AA70E2" w14:textId="30586E25" w:rsidR="00E10F75" w:rsidRDefault="00E10F75" w:rsidP="00706927">
      <w:pPr>
        <w:jc w:val="both"/>
      </w:pPr>
      <w:r>
        <w:t xml:space="preserve">Also, since the AP </w:t>
      </w:r>
      <w:r w:rsidRPr="00E10F75">
        <w:rPr>
          <w:u w:val="single"/>
        </w:rPr>
        <w:t>or IBSS</w:t>
      </w:r>
      <w:r>
        <w:t xml:space="preserve"> ISS SAP</w:t>
      </w:r>
      <w:r w:rsidRPr="002523F7">
        <w:t xml:space="preserve"> </w:t>
      </w:r>
      <w:r>
        <w:t>is mapped</w:t>
      </w:r>
      <w:r w:rsidRPr="002523F7">
        <w:t xml:space="preserve"> to 802.1Q Bridge</w:t>
      </w:r>
      <w:r>
        <w:t xml:space="preserve"> ports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53118D63" w14:textId="77777777" w:rsidR="0021408C" w:rsidRDefault="0021408C" w:rsidP="00706927">
      <w:pPr>
        <w:jc w:val="both"/>
      </w:pPr>
    </w:p>
    <w:p w14:paraId="2DC9FD30" w14:textId="2222B9B4" w:rsidR="00F064A4" w:rsidRPr="00F064A4" w:rsidRDefault="00F064A4" w:rsidP="00706927">
      <w:pPr>
        <w:jc w:val="both"/>
        <w:rPr>
          <w:b/>
          <w:i/>
        </w:rPr>
      </w:pPr>
      <w:r w:rsidRPr="00F064A4">
        <w:rPr>
          <w:b/>
          <w:i/>
        </w:rPr>
        <w:t xml:space="preserve">Add </w:t>
      </w:r>
      <w:r>
        <w:rPr>
          <w:b/>
          <w:i/>
        </w:rPr>
        <w:t>a new paragraph</w:t>
      </w:r>
      <w:r w:rsidRPr="00F064A4">
        <w:rPr>
          <w:b/>
          <w:i/>
        </w:rPr>
        <w:t xml:space="preserve"> </w:t>
      </w:r>
      <w:r>
        <w:rPr>
          <w:b/>
          <w:i/>
        </w:rPr>
        <w:t>after the first paragraph of</w:t>
      </w:r>
      <w:r w:rsidRPr="00F064A4">
        <w:rPr>
          <w:b/>
          <w:i/>
        </w:rPr>
        <w:t xml:space="preserve"> Clause 4.3.23.4.2 as follows:</w:t>
      </w:r>
    </w:p>
    <w:p w14:paraId="4D6DB65B" w14:textId="77777777" w:rsidR="00F064A4" w:rsidRDefault="00F064A4" w:rsidP="00706927">
      <w:pPr>
        <w:jc w:val="both"/>
      </w:pPr>
    </w:p>
    <w:p w14:paraId="2031357A" w14:textId="625A5FB6" w:rsidR="00BC44CD" w:rsidRDefault="00BC44CD" w:rsidP="00BC44CD">
      <w:pPr>
        <w:pStyle w:val="EditorNote"/>
      </w:pPr>
      <w:r>
        <w:t>Editorial Note: This is to add for IBSS the same sort of statement as is in 4.3.23.4.3 for infrastructure.</w:t>
      </w:r>
    </w:p>
    <w:p w14:paraId="37C36AB3" w14:textId="77777777" w:rsidR="00BC44CD" w:rsidRDefault="00BC44CD" w:rsidP="00706927">
      <w:pPr>
        <w:jc w:val="both"/>
      </w:pPr>
    </w:p>
    <w:p w14:paraId="26F4517F" w14:textId="175F8E2F" w:rsidR="00F064A4" w:rsidRDefault="00651477" w:rsidP="00706927">
      <w:pPr>
        <w:jc w:val="both"/>
      </w:pPr>
      <w:r>
        <w:t xml:space="preserve">As discussed generally in 4.3.23.3 and in 4.3.23.4.3 for APs, a GLK IBSS STA transmitting an MSDU to other GLK IBSS STAs within an MPDU with a group addressed RA uses a SYNRA to simulate separate </w:t>
      </w:r>
      <w:r w:rsidR="00F2366F">
        <w:t xml:space="preserve">logical </w:t>
      </w:r>
      <w:r>
        <w:t>links to each</w:t>
      </w:r>
      <w:r w:rsidR="00F2366F">
        <w:t xml:space="preserve"> receiving GLK IBSS STA.</w:t>
      </w:r>
    </w:p>
    <w:p w14:paraId="3EC7631B" w14:textId="77777777" w:rsidR="00B36273" w:rsidRDefault="00B36273" w:rsidP="00706927">
      <w:pPr>
        <w:jc w:val="both"/>
      </w:pPr>
    </w:p>
    <w:p w14:paraId="6635F7AE" w14:textId="47DE303D" w:rsidR="00B36273" w:rsidRDefault="00B36273" w:rsidP="007708A3">
      <w:pPr>
        <w:pStyle w:val="Heading1"/>
      </w:pPr>
      <w:bookmarkStart w:id="2" w:name="_Toc282857619"/>
      <w:proofErr w:type="spellStart"/>
      <w:r>
        <w:t>Elimnate</w:t>
      </w:r>
      <w:proofErr w:type="spellEnd"/>
      <w:r>
        <w:t xml:space="preserve"> TBD</w:t>
      </w:r>
      <w:bookmarkEnd w:id="2"/>
    </w:p>
    <w:p w14:paraId="63B8E962" w14:textId="77777777" w:rsidR="00B36273" w:rsidRDefault="00B36273" w:rsidP="00706927">
      <w:pPr>
        <w:jc w:val="both"/>
      </w:pPr>
    </w:p>
    <w:p w14:paraId="492CD132" w14:textId="54236C62" w:rsidR="00E27FE8" w:rsidRDefault="00E27FE8" w:rsidP="00E27FE8">
      <w:pPr>
        <w:pStyle w:val="EditorNote"/>
      </w:pPr>
      <w:r>
        <w:t>Editorial Note: This appears to be the only explicit “TBD” in D0.06</w:t>
      </w:r>
      <w:r w:rsidR="00BC44CD">
        <w:t xml:space="preserve"> except in the front matter and the MIB</w:t>
      </w:r>
      <w:bookmarkStart w:id="3" w:name="_GoBack"/>
      <w:bookmarkEnd w:id="3"/>
      <w:r>
        <w:t>.</w:t>
      </w:r>
    </w:p>
    <w:p w14:paraId="7D7BC6B6" w14:textId="77777777" w:rsidR="00E27FE8" w:rsidRDefault="00E27FE8" w:rsidP="00706927">
      <w:pPr>
        <w:jc w:val="both"/>
      </w:pPr>
    </w:p>
    <w:p w14:paraId="23EB517A" w14:textId="3FCB15CE" w:rsidR="00B36273" w:rsidRPr="007708A3" w:rsidRDefault="00B36273" w:rsidP="00706927">
      <w:pPr>
        <w:jc w:val="both"/>
        <w:rPr>
          <w:b/>
          <w:i/>
        </w:rPr>
      </w:pPr>
      <w:r w:rsidRPr="007708A3">
        <w:rPr>
          <w:b/>
          <w:i/>
        </w:rPr>
        <w:t xml:space="preserve">Change 8.4.2.3 table entry for </w:t>
      </w:r>
      <w:r w:rsidR="007708A3" w:rsidRPr="007708A3">
        <w:rPr>
          <w:b/>
          <w:i/>
        </w:rPr>
        <w:t>GLK, Interpretation column as follows:</w:t>
      </w:r>
    </w:p>
    <w:p w14:paraId="22E17ED2" w14:textId="77777777" w:rsidR="007708A3" w:rsidRDefault="007708A3" w:rsidP="00706927">
      <w:pPr>
        <w:jc w:val="both"/>
      </w:pPr>
    </w:p>
    <w:p w14:paraId="17244550" w14:textId="1D2DFA79" w:rsidR="007708A3" w:rsidRDefault="007708A3" w:rsidP="00706927">
      <w:pPr>
        <w:jc w:val="both"/>
      </w:pPr>
      <w:r>
        <w:t>S</w:t>
      </w:r>
      <w:r w:rsidRPr="00D50BD3">
        <w:t xml:space="preserve">upport for the mandatory features of </w:t>
      </w:r>
      <w:r w:rsidRPr="007708A3">
        <w:rPr>
          <w:strike/>
        </w:rPr>
        <w:t>Clause TBD</w:t>
      </w:r>
      <w:r w:rsidRPr="00D50BD3">
        <w:t xml:space="preserve"> </w:t>
      </w:r>
      <w:r>
        <w:rPr>
          <w:u w:val="single"/>
        </w:rPr>
        <w:t xml:space="preserve">10.45 </w:t>
      </w:r>
      <w:r w:rsidRPr="00D50BD3">
        <w:t xml:space="preserve">is required in order to join the BSS that was the source of the Supported Rates </w:t>
      </w:r>
      <w:r>
        <w:t xml:space="preserve">and BSS Membership Selectors </w:t>
      </w:r>
      <w:r w:rsidRPr="00D50BD3">
        <w:t xml:space="preserve">element or Extended Supported Rates </w:t>
      </w:r>
      <w:r>
        <w:t xml:space="preserve">and BSS Membership Selectors </w:t>
      </w:r>
      <w:r w:rsidRPr="00D50BD3">
        <w:t>element containing this value.</w:t>
      </w:r>
    </w:p>
    <w:p w14:paraId="3600FD88" w14:textId="77777777" w:rsidR="00F2366F" w:rsidRDefault="00F2366F" w:rsidP="00706927">
      <w:pPr>
        <w:jc w:val="both"/>
      </w:pPr>
    </w:p>
    <w:p w14:paraId="77F927EF" w14:textId="6F880B9B" w:rsidR="005529F4" w:rsidRDefault="00AA2D59" w:rsidP="00AA2D59">
      <w:pPr>
        <w:pStyle w:val="Heading1"/>
      </w:pPr>
      <w:bookmarkStart w:id="4" w:name="_Toc282857620"/>
      <w:r>
        <w:t xml:space="preserve">GLK STA versus </w:t>
      </w:r>
      <w:r w:rsidR="007708A3">
        <w:t>Transmission</w:t>
      </w:r>
      <w:bookmarkEnd w:id="4"/>
    </w:p>
    <w:p w14:paraId="5E62021C" w14:textId="77777777" w:rsidR="00AA2D59" w:rsidRDefault="00AA2D59" w:rsidP="00AA2D59"/>
    <w:p w14:paraId="05B92FDB" w14:textId="17D4C945"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of a mixed infrastructure BSS or IBSS,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10855D93" w:rsidR="00AA2D59" w:rsidRDefault="00605CE6" w:rsidP="00706927">
      <w:pPr>
        <w:jc w:val="both"/>
        <w:rPr>
          <w:color w:val="000000"/>
        </w:rPr>
      </w:pPr>
      <w:r>
        <w:rPr>
          <w:color w:val="000000"/>
          <w:u w:val="single"/>
        </w:rPr>
        <w:lastRenderedPageBreak/>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 xml:space="preserve">If </w:t>
      </w:r>
      <w:proofErr w:type="gramStart"/>
      <w:r w:rsidR="00AA2D59" w:rsidRPr="00605CE6">
        <w:rPr>
          <w:strike/>
          <w:color w:val="000000" w:themeColor="text1"/>
        </w:rPr>
        <w:t>such an MPDU is transmitted by a GLK STA</w:t>
      </w:r>
      <w:r>
        <w:rPr>
          <w:color w:val="000000"/>
        </w:rPr>
        <w:t xml:space="preserve"> </w:t>
      </w:r>
      <w:r w:rsidRPr="00605CE6">
        <w:rPr>
          <w:color w:val="000000"/>
          <w:u w:val="single"/>
        </w:rPr>
        <w:t>In</w:t>
      </w:r>
      <w:r>
        <w:rPr>
          <w:color w:val="000000"/>
          <w:u w:val="single"/>
        </w:rPr>
        <w:t xml:space="preserve"> GLK transmissions</w:t>
      </w:r>
      <w:proofErr w:type="gramEnd"/>
      <w:r w:rsidR="00AA2D59" w:rsidRPr="00AA2D59">
        <w:rPr>
          <w:color w:val="000000"/>
        </w:rPr>
        <w:t>, the Address 1 field may be group addressed.</w:t>
      </w:r>
    </w:p>
    <w:p w14:paraId="60E52728" w14:textId="77777777" w:rsidR="00AA2D59" w:rsidRDefault="00AA2D59" w:rsidP="00706927">
      <w:pPr>
        <w:jc w:val="both"/>
        <w:rPr>
          <w:color w:val="000000"/>
        </w:rPr>
      </w:pPr>
    </w:p>
    <w:p w14:paraId="673F2DD1" w14:textId="06C0918E" w:rsidR="00AA2D59" w:rsidRPr="00746D6C" w:rsidRDefault="00AA2D59" w:rsidP="00706927">
      <w:pPr>
        <w:jc w:val="both"/>
        <w:rPr>
          <w:b/>
          <w:i/>
          <w:color w:val="000000"/>
        </w:rPr>
      </w:pPr>
      <w:r w:rsidRPr="00746D6C">
        <w:rPr>
          <w:b/>
          <w:i/>
          <w:color w:val="000000"/>
        </w:rPr>
        <w:t>Change text in Clause 9.13</w:t>
      </w:r>
      <w:r w:rsidR="00746D6C" w:rsidRPr="00746D6C">
        <w:rPr>
          <w:b/>
          <w:i/>
          <w:color w:val="000000"/>
        </w:rPr>
        <w:t xml:space="preserve">.4 </w:t>
      </w:r>
      <w:r w:rsidR="00746D6C" w:rsidRPr="00746D6C">
        <w:rPr>
          <w:b/>
          <w:color w:val="000000"/>
        </w:rPr>
        <w:t xml:space="preserve">A-MPDU aggregation of group addressed data </w:t>
      </w:r>
      <w:r w:rsidR="00746D6C" w:rsidRPr="00746D6C">
        <w:rPr>
          <w:b/>
          <w:i/>
          <w:color w:val="000000"/>
        </w:rPr>
        <w:t>as follows:</w:t>
      </w:r>
    </w:p>
    <w:p w14:paraId="60802DBC" w14:textId="77777777" w:rsidR="00746D6C" w:rsidRDefault="00746D6C" w:rsidP="00706927">
      <w:pPr>
        <w:jc w:val="both"/>
        <w:rPr>
          <w:color w:val="000000"/>
        </w:rPr>
      </w:pPr>
    </w:p>
    <w:p w14:paraId="3DBE976D" w14:textId="7EAA43AF" w:rsidR="00746D6C" w:rsidRPr="00746D6C" w:rsidRDefault="00746D6C" w:rsidP="00746D6C">
      <w:r w:rsidRPr="00746D6C">
        <w:t xml:space="preserve">A STA </w:t>
      </w:r>
      <w:r w:rsidRPr="00746D6C">
        <w:rPr>
          <w:strike/>
        </w:rPr>
        <w:t>that is a DMG STA or a GLK</w:t>
      </w:r>
      <w:r w:rsidRPr="00746D6C">
        <w:t xml:space="preserve"> may transmit an A-MPDU containing MPDUs with a group addressed RA</w:t>
      </w:r>
      <w:r>
        <w:t xml:space="preserve"> </w:t>
      </w:r>
      <w:r w:rsidRPr="00746D6C">
        <w:rPr>
          <w:u w:val="single"/>
        </w:rPr>
        <w:t>if it is (a) a DMG STA or (b) a GLK STA transmitting to a GLK STA</w:t>
      </w:r>
      <w:r w:rsidRPr="00746D6C">
        <w:t>.</w:t>
      </w:r>
    </w:p>
    <w:p w14:paraId="42E81098" w14:textId="77777777" w:rsidR="00746D6C" w:rsidRDefault="00746D6C" w:rsidP="00706927">
      <w:pPr>
        <w:jc w:val="both"/>
      </w:pPr>
    </w:p>
    <w:p w14:paraId="6A0635EA" w14:textId="61BF3A37" w:rsidR="00746D6C" w:rsidRDefault="00746D6C" w:rsidP="006F7545">
      <w:pPr>
        <w:pStyle w:val="Heading1"/>
      </w:pPr>
      <w:bookmarkStart w:id="5" w:name="_Toc282857621"/>
      <w:r>
        <w:t>9.42 SYNRA address filtering</w:t>
      </w:r>
      <w:bookmarkEnd w:id="5"/>
    </w:p>
    <w:p w14:paraId="48A9B327" w14:textId="77777777" w:rsidR="00AF65D3" w:rsidRDefault="00AF65D3" w:rsidP="00AF65D3">
      <w:pPr>
        <w:jc w:val="both"/>
      </w:pPr>
    </w:p>
    <w:p w14:paraId="314ACAD7" w14:textId="77777777" w:rsidR="00AF65D3" w:rsidRPr="00AF65D3" w:rsidRDefault="00AF65D3" w:rsidP="00AF65D3">
      <w:pPr>
        <w:rPr>
          <w:b/>
          <w:i/>
        </w:rPr>
      </w:pPr>
      <w:r w:rsidRPr="00AF65D3">
        <w:rPr>
          <w:b/>
          <w:i/>
        </w:rPr>
        <w:t>Change text as follows:</w:t>
      </w:r>
    </w:p>
    <w:p w14:paraId="00293EF4" w14:textId="77777777" w:rsidR="00746D6C" w:rsidRDefault="00746D6C" w:rsidP="00706927">
      <w:pPr>
        <w:jc w:val="both"/>
      </w:pPr>
    </w:p>
    <w:p w14:paraId="6A95375B" w14:textId="59E815C8" w:rsidR="006F7545" w:rsidRDefault="00AF65D3" w:rsidP="00AF65D3">
      <w:pPr>
        <w:pStyle w:val="EditorNote"/>
      </w:pPr>
      <w:r>
        <w:t xml:space="preserve">Editorial Note: </w:t>
      </w:r>
      <w:r w:rsidR="007708A3">
        <w:t>The text in Clause 9.2.8 as amended by D0.06 includes validation of the BSSID but only for non-SYNRA Address 1. So that needs to be added to 9.42</w:t>
      </w:r>
      <w:r>
        <w:t xml:space="preserve"> (not sure if we need the stuff about OCB)</w:t>
      </w:r>
      <w:r w:rsidR="007708A3">
        <w:t>.</w:t>
      </w:r>
    </w:p>
    <w:p w14:paraId="61ACA57E" w14:textId="77777777" w:rsidR="00AF65D3" w:rsidRDefault="00AF65D3" w:rsidP="007708A3"/>
    <w:p w14:paraId="549AD89A" w14:textId="62FA53AA" w:rsidR="007708A3" w:rsidRDefault="007708A3" w:rsidP="007708A3">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r w:rsidRPr="00147B02">
        <w:t xml:space="preserve"> If the </w:t>
      </w:r>
      <w:proofErr w:type="spellStart"/>
      <w:r w:rsidRPr="00147B02">
        <w:t>ToDS</w:t>
      </w:r>
      <w:proofErr w:type="spellEnd"/>
      <w:r w:rsidRPr="00147B02">
        <w:t xml:space="preserve"> bit is zero, the MPDU is discarded. The structure of a SYNRA is shown in Figure 9-90-SYNRA structure.</w:t>
      </w:r>
    </w:p>
    <w:p w14:paraId="356BDEE1" w14:textId="77777777" w:rsidR="00AF65D3" w:rsidRDefault="00AF65D3" w:rsidP="00AF65D3">
      <w:pPr>
        <w:jc w:val="both"/>
      </w:pPr>
    </w:p>
    <w:p w14:paraId="065236AF" w14:textId="77777777" w:rsidR="00AF65D3" w:rsidRPr="006F7545" w:rsidRDefault="00AF65D3" w:rsidP="00AF65D3">
      <w:pPr>
        <w:jc w:val="both"/>
        <w:rPr>
          <w:b/>
          <w:i/>
        </w:rPr>
      </w:pPr>
      <w:r w:rsidRPr="006F7545">
        <w:rPr>
          <w:b/>
          <w:i/>
        </w:rPr>
        <w:t>Change text as follows:</w:t>
      </w:r>
    </w:p>
    <w:p w14:paraId="2400A2F7" w14:textId="77777777" w:rsidR="007708A3" w:rsidRDefault="007708A3" w:rsidP="00706927">
      <w:pPr>
        <w:jc w:val="both"/>
      </w:pPr>
    </w:p>
    <w:p w14:paraId="3E4898A6" w14:textId="7CA88E6D" w:rsidR="006F7545" w:rsidRDefault="007708A3" w:rsidP="002110A0">
      <w:pPr>
        <w:pStyle w:val="EditorNote"/>
      </w:pPr>
      <w:r>
        <w:t>Editorial N</w:t>
      </w:r>
      <w:r w:rsidR="006F7545">
        <w:t>ote: The text for SYNRA type zero does not clearly state what happens if the receiver AID is outside of the limited range covered by the 22-bit array.</w:t>
      </w:r>
    </w:p>
    <w:p w14:paraId="66EFADBF" w14:textId="77777777" w:rsidR="006F7545" w:rsidRDefault="006F7545" w:rsidP="00706927">
      <w:pPr>
        <w:jc w:val="both"/>
      </w:pPr>
    </w:p>
    <w:p w14:paraId="4FD62C7B" w14:textId="5B723D75" w:rsidR="00746D6C" w:rsidRPr="00147B02" w:rsidRDefault="00746D6C" w:rsidP="00746D6C">
      <w:r w:rsidRPr="00147B02">
        <w:t xml:space="preserve">If the SYNRA type is zero, the SYNRA control field is a bit array indicating which receivers in the AID range 1000 to 1021 </w:t>
      </w:r>
      <w:proofErr w:type="gramStart"/>
      <w:r w:rsidRPr="00147B02">
        <w:t>are</w:t>
      </w:r>
      <w:proofErr w:type="gramEnd"/>
      <w:r w:rsidRPr="00147B02">
        <w:t xml:space="preserve"> to accept the MPDU. B26 corresponds to AID 1000 and B47 corresponds to AID 1021. </w:t>
      </w:r>
      <w:r>
        <w:rPr>
          <w:u w:val="single"/>
        </w:rPr>
        <w:t>For this SYNRA type, receivers will an AID l</w:t>
      </w:r>
      <w:r w:rsidR="006F7545">
        <w:rPr>
          <w:u w:val="single"/>
        </w:rPr>
        <w:t>ess than 1000 or greater than 10</w:t>
      </w:r>
      <w:r>
        <w:rPr>
          <w:u w:val="single"/>
        </w:rPr>
        <w:t xml:space="preserve">21 shall discard the MPDU. </w:t>
      </w:r>
      <w:r w:rsidRPr="00147B02">
        <w:t>If the bit corresponding to an AID is 0, the STA having that AID for its association with the transmitter shall discard the MPDU. If the bit is a 1, the MPDU passes the address 1 filter.</w:t>
      </w:r>
    </w:p>
    <w:p w14:paraId="7458165E" w14:textId="77777777" w:rsidR="00746D6C" w:rsidRDefault="00746D6C" w:rsidP="00706927">
      <w:pPr>
        <w:jc w:val="both"/>
      </w:pPr>
    </w:p>
    <w:p w14:paraId="175EEF3B" w14:textId="4AFE05E3" w:rsidR="006F7545" w:rsidRPr="006F7545" w:rsidRDefault="006F7545" w:rsidP="00706927">
      <w:pPr>
        <w:jc w:val="both"/>
        <w:rPr>
          <w:b/>
          <w:i/>
        </w:rPr>
      </w:pPr>
      <w:r w:rsidRPr="006F7545">
        <w:rPr>
          <w:b/>
          <w:i/>
        </w:rPr>
        <w:t>Change text as follows:</w:t>
      </w:r>
    </w:p>
    <w:p w14:paraId="61E9375E" w14:textId="77777777" w:rsidR="006F7545" w:rsidRDefault="006F7545" w:rsidP="00706927">
      <w:pPr>
        <w:jc w:val="both"/>
      </w:pPr>
    </w:p>
    <w:p w14:paraId="022C5DD1" w14:textId="38463EC7" w:rsidR="006F7545" w:rsidRPr="00147B02" w:rsidRDefault="006F7545" w:rsidP="006F7545">
      <w:r w:rsidRPr="00147B02">
        <w:t xml:space="preserve">If the SYNRA type is 1, the Extended SYNRA Information is a vector of bits representing AIDs whose length in octets is equal to the Extended SYNRA Size subfield. This size may be zero, in which case all receivers </w:t>
      </w:r>
      <w:r w:rsidRPr="006F7545">
        <w:rPr>
          <w:u w:val="single"/>
        </w:rPr>
        <w:t>shall</w:t>
      </w:r>
      <w:r>
        <w:t xml:space="preserve"> </w:t>
      </w:r>
      <w:r w:rsidRPr="00147B02">
        <w:t>discard the MPDU. If this size is non-zero, bit 0 of the vector represents the 14-bit AID (see 8.4.1.8) contained in the 14-bit Extended SYNRA Second subfield.  Subsequent bits of the vector represent AIDs formed by the sum of the bit index and the Extended SYNRA Second subfield treated as an unsigned integer. If the bit corresponding to an AID is 0, the station with that AID assigned to its association with the transmitter discards the MPDU. If the bit is a 1, the MPDU passes the Address 1 filter.</w:t>
      </w:r>
      <w:r>
        <w:t xml:space="preserve"> </w:t>
      </w:r>
      <w:r w:rsidRPr="006F7545">
        <w:rPr>
          <w:u w:val="single"/>
        </w:rPr>
        <w:t>Any</w:t>
      </w:r>
      <w:r>
        <w:rPr>
          <w:u w:val="single"/>
        </w:rPr>
        <w:t xml:space="preserve"> bits in the Extended SYNRA </w:t>
      </w:r>
      <w:r>
        <w:rPr>
          <w:u w:val="single"/>
        </w:rPr>
        <w:lastRenderedPageBreak/>
        <w:t xml:space="preserve">Information shall be ignored if they correspond to an AID of greater than </w:t>
      </w:r>
      <w:proofErr w:type="gramStart"/>
      <w:r>
        <w:rPr>
          <w:u w:val="single"/>
        </w:rPr>
        <w:t>2007  for</w:t>
      </w:r>
      <w:proofErr w:type="gramEnd"/>
      <w:r>
        <w:rPr>
          <w:u w:val="single"/>
        </w:rPr>
        <w:t xml:space="preserve"> a non-DMG STA or greater than 254 for a DMG STA.</w:t>
      </w:r>
    </w:p>
    <w:p w14:paraId="64DAF7B7" w14:textId="77777777" w:rsidR="006F7545" w:rsidRDefault="006F7545" w:rsidP="00706927">
      <w:pPr>
        <w:jc w:val="both"/>
      </w:pPr>
    </w:p>
    <w:p w14:paraId="5AF0B9D7" w14:textId="5FB46FD4" w:rsidR="006F7545" w:rsidRDefault="006F7545" w:rsidP="002110A0">
      <w:pPr>
        <w:pStyle w:val="EditorNote"/>
      </w:pPr>
      <w:r>
        <w:t xml:space="preserve">Editorial Note: </w:t>
      </w:r>
      <w:r w:rsidR="002110A0">
        <w:t>“</w:t>
      </w:r>
      <w:r>
        <w:t>254</w:t>
      </w:r>
      <w:r w:rsidR="002110A0">
        <w:t>”</w:t>
      </w:r>
      <w:r>
        <w:t xml:space="preserve"> really </w:t>
      </w:r>
      <w:r w:rsidR="002110A0">
        <w:t xml:space="preserve">is </w:t>
      </w:r>
      <w:r>
        <w:t>correct above. AID 255 is reserved as the broadcast AID for DMG STAs.</w:t>
      </w:r>
    </w:p>
    <w:p w14:paraId="09566DC5" w14:textId="77777777" w:rsidR="006F7545" w:rsidRDefault="006F7545" w:rsidP="00706927">
      <w:pPr>
        <w:jc w:val="both"/>
      </w:pPr>
    </w:p>
    <w:p w14:paraId="283F23F2" w14:textId="6CD2E3A3" w:rsidR="00FF19EF" w:rsidRDefault="00FF19EF" w:rsidP="00FF19EF">
      <w:pPr>
        <w:pStyle w:val="Heading1"/>
      </w:pPr>
      <w:bookmarkStart w:id="6" w:name="_Toc282857622"/>
      <w:r>
        <w:t>MMRP</w:t>
      </w:r>
      <w:bookmarkEnd w:id="6"/>
    </w:p>
    <w:p w14:paraId="5B15C27C" w14:textId="77777777" w:rsidR="00FF19EF" w:rsidRDefault="00FF19EF" w:rsidP="00706927">
      <w:pPr>
        <w:jc w:val="both"/>
      </w:pPr>
    </w:p>
    <w:p w14:paraId="6E48C425" w14:textId="61CBC48A"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601EB4DB" w:rsidR="00FF19EF" w:rsidRDefault="00FF19EF" w:rsidP="00706927">
      <w:pPr>
        <w:jc w:val="both"/>
      </w:pPr>
      <w:r>
        <w:t>MMRP</w:t>
      </w:r>
      <w:r>
        <w:tab/>
      </w:r>
      <w:r>
        <w:tab/>
      </w:r>
      <w:r>
        <w:tab/>
        <w:t xml:space="preserve">Multiple Mac Registration Protocol (IEEE </w:t>
      </w:r>
      <w:proofErr w:type="spellStart"/>
      <w:r>
        <w:t>Std</w:t>
      </w:r>
      <w:proofErr w:type="spellEnd"/>
      <w:r>
        <w:t xml:space="preserve"> 802.1Q-2011)</w:t>
      </w:r>
    </w:p>
    <w:p w14:paraId="18CBDE60" w14:textId="77777777" w:rsidR="00FF19EF" w:rsidRDefault="00FF19EF" w:rsidP="00706927">
      <w:pPr>
        <w:jc w:val="both"/>
      </w:pPr>
    </w:p>
    <w:p w14:paraId="06837D98" w14:textId="77777777" w:rsidR="00FF19EF" w:rsidRPr="00AA2D59" w:rsidRDefault="00FF19EF" w:rsidP="00706927">
      <w:pPr>
        <w:jc w:val="both"/>
      </w:pPr>
    </w:p>
    <w:sectPr w:rsidR="00FF19EF"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FF19EF" w:rsidRDefault="00FF19EF">
      <w:r>
        <w:separator/>
      </w:r>
    </w:p>
  </w:endnote>
  <w:endnote w:type="continuationSeparator" w:id="0">
    <w:p w14:paraId="4248402F" w14:textId="77777777" w:rsidR="00FF19EF" w:rsidRDefault="00FF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FF19EF" w:rsidRDefault="00BC44CD">
    <w:pPr>
      <w:pStyle w:val="Footer"/>
      <w:tabs>
        <w:tab w:val="clear" w:pos="6480"/>
        <w:tab w:val="center" w:pos="4680"/>
        <w:tab w:val="right" w:pos="9360"/>
      </w:tabs>
    </w:pPr>
    <w:r>
      <w:fldChar w:fldCharType="begin"/>
    </w:r>
    <w:r>
      <w:instrText xml:space="preserve"> SUBJECT  \* MERGEFORMAT </w:instrText>
    </w:r>
    <w:r>
      <w:fldChar w:fldCharType="separate"/>
    </w:r>
    <w:r w:rsidR="00FF19EF">
      <w:t>Submission</w:t>
    </w:r>
    <w:r>
      <w:fldChar w:fldCharType="end"/>
    </w:r>
    <w:r w:rsidR="00FF19EF">
      <w:tab/>
      <w:t xml:space="preserve">page </w:t>
    </w:r>
    <w:r w:rsidR="00FF19EF">
      <w:fldChar w:fldCharType="begin"/>
    </w:r>
    <w:r w:rsidR="00FF19EF">
      <w:instrText xml:space="preserve">page </w:instrText>
    </w:r>
    <w:r w:rsidR="00FF19EF">
      <w:fldChar w:fldCharType="separate"/>
    </w:r>
    <w:r>
      <w:rPr>
        <w:noProof/>
      </w:rPr>
      <w:t>3</w:t>
    </w:r>
    <w:r w:rsidR="00FF19EF">
      <w:fldChar w:fldCharType="end"/>
    </w:r>
    <w:r w:rsidR="00FF19EF">
      <w:tab/>
    </w:r>
    <w:r>
      <w:fldChar w:fldCharType="begin"/>
    </w:r>
    <w:r>
      <w:instrText xml:space="preserve"> COMMENTS  \* MERGEFORMAT </w:instrText>
    </w:r>
    <w:r>
      <w:fldChar w:fldCharType="separate"/>
    </w:r>
    <w:r w:rsidR="00FF19EF">
      <w:t>Donald Eastlake, Huawei Technologies</w:t>
    </w:r>
    <w:r>
      <w:fldChar w:fldCharType="end"/>
    </w:r>
  </w:p>
  <w:p w14:paraId="087CF5B6" w14:textId="77777777" w:rsidR="00FF19EF" w:rsidRDefault="00FF19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FF19EF" w:rsidRDefault="00FF19EF">
      <w:r>
        <w:separator/>
      </w:r>
    </w:p>
  </w:footnote>
  <w:footnote w:type="continuationSeparator" w:id="0">
    <w:p w14:paraId="152C7D88" w14:textId="77777777" w:rsidR="00FF19EF" w:rsidRDefault="00FF19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FF19EF" w:rsidRDefault="00BC44CD">
    <w:pPr>
      <w:pStyle w:val="Header"/>
      <w:tabs>
        <w:tab w:val="clear" w:pos="6480"/>
        <w:tab w:val="center" w:pos="4680"/>
        <w:tab w:val="right" w:pos="9360"/>
      </w:tabs>
    </w:pPr>
    <w:r>
      <w:fldChar w:fldCharType="begin"/>
    </w:r>
    <w:r>
      <w:instrText xml:space="preserve"> KEYWORDS  \* MERGEFORMAT </w:instrText>
    </w:r>
    <w:r>
      <w:fldChar w:fldCharType="separate"/>
    </w:r>
    <w:r w:rsidR="00FF19EF">
      <w:t>January 2015</w:t>
    </w:r>
    <w:r>
      <w:fldChar w:fldCharType="end"/>
    </w:r>
    <w:r w:rsidR="00FF19EF">
      <w:tab/>
    </w:r>
    <w:r w:rsidR="00FF19EF">
      <w:tab/>
    </w:r>
    <w:r>
      <w:fldChar w:fldCharType="begin"/>
    </w:r>
    <w:r>
      <w:instrText xml:space="preserve"> TITLE</w:instrText>
    </w:r>
    <w:r>
      <w:instrText xml:space="preserve">  \* MERGEFORMAT </w:instrText>
    </w:r>
    <w:r>
      <w:fldChar w:fldCharType="separate"/>
    </w:r>
    <w:r w:rsidR="00FF19EF">
      <w:t>doc.: IEEE 802.11-15/0116r0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5"/>
  </w:num>
  <w:num w:numId="3">
    <w:abstractNumId w:val="8"/>
  </w:num>
  <w:num w:numId="4">
    <w:abstractNumId w:val="18"/>
  </w:num>
  <w:num w:numId="5">
    <w:abstractNumId w:val="23"/>
  </w:num>
  <w:num w:numId="6">
    <w:abstractNumId w:val="12"/>
  </w:num>
  <w:num w:numId="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3"/>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0"/>
  </w:num>
  <w:num w:numId="31">
    <w:abstractNumId w:val="11"/>
  </w:num>
  <w:num w:numId="32">
    <w:abstractNumId w:val="14"/>
  </w:num>
  <w:num w:numId="33">
    <w:abstractNumId w:val="0"/>
  </w:num>
  <w:num w:numId="34">
    <w:abstractNumId w:val="22"/>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53949"/>
    <w:rsid w:val="0005534D"/>
    <w:rsid w:val="00056E3F"/>
    <w:rsid w:val="00061E61"/>
    <w:rsid w:val="00064213"/>
    <w:rsid w:val="00070B44"/>
    <w:rsid w:val="00086DD8"/>
    <w:rsid w:val="00093FB8"/>
    <w:rsid w:val="0011493D"/>
    <w:rsid w:val="00141705"/>
    <w:rsid w:val="00147DAD"/>
    <w:rsid w:val="001552FC"/>
    <w:rsid w:val="001649A3"/>
    <w:rsid w:val="001778BD"/>
    <w:rsid w:val="001D0E98"/>
    <w:rsid w:val="001D723B"/>
    <w:rsid w:val="001F3683"/>
    <w:rsid w:val="002110A0"/>
    <w:rsid w:val="00212EE0"/>
    <w:rsid w:val="0021408C"/>
    <w:rsid w:val="00223285"/>
    <w:rsid w:val="002477A9"/>
    <w:rsid w:val="002527FE"/>
    <w:rsid w:val="00257E8F"/>
    <w:rsid w:val="00272B21"/>
    <w:rsid w:val="0029020B"/>
    <w:rsid w:val="00295C19"/>
    <w:rsid w:val="002A750A"/>
    <w:rsid w:val="002D44BE"/>
    <w:rsid w:val="002D4DE9"/>
    <w:rsid w:val="002D7628"/>
    <w:rsid w:val="002E42AC"/>
    <w:rsid w:val="002E4447"/>
    <w:rsid w:val="002F7565"/>
    <w:rsid w:val="002F7B87"/>
    <w:rsid w:val="003605FB"/>
    <w:rsid w:val="003B0CDD"/>
    <w:rsid w:val="003B0E4C"/>
    <w:rsid w:val="003B13A1"/>
    <w:rsid w:val="003C12A9"/>
    <w:rsid w:val="003C3E94"/>
    <w:rsid w:val="003D7D43"/>
    <w:rsid w:val="003E0B86"/>
    <w:rsid w:val="00425E17"/>
    <w:rsid w:val="00442037"/>
    <w:rsid w:val="00465E9C"/>
    <w:rsid w:val="00473F04"/>
    <w:rsid w:val="00481990"/>
    <w:rsid w:val="00491853"/>
    <w:rsid w:val="004919D9"/>
    <w:rsid w:val="004A0FBB"/>
    <w:rsid w:val="004C3151"/>
    <w:rsid w:val="004C5FD4"/>
    <w:rsid w:val="004E624E"/>
    <w:rsid w:val="005178D6"/>
    <w:rsid w:val="00524BED"/>
    <w:rsid w:val="00532474"/>
    <w:rsid w:val="00535872"/>
    <w:rsid w:val="0054584E"/>
    <w:rsid w:val="00546875"/>
    <w:rsid w:val="00552062"/>
    <w:rsid w:val="005529F4"/>
    <w:rsid w:val="005825AE"/>
    <w:rsid w:val="005957C8"/>
    <w:rsid w:val="005B7BC1"/>
    <w:rsid w:val="005C1503"/>
    <w:rsid w:val="005C6CA0"/>
    <w:rsid w:val="00605CE6"/>
    <w:rsid w:val="006231D6"/>
    <w:rsid w:val="0062440B"/>
    <w:rsid w:val="00634B68"/>
    <w:rsid w:val="00651477"/>
    <w:rsid w:val="00657B61"/>
    <w:rsid w:val="00664422"/>
    <w:rsid w:val="00677150"/>
    <w:rsid w:val="00693597"/>
    <w:rsid w:val="006A6529"/>
    <w:rsid w:val="006C0727"/>
    <w:rsid w:val="006E0BD3"/>
    <w:rsid w:val="006E145F"/>
    <w:rsid w:val="006E281F"/>
    <w:rsid w:val="006F0B33"/>
    <w:rsid w:val="006F7545"/>
    <w:rsid w:val="00703622"/>
    <w:rsid w:val="00706927"/>
    <w:rsid w:val="00716A89"/>
    <w:rsid w:val="00722B95"/>
    <w:rsid w:val="00724498"/>
    <w:rsid w:val="00734326"/>
    <w:rsid w:val="00740C99"/>
    <w:rsid w:val="00746C24"/>
    <w:rsid w:val="00746D6C"/>
    <w:rsid w:val="0076206D"/>
    <w:rsid w:val="00770572"/>
    <w:rsid w:val="007708A3"/>
    <w:rsid w:val="0079575C"/>
    <w:rsid w:val="00796B2E"/>
    <w:rsid w:val="00797094"/>
    <w:rsid w:val="007A25FE"/>
    <w:rsid w:val="007B3CCA"/>
    <w:rsid w:val="007C0901"/>
    <w:rsid w:val="007D3766"/>
    <w:rsid w:val="00803F8F"/>
    <w:rsid w:val="00805B9C"/>
    <w:rsid w:val="008066B8"/>
    <w:rsid w:val="008233C1"/>
    <w:rsid w:val="0083543E"/>
    <w:rsid w:val="00852545"/>
    <w:rsid w:val="00864F25"/>
    <w:rsid w:val="00880C23"/>
    <w:rsid w:val="0088643C"/>
    <w:rsid w:val="008A7AB3"/>
    <w:rsid w:val="008C15B5"/>
    <w:rsid w:val="008D025A"/>
    <w:rsid w:val="008F2E71"/>
    <w:rsid w:val="0094267B"/>
    <w:rsid w:val="00972F8E"/>
    <w:rsid w:val="00976713"/>
    <w:rsid w:val="009A3E6D"/>
    <w:rsid w:val="009B5690"/>
    <w:rsid w:val="009E0DDE"/>
    <w:rsid w:val="009E3D86"/>
    <w:rsid w:val="009F602A"/>
    <w:rsid w:val="00A07572"/>
    <w:rsid w:val="00A209F4"/>
    <w:rsid w:val="00A42D3E"/>
    <w:rsid w:val="00A529A3"/>
    <w:rsid w:val="00AA1D65"/>
    <w:rsid w:val="00AA2D59"/>
    <w:rsid w:val="00AA427C"/>
    <w:rsid w:val="00AB4F2B"/>
    <w:rsid w:val="00AD730E"/>
    <w:rsid w:val="00AF65D3"/>
    <w:rsid w:val="00B36273"/>
    <w:rsid w:val="00B43516"/>
    <w:rsid w:val="00B80E3F"/>
    <w:rsid w:val="00B9488A"/>
    <w:rsid w:val="00B96577"/>
    <w:rsid w:val="00BA686A"/>
    <w:rsid w:val="00BC44CD"/>
    <w:rsid w:val="00BE158D"/>
    <w:rsid w:val="00BE68C2"/>
    <w:rsid w:val="00C01591"/>
    <w:rsid w:val="00C0747C"/>
    <w:rsid w:val="00C117E5"/>
    <w:rsid w:val="00C13BB8"/>
    <w:rsid w:val="00C32265"/>
    <w:rsid w:val="00C34EF0"/>
    <w:rsid w:val="00C37C88"/>
    <w:rsid w:val="00C609CC"/>
    <w:rsid w:val="00C643CF"/>
    <w:rsid w:val="00C9188B"/>
    <w:rsid w:val="00CA09B2"/>
    <w:rsid w:val="00CB23FB"/>
    <w:rsid w:val="00CC148B"/>
    <w:rsid w:val="00CC4709"/>
    <w:rsid w:val="00CC5B8B"/>
    <w:rsid w:val="00CE1083"/>
    <w:rsid w:val="00CE4A8C"/>
    <w:rsid w:val="00D028A3"/>
    <w:rsid w:val="00D4128B"/>
    <w:rsid w:val="00D44D20"/>
    <w:rsid w:val="00D57105"/>
    <w:rsid w:val="00D6506D"/>
    <w:rsid w:val="00DB22EB"/>
    <w:rsid w:val="00DC112D"/>
    <w:rsid w:val="00DC5A7B"/>
    <w:rsid w:val="00DF18F9"/>
    <w:rsid w:val="00E0039B"/>
    <w:rsid w:val="00E10F75"/>
    <w:rsid w:val="00E264B8"/>
    <w:rsid w:val="00E27FE8"/>
    <w:rsid w:val="00E850D3"/>
    <w:rsid w:val="00EA1EBA"/>
    <w:rsid w:val="00EA301C"/>
    <w:rsid w:val="00EE48F1"/>
    <w:rsid w:val="00F064A4"/>
    <w:rsid w:val="00F2366F"/>
    <w:rsid w:val="00F26736"/>
    <w:rsid w:val="00F936D4"/>
    <w:rsid w:val="00F96588"/>
    <w:rsid w:val="00FB2AE0"/>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36"/>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36"/>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5</Pages>
  <Words>898</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802.11-14/1482r3</vt:lpstr>
    </vt:vector>
  </TitlesOfParts>
  <Manager/>
  <Company>Huawei Technologies</Company>
  <LinksUpToDate>false</LinksUpToDate>
  <CharactersWithSpaces>6005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802.11-15/0116r0</dc:title>
  <dc:subject>Submission</dc:subject>
  <dc:creator>Donald Eastlake</dc:creator>
  <cp:keywords>January 2015</cp:keywords>
  <dc:description>Donald Eastlake, Huawei Technologies</dc:description>
  <cp:lastModifiedBy>Donald Eastlake</cp:lastModifiedBy>
  <cp:revision>8</cp:revision>
  <cp:lastPrinted>1901-01-01T05:00:00Z</cp:lastPrinted>
  <dcterms:created xsi:type="dcterms:W3CDTF">2015-01-12T19:10:00Z</dcterms:created>
  <dcterms:modified xsi:type="dcterms:W3CDTF">2015-01-14T22:31:00Z</dcterms:modified>
  <cp:category/>
</cp:coreProperties>
</file>