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4A4367A" w:rsidR="00C723BC" w:rsidRPr="00183F4C" w:rsidRDefault="00C723BC" w:rsidP="003E4403">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w:t>
            </w:r>
            <w:r w:rsidR="003E4403">
              <w:rPr>
                <w:lang w:eastAsia="ko-KR"/>
              </w:rPr>
              <w:t>Relay</w:t>
            </w:r>
            <w:r w:rsidR="00522A49">
              <w:rPr>
                <w:lang w:eastAsia="ko-KR"/>
              </w:rPr>
              <w:t xml:space="preserve"> Operation</w:t>
            </w:r>
            <w:r w:rsidR="007E0B2B">
              <w:rPr>
                <w:lang w:eastAsia="ko-KR"/>
              </w:rPr>
              <w:t xml:space="preserve"> part 2</w:t>
            </w:r>
          </w:p>
        </w:tc>
      </w:tr>
      <w:tr w:rsidR="00C723BC" w:rsidRPr="00183F4C" w14:paraId="49A1434E" w14:textId="77777777" w:rsidTr="00D74DE9">
        <w:trPr>
          <w:trHeight w:val="359"/>
          <w:jc w:val="center"/>
        </w:trPr>
        <w:tc>
          <w:tcPr>
            <w:tcW w:w="9576" w:type="dxa"/>
            <w:gridSpan w:val="5"/>
            <w:vAlign w:val="center"/>
          </w:tcPr>
          <w:p w14:paraId="04E112F7" w14:textId="6270F59B"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7E0B2B">
              <w:rPr>
                <w:b w:val="0"/>
                <w:sz w:val="20"/>
                <w:lang w:eastAsia="ko-KR"/>
              </w:rPr>
              <w:t>5</w:t>
            </w:r>
            <w:r w:rsidRPr="00183F4C">
              <w:rPr>
                <w:b w:val="0"/>
                <w:sz w:val="20"/>
              </w:rPr>
              <w:t>-</w:t>
            </w:r>
            <w:r w:rsidR="004821A5">
              <w:rPr>
                <w:b w:val="0"/>
                <w:sz w:val="20"/>
                <w:lang w:eastAsia="ko-KR"/>
              </w:rPr>
              <w:t>1</w:t>
            </w:r>
            <w:r w:rsidR="007E0B2B">
              <w:rPr>
                <w:b w:val="0"/>
                <w:sz w:val="20"/>
                <w:lang w:eastAsia="ko-KR"/>
              </w:rPr>
              <w:t>3</w:t>
            </w:r>
            <w:r>
              <w:rPr>
                <w:rFonts w:hint="eastAsia"/>
                <w:b w:val="0"/>
                <w:sz w:val="20"/>
                <w:lang w:eastAsia="ko-KR"/>
              </w:rPr>
              <w:t>-</w:t>
            </w:r>
            <w:r w:rsidR="00B6166F">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4DEC62AF" w14:textId="77777777" w:rsidTr="00D74DE9">
        <w:trPr>
          <w:trHeight w:val="359"/>
          <w:jc w:val="center"/>
        </w:trPr>
        <w:tc>
          <w:tcPr>
            <w:tcW w:w="1548" w:type="dxa"/>
            <w:vAlign w:val="center"/>
          </w:tcPr>
          <w:p w14:paraId="4EA400F1"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4C4F49F"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2E92DCA"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68E5070"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6CB0990C" w14:textId="77777777" w:rsidR="00C723BC" w:rsidRPr="00183F4C" w:rsidRDefault="00C723BC" w:rsidP="00D74DE9">
            <w:pPr>
              <w:pStyle w:val="T2"/>
              <w:spacing w:after="0"/>
              <w:ind w:left="0" w:right="0"/>
              <w:jc w:val="left"/>
              <w:rPr>
                <w:b w:val="0"/>
                <w:sz w:val="18"/>
                <w:szCs w:val="18"/>
                <w:lang w:eastAsia="ko-KR"/>
              </w:rPr>
            </w:pPr>
            <w:r w:rsidRPr="001D7948">
              <w:rPr>
                <w:b w:val="0"/>
                <w:sz w:val="18"/>
                <w:szCs w:val="18"/>
                <w:lang w:eastAsia="ko-KR"/>
              </w:rPr>
              <w:t>aasterja@qti.qualcomm.com</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proofErr w:type="spellStart"/>
            <w:r>
              <w:rPr>
                <w:b w:val="0"/>
                <w:sz w:val="18"/>
                <w:szCs w:val="18"/>
                <w:lang w:eastAsia="ko-KR"/>
              </w:rPr>
              <w:t>Straatweg</w:t>
            </w:r>
            <w:proofErr w:type="spellEnd"/>
            <w:r>
              <w:rPr>
                <w:b w:val="0"/>
                <w:sz w:val="18"/>
                <w:szCs w:val="18"/>
                <w:lang w:eastAsia="ko-KR"/>
              </w:rPr>
              <w:t xml:space="preserve"> 66-S, </w:t>
            </w:r>
            <w:proofErr w:type="spellStart"/>
            <w:r>
              <w:rPr>
                <w:b w:val="0"/>
                <w:sz w:val="18"/>
                <w:szCs w:val="18"/>
                <w:lang w:eastAsia="ko-KR"/>
              </w:rPr>
              <w:t>Breukelen</w:t>
            </w:r>
            <w:proofErr w:type="spellEnd"/>
            <w:r>
              <w:rPr>
                <w:b w:val="0"/>
                <w:sz w:val="18"/>
                <w:szCs w:val="18"/>
                <w:lang w:eastAsia="ko-KR"/>
              </w:rPr>
              <w:t>, The Netherlands</w:t>
            </w:r>
          </w:p>
        </w:tc>
        <w:tc>
          <w:tcPr>
            <w:tcW w:w="1620" w:type="dxa"/>
            <w:vAlign w:val="center"/>
          </w:tcPr>
          <w:p w14:paraId="17315F2E" w14:textId="77777777"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78219CE" w14:textId="4EBC8D33" w:rsidR="003E4403"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sidR="007E0B2B">
        <w:rPr>
          <w:lang w:eastAsia="ko-KR"/>
        </w:rPr>
        <w:t xml:space="preserve"> with the following CIDs (TOT 4</w:t>
      </w:r>
      <w:r>
        <w:rPr>
          <w:lang w:eastAsia="ko-KR"/>
        </w:rPr>
        <w:t xml:space="preserve"> CIDs):</w:t>
      </w:r>
    </w:p>
    <w:p w14:paraId="3524CC41" w14:textId="62E3C71B" w:rsidR="003E4403" w:rsidRPr="003E4403" w:rsidRDefault="007E0B2B" w:rsidP="003E4403">
      <w:pPr>
        <w:pStyle w:val="ListParagraph"/>
        <w:numPr>
          <w:ilvl w:val="0"/>
          <w:numId w:val="39"/>
        </w:numPr>
        <w:ind w:leftChars="0"/>
        <w:jc w:val="both"/>
      </w:pPr>
      <w:r>
        <w:rPr>
          <w:lang w:val="en-US"/>
        </w:rPr>
        <w:t>5487, 5488, 5489, 5412</w:t>
      </w:r>
    </w:p>
    <w:p w14:paraId="5FBC99FA" w14:textId="77777777" w:rsidR="003E4403" w:rsidRDefault="003E4403" w:rsidP="003E4403">
      <w:pPr>
        <w:jc w:val="both"/>
      </w:pP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p w14:paraId="2D3865B9" w14:textId="77777777" w:rsidR="00F2637D" w:rsidRPr="004F3AF6" w:rsidRDefault="00F2637D" w:rsidP="00F2637D">
      <w:r w:rsidRPr="004F3AF6">
        <w:t>Interpretation of a Motion to Adopt</w:t>
      </w:r>
    </w:p>
    <w:p w14:paraId="67A3228D" w14:textId="77777777" w:rsidR="00F2637D" w:rsidRPr="004C0F0A" w:rsidRDefault="00F2637D" w:rsidP="00F2637D">
      <w:pPr>
        <w:rPr>
          <w:lang w:eastAsia="ko-KR"/>
        </w:rPr>
      </w:pPr>
    </w:p>
    <w:p w14:paraId="78716BD6"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3242F12C" w14:textId="77777777" w:rsidR="00F2637D" w:rsidRPr="004F3AF6" w:rsidRDefault="00F2637D" w:rsidP="00F2637D">
      <w:pPr>
        <w:rPr>
          <w:lang w:eastAsia="ko-KR"/>
        </w:rPr>
      </w:pPr>
    </w:p>
    <w:p w14:paraId="4D2AE559"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1AD624D" w14:textId="77777777" w:rsidR="00F2637D" w:rsidRPr="004F3AF6" w:rsidRDefault="00F2637D" w:rsidP="00F2637D">
      <w:pPr>
        <w:rPr>
          <w:lang w:eastAsia="ko-KR"/>
        </w:rPr>
      </w:pPr>
    </w:p>
    <w:p w14:paraId="73A0C4B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40CD9270" w14:textId="77777777" w:rsidR="007E0B2B" w:rsidRDefault="007E0B2B" w:rsidP="00F2637D">
      <w:pPr>
        <w:rPr>
          <w:b/>
          <w:bCs/>
          <w:i/>
          <w:iCs/>
          <w:lang w:eastAsia="ko-KR"/>
        </w:rPr>
      </w:pPr>
    </w:p>
    <w:p w14:paraId="0501D74D" w14:textId="77777777" w:rsidR="007E0B2B" w:rsidRDefault="007E0B2B" w:rsidP="00F2637D">
      <w:pPr>
        <w:rPr>
          <w:b/>
          <w:bCs/>
          <w:i/>
          <w:iCs/>
          <w:lang w:eastAsia="ko-KR"/>
        </w:rPr>
      </w:pPr>
    </w:p>
    <w:tbl>
      <w:tblPr>
        <w:tblStyle w:val="TableGrid"/>
        <w:tblW w:w="10435" w:type="dxa"/>
        <w:tblLayout w:type="fixed"/>
        <w:tblLook w:val="04A0" w:firstRow="1" w:lastRow="0" w:firstColumn="1" w:lastColumn="0" w:noHBand="0" w:noVBand="1"/>
      </w:tblPr>
      <w:tblGrid>
        <w:gridCol w:w="558"/>
        <w:gridCol w:w="1080"/>
        <w:gridCol w:w="540"/>
        <w:gridCol w:w="810"/>
        <w:gridCol w:w="2587"/>
        <w:gridCol w:w="1890"/>
        <w:gridCol w:w="2970"/>
      </w:tblGrid>
      <w:tr w:rsidR="0095165A" w:rsidRPr="00A61F48" w14:paraId="5B4E35FD" w14:textId="77777777" w:rsidTr="007E0B2B">
        <w:tc>
          <w:tcPr>
            <w:tcW w:w="558" w:type="dxa"/>
          </w:tcPr>
          <w:p w14:paraId="2A5692A2"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564414A9"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0CD97FFF"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0F1022FF"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587" w:type="dxa"/>
          </w:tcPr>
          <w:p w14:paraId="791B3D71"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890" w:type="dxa"/>
          </w:tcPr>
          <w:p w14:paraId="251109B8"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970" w:type="dxa"/>
          </w:tcPr>
          <w:p w14:paraId="19AEA074"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5165A" w:rsidRPr="00996772" w14:paraId="1E963771" w14:textId="77777777" w:rsidTr="007E0B2B">
        <w:tc>
          <w:tcPr>
            <w:tcW w:w="558" w:type="dxa"/>
          </w:tcPr>
          <w:p w14:paraId="627A1F6C" w14:textId="08C66957" w:rsidR="0095165A" w:rsidRPr="00996772" w:rsidRDefault="0095165A" w:rsidP="0039234D">
            <w:pPr>
              <w:keepNext/>
              <w:autoSpaceDE w:val="0"/>
              <w:autoSpaceDN w:val="0"/>
              <w:adjustRightInd w:val="0"/>
              <w:rPr>
                <w:rFonts w:eastAsia="Times New Roman"/>
                <w:sz w:val="16"/>
                <w:szCs w:val="16"/>
              </w:rPr>
            </w:pPr>
            <w:r w:rsidRPr="0095165A">
              <w:rPr>
                <w:rFonts w:eastAsia="Times New Roman"/>
                <w:sz w:val="16"/>
                <w:szCs w:val="16"/>
                <w:lang w:val="en-US"/>
              </w:rPr>
              <w:t>5487</w:t>
            </w:r>
          </w:p>
        </w:tc>
        <w:tc>
          <w:tcPr>
            <w:tcW w:w="1080" w:type="dxa"/>
          </w:tcPr>
          <w:p w14:paraId="02145D63" w14:textId="77777777"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624F48B3" w14:textId="1B656C63"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317.37</w:t>
            </w:r>
          </w:p>
        </w:tc>
        <w:tc>
          <w:tcPr>
            <w:tcW w:w="810" w:type="dxa"/>
          </w:tcPr>
          <w:p w14:paraId="16A4DB8A" w14:textId="094BBEE3"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9.42h.1</w:t>
            </w:r>
          </w:p>
        </w:tc>
        <w:tc>
          <w:tcPr>
            <w:tcW w:w="2587" w:type="dxa"/>
          </w:tcPr>
          <w:p w14:paraId="3F4F17A8" w14:textId="77777777" w:rsidR="0095165A" w:rsidRPr="0095165A" w:rsidRDefault="0095165A" w:rsidP="0095165A">
            <w:pPr>
              <w:rPr>
                <w:rFonts w:eastAsia="Times New Roman"/>
                <w:sz w:val="16"/>
                <w:szCs w:val="16"/>
              </w:rPr>
            </w:pPr>
            <w:r w:rsidRPr="0095165A">
              <w:rPr>
                <w:rFonts w:eastAsia="Times New Roman"/>
                <w:sz w:val="16"/>
                <w:szCs w:val="16"/>
              </w:rPr>
              <w:t xml:space="preserve">The description of what a relay </w:t>
            </w:r>
            <w:proofErr w:type="gramStart"/>
            <w:r w:rsidRPr="0095165A">
              <w:rPr>
                <w:rFonts w:eastAsia="Times New Roman"/>
                <w:sz w:val="16"/>
                <w:szCs w:val="16"/>
              </w:rPr>
              <w:t>is  unclear</w:t>
            </w:r>
            <w:proofErr w:type="gramEnd"/>
            <w:r w:rsidRPr="0095165A">
              <w:rPr>
                <w:rFonts w:eastAsia="Times New Roman"/>
                <w:sz w:val="16"/>
                <w:szCs w:val="16"/>
              </w:rPr>
              <w:t>.  As currently stated a relay logically consist of a relay AP and a relay STA.  My understanding is that a relay is a STA which has relay capability.  The relay capability is logically broken down into two logical entities a relay AP and a relay STA.  My understanding is that the relay STA provides a means of transferring frames to and from the root AP to the relay and the relay AP provides the means for transferring frames to and from the relay and the target STA.  Clarify the description.</w:t>
            </w:r>
          </w:p>
          <w:p w14:paraId="4D8705D0" w14:textId="1CFBD16E" w:rsidR="0095165A" w:rsidRPr="00996772" w:rsidRDefault="0095165A" w:rsidP="0039234D">
            <w:pPr>
              <w:keepNext/>
              <w:autoSpaceDE w:val="0"/>
              <w:autoSpaceDN w:val="0"/>
              <w:adjustRightInd w:val="0"/>
              <w:rPr>
                <w:rFonts w:eastAsia="Times New Roman"/>
                <w:sz w:val="16"/>
                <w:szCs w:val="16"/>
              </w:rPr>
            </w:pPr>
          </w:p>
        </w:tc>
        <w:tc>
          <w:tcPr>
            <w:tcW w:w="1890" w:type="dxa"/>
          </w:tcPr>
          <w:p w14:paraId="03611873" w14:textId="77777777" w:rsidR="0095165A" w:rsidRPr="0095165A" w:rsidRDefault="0095165A" w:rsidP="0095165A">
            <w:pPr>
              <w:rPr>
                <w:rFonts w:eastAsia="Times New Roman"/>
                <w:sz w:val="16"/>
                <w:szCs w:val="16"/>
              </w:rPr>
            </w:pPr>
            <w:proofErr w:type="gramStart"/>
            <w:r w:rsidRPr="0095165A">
              <w:rPr>
                <w:rFonts w:eastAsia="Times New Roman"/>
                <w:sz w:val="16"/>
                <w:szCs w:val="16"/>
              </w:rPr>
              <w:t>replace</w:t>
            </w:r>
            <w:proofErr w:type="gramEnd"/>
            <w:r w:rsidRPr="0095165A">
              <w:rPr>
                <w:rFonts w:eastAsia="Times New Roman"/>
                <w:sz w:val="16"/>
                <w:szCs w:val="16"/>
              </w:rPr>
              <w:t xml:space="preserve"> "A relay is an entity that logically consists of a relay AP and a relay STA." with "A relay is a STA with the MAC features that allow the STA to relay frames from an AP (the root AP) to </w:t>
            </w:r>
            <w:proofErr w:type="spellStart"/>
            <w:r w:rsidRPr="0095165A">
              <w:rPr>
                <w:rFonts w:eastAsia="Times New Roman"/>
                <w:sz w:val="16"/>
                <w:szCs w:val="16"/>
              </w:rPr>
              <w:t>an other</w:t>
            </w:r>
            <w:proofErr w:type="spellEnd"/>
            <w:r w:rsidRPr="0095165A">
              <w:rPr>
                <w:rFonts w:eastAsia="Times New Roman"/>
                <w:sz w:val="16"/>
                <w:szCs w:val="16"/>
              </w:rPr>
              <w:t xml:space="preserve"> STA.  A STA with these features contains two logically entities that enable this capability: a relay AP and a relay STA.</w:t>
            </w:r>
          </w:p>
          <w:p w14:paraId="4FF6DDBE" w14:textId="039E3D09" w:rsidR="0095165A" w:rsidRPr="00996772" w:rsidRDefault="0095165A" w:rsidP="0039234D">
            <w:pPr>
              <w:keepNext/>
              <w:autoSpaceDE w:val="0"/>
              <w:autoSpaceDN w:val="0"/>
              <w:adjustRightInd w:val="0"/>
              <w:rPr>
                <w:rFonts w:eastAsia="Times New Roman"/>
                <w:sz w:val="16"/>
                <w:szCs w:val="16"/>
              </w:rPr>
            </w:pPr>
          </w:p>
        </w:tc>
        <w:tc>
          <w:tcPr>
            <w:tcW w:w="2970" w:type="dxa"/>
          </w:tcPr>
          <w:p w14:paraId="12FFBAEA" w14:textId="77777777" w:rsidR="0095165A" w:rsidRPr="0095165A" w:rsidRDefault="0095165A" w:rsidP="0095165A">
            <w:pPr>
              <w:keepNext/>
              <w:autoSpaceDE w:val="0"/>
              <w:autoSpaceDN w:val="0"/>
              <w:adjustRightInd w:val="0"/>
              <w:rPr>
                <w:rFonts w:eastAsia="Times New Roman"/>
                <w:sz w:val="16"/>
                <w:szCs w:val="16"/>
              </w:rPr>
            </w:pPr>
            <w:r w:rsidRPr="0095165A">
              <w:rPr>
                <w:rFonts w:eastAsia="Times New Roman"/>
                <w:sz w:val="16"/>
                <w:szCs w:val="16"/>
              </w:rPr>
              <w:t>Revised –</w:t>
            </w:r>
          </w:p>
          <w:p w14:paraId="77B25090" w14:textId="77777777" w:rsidR="0095165A" w:rsidRPr="0095165A" w:rsidRDefault="0095165A" w:rsidP="0095165A">
            <w:pPr>
              <w:keepNext/>
              <w:autoSpaceDE w:val="0"/>
              <w:autoSpaceDN w:val="0"/>
              <w:adjustRightInd w:val="0"/>
              <w:rPr>
                <w:rFonts w:eastAsia="Times New Roman"/>
                <w:sz w:val="16"/>
                <w:szCs w:val="16"/>
              </w:rPr>
            </w:pPr>
            <w:r w:rsidRPr="0095165A">
              <w:rPr>
                <w:rFonts w:eastAsia="Times New Roman"/>
                <w:sz w:val="16"/>
                <w:szCs w:val="16"/>
              </w:rPr>
              <w:t xml:space="preserve"> </w:t>
            </w:r>
          </w:p>
          <w:p w14:paraId="0EC98EF0" w14:textId="77777777" w:rsidR="0095165A" w:rsidRPr="0095165A" w:rsidRDefault="0095165A" w:rsidP="0095165A">
            <w:pPr>
              <w:keepNext/>
              <w:autoSpaceDE w:val="0"/>
              <w:autoSpaceDN w:val="0"/>
              <w:adjustRightInd w:val="0"/>
              <w:rPr>
                <w:rFonts w:eastAsia="Times New Roman"/>
                <w:sz w:val="16"/>
                <w:szCs w:val="16"/>
              </w:rPr>
            </w:pPr>
            <w:r w:rsidRPr="0095165A">
              <w:rPr>
                <w:rFonts w:eastAsia="Times New Roman"/>
                <w:sz w:val="16"/>
                <w:szCs w:val="16"/>
              </w:rPr>
              <w:t>Agree in principle with the comment that the description may be somewhat unclear. For this purpose the descriptive subclause of the relay operation (4.3.13a.2) is updated to make this clearer (the clarifying description was suggested by the same commenter in CID 5480 and is proposed in 11-14/1615r2.</w:t>
            </w:r>
          </w:p>
          <w:p w14:paraId="657D52F2" w14:textId="77777777" w:rsidR="0095165A" w:rsidRPr="0095165A" w:rsidRDefault="0095165A" w:rsidP="0095165A">
            <w:pPr>
              <w:keepNext/>
              <w:autoSpaceDE w:val="0"/>
              <w:autoSpaceDN w:val="0"/>
              <w:adjustRightInd w:val="0"/>
              <w:rPr>
                <w:rFonts w:eastAsia="Times New Roman"/>
                <w:sz w:val="16"/>
                <w:szCs w:val="16"/>
              </w:rPr>
            </w:pPr>
            <w:r w:rsidRPr="0095165A">
              <w:rPr>
                <w:rFonts w:eastAsia="Times New Roman"/>
                <w:sz w:val="16"/>
                <w:szCs w:val="16"/>
              </w:rPr>
              <w:t xml:space="preserve"> </w:t>
            </w:r>
          </w:p>
          <w:p w14:paraId="427BB331" w14:textId="13E3EBE1" w:rsidR="0095165A" w:rsidRPr="00996772" w:rsidRDefault="0095165A" w:rsidP="0095165A">
            <w:pPr>
              <w:keepNext/>
              <w:autoSpaceDE w:val="0"/>
              <w:autoSpaceDN w:val="0"/>
              <w:adjustRightInd w:val="0"/>
              <w:rPr>
                <w:rFonts w:eastAsia="Times New Roman"/>
                <w:sz w:val="16"/>
                <w:szCs w:val="16"/>
              </w:rPr>
            </w:pPr>
            <w:proofErr w:type="spellStart"/>
            <w:r w:rsidRPr="0095165A">
              <w:rPr>
                <w:rFonts w:eastAsia="Times New Roman"/>
                <w:sz w:val="16"/>
                <w:szCs w:val="16"/>
              </w:rPr>
              <w:t>TGah</w:t>
            </w:r>
            <w:proofErr w:type="spellEnd"/>
            <w:r w:rsidRPr="0095165A">
              <w:rPr>
                <w:rFonts w:eastAsia="Times New Roman"/>
                <w:sz w:val="16"/>
                <w:szCs w:val="16"/>
              </w:rPr>
              <w:t xml:space="preserve"> editor to make the changes shown in 11-14/1615r2 under all headings that include CID 5480.</w:t>
            </w:r>
          </w:p>
        </w:tc>
      </w:tr>
    </w:tbl>
    <w:p w14:paraId="141D9DCD" w14:textId="77777777" w:rsidR="005A6BC3" w:rsidRDefault="005A6BC3" w:rsidP="00006454">
      <w:pPr>
        <w:autoSpaceDE w:val="0"/>
        <w:autoSpaceDN w:val="0"/>
        <w:adjustRightInd w:val="0"/>
        <w:spacing w:before="240" w:after="240"/>
        <w:jc w:val="both"/>
        <w:rPr>
          <w:color w:val="000000"/>
          <w:sz w:val="20"/>
          <w:lang w:val="en-US" w:eastAsia="ko-KR"/>
        </w:rPr>
      </w:pPr>
    </w:p>
    <w:tbl>
      <w:tblPr>
        <w:tblStyle w:val="TableGrid"/>
        <w:tblW w:w="10525" w:type="dxa"/>
        <w:tblLayout w:type="fixed"/>
        <w:tblLook w:val="04A0" w:firstRow="1" w:lastRow="0" w:firstColumn="1" w:lastColumn="0" w:noHBand="0" w:noVBand="1"/>
      </w:tblPr>
      <w:tblGrid>
        <w:gridCol w:w="558"/>
        <w:gridCol w:w="1080"/>
        <w:gridCol w:w="540"/>
        <w:gridCol w:w="810"/>
        <w:gridCol w:w="1237"/>
        <w:gridCol w:w="3240"/>
        <w:gridCol w:w="3060"/>
      </w:tblGrid>
      <w:tr w:rsidR="0095165A" w:rsidRPr="00A61F48" w14:paraId="3D7AFD87" w14:textId="77777777" w:rsidTr="007E0B2B">
        <w:tc>
          <w:tcPr>
            <w:tcW w:w="558" w:type="dxa"/>
          </w:tcPr>
          <w:p w14:paraId="57AF23ED"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7502215F"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6DC73764"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0EA4D72A"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Clause</w:t>
            </w:r>
          </w:p>
        </w:tc>
        <w:tc>
          <w:tcPr>
            <w:tcW w:w="1237" w:type="dxa"/>
          </w:tcPr>
          <w:p w14:paraId="64DF2605"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3240" w:type="dxa"/>
          </w:tcPr>
          <w:p w14:paraId="5FC27DC2"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3060" w:type="dxa"/>
          </w:tcPr>
          <w:p w14:paraId="435F638D"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5165A" w:rsidRPr="00996772" w14:paraId="7BB5974B" w14:textId="77777777" w:rsidTr="007E0B2B">
        <w:tc>
          <w:tcPr>
            <w:tcW w:w="558" w:type="dxa"/>
          </w:tcPr>
          <w:p w14:paraId="325CEDB3" w14:textId="476ABC49" w:rsidR="0095165A" w:rsidRPr="00996772" w:rsidRDefault="0095165A" w:rsidP="0039234D">
            <w:pPr>
              <w:keepNext/>
              <w:autoSpaceDE w:val="0"/>
              <w:autoSpaceDN w:val="0"/>
              <w:adjustRightInd w:val="0"/>
              <w:rPr>
                <w:rFonts w:eastAsia="Times New Roman"/>
                <w:sz w:val="16"/>
                <w:szCs w:val="16"/>
              </w:rPr>
            </w:pPr>
            <w:r w:rsidRPr="0095165A">
              <w:rPr>
                <w:rFonts w:eastAsia="Times New Roman"/>
                <w:sz w:val="16"/>
                <w:szCs w:val="16"/>
                <w:lang w:val="en-US"/>
              </w:rPr>
              <w:t>548</w:t>
            </w:r>
            <w:r>
              <w:rPr>
                <w:rFonts w:eastAsia="Times New Roman"/>
                <w:sz w:val="16"/>
                <w:szCs w:val="16"/>
                <w:lang w:val="en-US"/>
              </w:rPr>
              <w:t>8</w:t>
            </w:r>
          </w:p>
        </w:tc>
        <w:tc>
          <w:tcPr>
            <w:tcW w:w="1080" w:type="dxa"/>
          </w:tcPr>
          <w:p w14:paraId="3217B4B5" w14:textId="77777777"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27C64EF" w14:textId="14FEC066"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317.39</w:t>
            </w:r>
          </w:p>
        </w:tc>
        <w:tc>
          <w:tcPr>
            <w:tcW w:w="810" w:type="dxa"/>
          </w:tcPr>
          <w:p w14:paraId="09391538" w14:textId="77777777"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9.42h.1</w:t>
            </w:r>
          </w:p>
        </w:tc>
        <w:tc>
          <w:tcPr>
            <w:tcW w:w="1237" w:type="dxa"/>
          </w:tcPr>
          <w:p w14:paraId="6DEFCA80" w14:textId="39E183BA" w:rsidR="0095165A" w:rsidRPr="00996772" w:rsidRDefault="0095165A" w:rsidP="00540657">
            <w:pPr>
              <w:keepNext/>
              <w:autoSpaceDE w:val="0"/>
              <w:autoSpaceDN w:val="0"/>
              <w:adjustRightInd w:val="0"/>
              <w:rPr>
                <w:rFonts w:eastAsia="Times New Roman"/>
                <w:sz w:val="16"/>
                <w:szCs w:val="16"/>
              </w:rPr>
            </w:pPr>
            <w:r w:rsidRPr="0095165A">
              <w:rPr>
                <w:rFonts w:eastAsia="Times New Roman"/>
                <w:sz w:val="16"/>
                <w:szCs w:val="16"/>
              </w:rPr>
              <w:t>This paragraph is very confusing and does not provide a clear definition as to what a relay STA or relay AP is. Pease clarify.</w:t>
            </w:r>
          </w:p>
        </w:tc>
        <w:tc>
          <w:tcPr>
            <w:tcW w:w="3240" w:type="dxa"/>
          </w:tcPr>
          <w:p w14:paraId="47D02E2B" w14:textId="77777777" w:rsidR="00CE3B09" w:rsidRPr="00CE3B09" w:rsidRDefault="00CE3B09" w:rsidP="00CE3B09">
            <w:pPr>
              <w:keepNext/>
              <w:autoSpaceDE w:val="0"/>
              <w:autoSpaceDN w:val="0"/>
              <w:adjustRightInd w:val="0"/>
              <w:rPr>
                <w:rFonts w:eastAsia="Times New Roman"/>
                <w:sz w:val="16"/>
                <w:szCs w:val="16"/>
              </w:rPr>
            </w:pPr>
            <w:r w:rsidRPr="00CE3B09">
              <w:rPr>
                <w:rFonts w:eastAsia="Times New Roman"/>
                <w:sz w:val="16"/>
                <w:szCs w:val="16"/>
              </w:rPr>
              <w:t>replace the paragraph with:</w:t>
            </w:r>
          </w:p>
          <w:p w14:paraId="188808CE" w14:textId="77777777" w:rsidR="00CE3B09" w:rsidRPr="00CE3B09" w:rsidRDefault="00CE3B09" w:rsidP="00CE3B09">
            <w:pPr>
              <w:keepNext/>
              <w:autoSpaceDE w:val="0"/>
              <w:autoSpaceDN w:val="0"/>
              <w:adjustRightInd w:val="0"/>
              <w:rPr>
                <w:rFonts w:eastAsia="Times New Roman"/>
                <w:sz w:val="16"/>
                <w:szCs w:val="16"/>
              </w:rPr>
            </w:pPr>
          </w:p>
          <w:p w14:paraId="23388371" w14:textId="35C690DE" w:rsidR="0095165A" w:rsidRPr="00996772" w:rsidRDefault="00CE3B09" w:rsidP="00CE3B09">
            <w:pPr>
              <w:keepNext/>
              <w:autoSpaceDE w:val="0"/>
              <w:autoSpaceDN w:val="0"/>
              <w:adjustRightInd w:val="0"/>
              <w:rPr>
                <w:rFonts w:eastAsia="Times New Roman"/>
                <w:sz w:val="16"/>
                <w:szCs w:val="16"/>
              </w:rPr>
            </w:pPr>
            <w:r w:rsidRPr="00CE3B09">
              <w:rPr>
                <w:rFonts w:eastAsia="Times New Roman"/>
                <w:sz w:val="16"/>
                <w:szCs w:val="16"/>
              </w:rPr>
              <w:t>"When a relay capable non-AP STA is acting as a relay it may function as a relay STA (a logical entity), when functioning as a relay STA the STA behaves as a non-AP STA with dot11RelaySTAOperation equal to true.  When a relay capable non-AP STA is acting as a relay it may function as a relay AP (a logical entity), when functioning as a relay AP the STA behaves as an AP with dot11RealyAPOperation equal to true.  Note: the relay capable non-AP STA may also act as a STA when it is not acting as a relay."</w:t>
            </w:r>
          </w:p>
        </w:tc>
        <w:tc>
          <w:tcPr>
            <w:tcW w:w="3060" w:type="dxa"/>
          </w:tcPr>
          <w:p w14:paraId="47847DF3" w14:textId="77777777" w:rsidR="00CE3B09" w:rsidRPr="00CE3B09" w:rsidRDefault="00CE3B09" w:rsidP="00CE3B09">
            <w:pPr>
              <w:keepNext/>
              <w:autoSpaceDE w:val="0"/>
              <w:autoSpaceDN w:val="0"/>
              <w:adjustRightInd w:val="0"/>
              <w:rPr>
                <w:rFonts w:eastAsia="Times New Roman"/>
                <w:sz w:val="16"/>
                <w:szCs w:val="16"/>
              </w:rPr>
            </w:pPr>
            <w:r w:rsidRPr="00CE3B09">
              <w:rPr>
                <w:rFonts w:eastAsia="Times New Roman"/>
                <w:sz w:val="16"/>
                <w:szCs w:val="16"/>
              </w:rPr>
              <w:t>Rejected –</w:t>
            </w:r>
          </w:p>
          <w:p w14:paraId="40E0A52D" w14:textId="77777777" w:rsidR="00CE3B09" w:rsidRPr="00CE3B09" w:rsidRDefault="00CE3B09" w:rsidP="00CE3B09">
            <w:pPr>
              <w:keepNext/>
              <w:autoSpaceDE w:val="0"/>
              <w:autoSpaceDN w:val="0"/>
              <w:adjustRightInd w:val="0"/>
              <w:rPr>
                <w:rFonts w:eastAsia="Times New Roman"/>
                <w:sz w:val="16"/>
                <w:szCs w:val="16"/>
              </w:rPr>
            </w:pPr>
            <w:r w:rsidRPr="00CE3B09">
              <w:rPr>
                <w:rFonts w:eastAsia="Times New Roman"/>
                <w:sz w:val="16"/>
                <w:szCs w:val="16"/>
              </w:rPr>
              <w:t xml:space="preserve"> </w:t>
            </w:r>
          </w:p>
          <w:p w14:paraId="052D7748" w14:textId="77777777" w:rsidR="00CE3B09" w:rsidRPr="00CE3B09" w:rsidRDefault="00CE3B09" w:rsidP="00CE3B09">
            <w:pPr>
              <w:keepNext/>
              <w:autoSpaceDE w:val="0"/>
              <w:autoSpaceDN w:val="0"/>
              <w:adjustRightInd w:val="0"/>
              <w:rPr>
                <w:rFonts w:eastAsia="Times New Roman"/>
                <w:sz w:val="16"/>
                <w:szCs w:val="16"/>
              </w:rPr>
            </w:pPr>
            <w:r w:rsidRPr="00CE3B09">
              <w:rPr>
                <w:rFonts w:eastAsia="Times New Roman"/>
                <w:sz w:val="16"/>
                <w:szCs w:val="16"/>
              </w:rPr>
              <w:t>The comment refers to the following paragraph:</w:t>
            </w:r>
          </w:p>
          <w:p w14:paraId="3C45C705" w14:textId="77777777" w:rsidR="00CE3B09" w:rsidRPr="00CE3B09" w:rsidRDefault="00CE3B09" w:rsidP="00CE3B09">
            <w:pPr>
              <w:keepNext/>
              <w:autoSpaceDE w:val="0"/>
              <w:autoSpaceDN w:val="0"/>
              <w:adjustRightInd w:val="0"/>
              <w:rPr>
                <w:rFonts w:eastAsia="Times New Roman"/>
                <w:sz w:val="16"/>
                <w:szCs w:val="16"/>
              </w:rPr>
            </w:pPr>
            <w:r w:rsidRPr="00CE3B09">
              <w:rPr>
                <w:rFonts w:eastAsia="Times New Roman"/>
                <w:sz w:val="16"/>
                <w:szCs w:val="16"/>
              </w:rPr>
              <w:t>“A relay STA is a non-AP STA with dot11RelaySTAOperation equal to true. A relay AP is an AP with dot11RelayAPOperation equal to true.”</w:t>
            </w:r>
          </w:p>
          <w:p w14:paraId="5BF0D7B1" w14:textId="77777777" w:rsidR="00CE3B09" w:rsidRPr="00CE3B09" w:rsidRDefault="00CE3B09" w:rsidP="00CE3B09">
            <w:pPr>
              <w:keepNext/>
              <w:autoSpaceDE w:val="0"/>
              <w:autoSpaceDN w:val="0"/>
              <w:adjustRightInd w:val="0"/>
              <w:rPr>
                <w:rFonts w:eastAsia="Times New Roman"/>
                <w:sz w:val="16"/>
                <w:szCs w:val="16"/>
              </w:rPr>
            </w:pPr>
            <w:r w:rsidRPr="00CE3B09">
              <w:rPr>
                <w:rFonts w:eastAsia="Times New Roman"/>
                <w:sz w:val="16"/>
                <w:szCs w:val="16"/>
              </w:rPr>
              <w:t xml:space="preserve"> </w:t>
            </w:r>
          </w:p>
          <w:p w14:paraId="4A17521A" w14:textId="5F026930" w:rsidR="0095165A" w:rsidRPr="00996772" w:rsidRDefault="00CE3B09" w:rsidP="007E0B2B">
            <w:pPr>
              <w:keepNext/>
              <w:autoSpaceDE w:val="0"/>
              <w:autoSpaceDN w:val="0"/>
              <w:adjustRightInd w:val="0"/>
              <w:rPr>
                <w:rFonts w:eastAsia="Times New Roman"/>
                <w:sz w:val="16"/>
                <w:szCs w:val="16"/>
              </w:rPr>
            </w:pPr>
            <w:proofErr w:type="gramStart"/>
            <w:r w:rsidRPr="00CE3B09">
              <w:rPr>
                <w:rFonts w:eastAsia="Times New Roman"/>
                <w:sz w:val="16"/>
                <w:szCs w:val="16"/>
              </w:rPr>
              <w:t>which</w:t>
            </w:r>
            <w:proofErr w:type="gramEnd"/>
            <w:r w:rsidRPr="00CE3B09">
              <w:rPr>
                <w:rFonts w:eastAsia="Times New Roman"/>
                <w:sz w:val="16"/>
                <w:szCs w:val="16"/>
              </w:rPr>
              <w:t xml:space="preserve"> simply defines the STA depending on its setting of the corresponding MIB variable. Hence there is no confusion on the definition because such definition depends on the setting of the MIB variable.</w:t>
            </w:r>
          </w:p>
        </w:tc>
      </w:tr>
    </w:tbl>
    <w:p w14:paraId="26A9B5C6" w14:textId="77777777" w:rsidR="0095165A" w:rsidRDefault="0095165A" w:rsidP="00006454">
      <w:pPr>
        <w:autoSpaceDE w:val="0"/>
        <w:autoSpaceDN w:val="0"/>
        <w:adjustRightInd w:val="0"/>
        <w:spacing w:before="240" w:after="240"/>
        <w:jc w:val="both"/>
        <w:rPr>
          <w:color w:val="000000"/>
          <w:sz w:val="20"/>
          <w:lang w:val="en-US" w:eastAsia="ko-KR"/>
        </w:rPr>
      </w:pPr>
    </w:p>
    <w:p w14:paraId="007A0F03" w14:textId="77777777" w:rsidR="0095165A" w:rsidRDefault="0095165A"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3397"/>
        <w:gridCol w:w="1440"/>
        <w:gridCol w:w="2273"/>
      </w:tblGrid>
      <w:tr w:rsidR="0095165A" w:rsidRPr="00A61F48" w14:paraId="6EA50680" w14:textId="77777777" w:rsidTr="007E0B2B">
        <w:tc>
          <w:tcPr>
            <w:tcW w:w="558" w:type="dxa"/>
          </w:tcPr>
          <w:p w14:paraId="0FE667D1"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152989A8"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7592A581"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15E43DE7"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Clause</w:t>
            </w:r>
          </w:p>
        </w:tc>
        <w:tc>
          <w:tcPr>
            <w:tcW w:w="3397" w:type="dxa"/>
          </w:tcPr>
          <w:p w14:paraId="70277A17"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440" w:type="dxa"/>
          </w:tcPr>
          <w:p w14:paraId="3583C6E2"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273" w:type="dxa"/>
          </w:tcPr>
          <w:p w14:paraId="1B718FC4"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5165A" w:rsidRPr="00996772" w14:paraId="2FBB9AB8" w14:textId="77777777" w:rsidTr="007E0B2B">
        <w:tc>
          <w:tcPr>
            <w:tcW w:w="558" w:type="dxa"/>
          </w:tcPr>
          <w:p w14:paraId="4BF75476" w14:textId="706ABFCD" w:rsidR="0095165A" w:rsidRPr="00996772" w:rsidRDefault="0095165A" w:rsidP="0039234D">
            <w:pPr>
              <w:keepNext/>
              <w:autoSpaceDE w:val="0"/>
              <w:autoSpaceDN w:val="0"/>
              <w:adjustRightInd w:val="0"/>
              <w:rPr>
                <w:rFonts w:eastAsia="Times New Roman"/>
                <w:sz w:val="16"/>
                <w:szCs w:val="16"/>
              </w:rPr>
            </w:pPr>
            <w:r w:rsidRPr="0095165A">
              <w:rPr>
                <w:rFonts w:eastAsia="Times New Roman"/>
                <w:sz w:val="16"/>
                <w:szCs w:val="16"/>
                <w:lang w:val="en-US"/>
              </w:rPr>
              <w:t>548</w:t>
            </w:r>
            <w:r w:rsidR="00CE3B09">
              <w:rPr>
                <w:rFonts w:eastAsia="Times New Roman"/>
                <w:sz w:val="16"/>
                <w:szCs w:val="16"/>
                <w:lang w:val="en-US"/>
              </w:rPr>
              <w:t>9</w:t>
            </w:r>
          </w:p>
        </w:tc>
        <w:tc>
          <w:tcPr>
            <w:tcW w:w="1080" w:type="dxa"/>
          </w:tcPr>
          <w:p w14:paraId="6A70055C" w14:textId="77777777"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668A9A19" w14:textId="53E2D290" w:rsidR="0095165A" w:rsidRPr="00996772" w:rsidRDefault="00CE3B09" w:rsidP="0039234D">
            <w:pPr>
              <w:keepNext/>
              <w:autoSpaceDE w:val="0"/>
              <w:autoSpaceDN w:val="0"/>
              <w:adjustRightInd w:val="0"/>
              <w:rPr>
                <w:rFonts w:eastAsia="Times New Roman"/>
                <w:sz w:val="16"/>
                <w:szCs w:val="16"/>
              </w:rPr>
            </w:pPr>
            <w:r>
              <w:rPr>
                <w:rFonts w:eastAsia="Times New Roman"/>
                <w:sz w:val="16"/>
                <w:szCs w:val="16"/>
              </w:rPr>
              <w:t>318</w:t>
            </w:r>
            <w:r w:rsidR="0095165A">
              <w:rPr>
                <w:rFonts w:eastAsia="Times New Roman"/>
                <w:sz w:val="16"/>
                <w:szCs w:val="16"/>
              </w:rPr>
              <w:t>.7</w:t>
            </w:r>
          </w:p>
        </w:tc>
        <w:tc>
          <w:tcPr>
            <w:tcW w:w="810" w:type="dxa"/>
          </w:tcPr>
          <w:p w14:paraId="6E469EB3" w14:textId="77777777" w:rsidR="0095165A" w:rsidRPr="00996772" w:rsidRDefault="0095165A" w:rsidP="0039234D">
            <w:pPr>
              <w:keepNext/>
              <w:autoSpaceDE w:val="0"/>
              <w:autoSpaceDN w:val="0"/>
              <w:adjustRightInd w:val="0"/>
              <w:rPr>
                <w:rFonts w:eastAsia="Times New Roman"/>
                <w:sz w:val="16"/>
                <w:szCs w:val="16"/>
              </w:rPr>
            </w:pPr>
            <w:r>
              <w:rPr>
                <w:rFonts w:eastAsia="Times New Roman"/>
                <w:sz w:val="16"/>
                <w:szCs w:val="16"/>
              </w:rPr>
              <w:t>9.42h.1</w:t>
            </w:r>
          </w:p>
        </w:tc>
        <w:tc>
          <w:tcPr>
            <w:tcW w:w="3397" w:type="dxa"/>
          </w:tcPr>
          <w:p w14:paraId="26432F44" w14:textId="0552795F" w:rsidR="0095165A" w:rsidRPr="00996772" w:rsidRDefault="00CE3B09" w:rsidP="0039234D">
            <w:pPr>
              <w:keepNext/>
              <w:autoSpaceDE w:val="0"/>
              <w:autoSpaceDN w:val="0"/>
              <w:adjustRightInd w:val="0"/>
              <w:rPr>
                <w:rFonts w:eastAsia="Times New Roman"/>
                <w:sz w:val="16"/>
                <w:szCs w:val="16"/>
              </w:rPr>
            </w:pPr>
            <w:r w:rsidRPr="00CE3B09">
              <w:rPr>
                <w:rFonts w:eastAsia="Times New Roman"/>
                <w:sz w:val="16"/>
                <w:szCs w:val="16"/>
              </w:rPr>
              <w:t>The figure of the relay architecture is very unclear.  It would be helpful if both Relay 1 and Relay 2 were shown as containing a relay-STA and a relay-AP.  Currently it is not clear what the relationship of the relay-STA/relay-AP box and the two relays in the figure are.  It would be helpful to clarify things if the figure showed that the relay-STA is associated with the Root AP, and that the STA1 is associated with the relay-AP of Relay 1. The association of the other STAs and relay-STA would also be helpful.  Also since a relay is a STA, it would be helpful to show the STA portion of the relay also.</w:t>
            </w:r>
          </w:p>
        </w:tc>
        <w:tc>
          <w:tcPr>
            <w:tcW w:w="1440" w:type="dxa"/>
          </w:tcPr>
          <w:p w14:paraId="7A790F74" w14:textId="061613B1" w:rsidR="0095165A" w:rsidRPr="00996772" w:rsidRDefault="00CE3B09" w:rsidP="0039234D">
            <w:pPr>
              <w:keepNext/>
              <w:autoSpaceDE w:val="0"/>
              <w:autoSpaceDN w:val="0"/>
              <w:adjustRightInd w:val="0"/>
              <w:rPr>
                <w:rFonts w:eastAsia="Times New Roman"/>
                <w:sz w:val="16"/>
                <w:szCs w:val="16"/>
              </w:rPr>
            </w:pPr>
            <w:proofErr w:type="gramStart"/>
            <w:r w:rsidRPr="00CE3B09">
              <w:rPr>
                <w:rFonts w:eastAsia="Times New Roman"/>
                <w:sz w:val="16"/>
                <w:szCs w:val="16"/>
                <w:lang w:val="en-US"/>
              </w:rPr>
              <w:t>update</w:t>
            </w:r>
            <w:proofErr w:type="gramEnd"/>
            <w:r w:rsidRPr="00CE3B09">
              <w:rPr>
                <w:rFonts w:eastAsia="Times New Roman"/>
                <w:sz w:val="16"/>
                <w:szCs w:val="16"/>
                <w:lang w:val="en-US"/>
              </w:rPr>
              <w:t xml:space="preserve"> the figure so that the architecture is clear</w:t>
            </w:r>
            <w:r>
              <w:rPr>
                <w:rFonts w:eastAsia="Times New Roman"/>
                <w:sz w:val="16"/>
                <w:szCs w:val="16"/>
                <w:lang w:val="en-US"/>
              </w:rPr>
              <w:t>.</w:t>
            </w:r>
          </w:p>
        </w:tc>
        <w:tc>
          <w:tcPr>
            <w:tcW w:w="2273" w:type="dxa"/>
          </w:tcPr>
          <w:p w14:paraId="17FE2F3E" w14:textId="77777777" w:rsidR="0095165A" w:rsidRDefault="00CE3B09" w:rsidP="0039234D">
            <w:pPr>
              <w:keepNext/>
              <w:autoSpaceDE w:val="0"/>
              <w:autoSpaceDN w:val="0"/>
              <w:adjustRightInd w:val="0"/>
              <w:rPr>
                <w:rFonts w:eastAsia="Times New Roman"/>
                <w:sz w:val="16"/>
                <w:szCs w:val="16"/>
              </w:rPr>
            </w:pPr>
            <w:r>
              <w:rPr>
                <w:rFonts w:eastAsia="Times New Roman"/>
                <w:sz w:val="16"/>
                <w:szCs w:val="16"/>
              </w:rPr>
              <w:t xml:space="preserve">Rejected - </w:t>
            </w:r>
          </w:p>
          <w:p w14:paraId="451E0905" w14:textId="77777777" w:rsidR="00CE3B09" w:rsidRDefault="00CE3B09" w:rsidP="0039234D">
            <w:pPr>
              <w:keepNext/>
              <w:autoSpaceDE w:val="0"/>
              <w:autoSpaceDN w:val="0"/>
              <w:adjustRightInd w:val="0"/>
              <w:rPr>
                <w:rFonts w:eastAsia="Times New Roman"/>
                <w:sz w:val="16"/>
                <w:szCs w:val="16"/>
              </w:rPr>
            </w:pPr>
          </w:p>
          <w:p w14:paraId="1152C77C" w14:textId="1E2CA59A" w:rsidR="00CE3B09" w:rsidRPr="00996772" w:rsidRDefault="00CE3B09" w:rsidP="0039234D">
            <w:pPr>
              <w:keepNext/>
              <w:autoSpaceDE w:val="0"/>
              <w:autoSpaceDN w:val="0"/>
              <w:adjustRightInd w:val="0"/>
              <w:rPr>
                <w:rFonts w:eastAsia="Times New Roman"/>
                <w:sz w:val="16"/>
                <w:szCs w:val="16"/>
              </w:rPr>
            </w:pPr>
            <w:r>
              <w:rPr>
                <w:rFonts w:eastAsia="Times New Roman"/>
                <w:sz w:val="16"/>
                <w:szCs w:val="16"/>
              </w:rPr>
              <w:t xml:space="preserve">This comment has been rejected because the figure appears to illustrate what the commenter is asking for, and there has been no submission </w:t>
            </w:r>
            <w:r w:rsidR="00374CBC">
              <w:rPr>
                <w:rFonts w:eastAsia="Times New Roman"/>
                <w:sz w:val="16"/>
                <w:szCs w:val="16"/>
              </w:rPr>
              <w:t xml:space="preserve">(yet) </w:t>
            </w:r>
            <w:r>
              <w:rPr>
                <w:rFonts w:eastAsia="Times New Roman"/>
                <w:sz w:val="16"/>
                <w:szCs w:val="16"/>
              </w:rPr>
              <w:t>with an illustration that improves the existing one.</w:t>
            </w:r>
          </w:p>
        </w:tc>
      </w:tr>
    </w:tbl>
    <w:p w14:paraId="4B2B40F0" w14:textId="77777777" w:rsidR="0095165A" w:rsidRDefault="0095165A"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95165A" w:rsidRPr="00A61F48" w14:paraId="5AD2A24B" w14:textId="77777777" w:rsidTr="0039234D">
        <w:tc>
          <w:tcPr>
            <w:tcW w:w="558" w:type="dxa"/>
          </w:tcPr>
          <w:p w14:paraId="6C27E0AE"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50E36C85"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3FC70727"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516A3F08"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7400E3E7"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6134187E"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269C721E" w14:textId="77777777" w:rsidR="0095165A" w:rsidRPr="00A61F48" w:rsidRDefault="0095165A" w:rsidP="0039234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5165A" w:rsidRPr="00996772" w14:paraId="427B06D4" w14:textId="77777777" w:rsidTr="0039234D">
        <w:tc>
          <w:tcPr>
            <w:tcW w:w="558" w:type="dxa"/>
          </w:tcPr>
          <w:p w14:paraId="5DA8F654" w14:textId="41A9BDE7" w:rsidR="0095165A" w:rsidRPr="00996772" w:rsidRDefault="00540657" w:rsidP="0039234D">
            <w:pPr>
              <w:keepNext/>
              <w:autoSpaceDE w:val="0"/>
              <w:autoSpaceDN w:val="0"/>
              <w:adjustRightInd w:val="0"/>
              <w:rPr>
                <w:rFonts w:eastAsia="Times New Roman"/>
                <w:sz w:val="16"/>
                <w:szCs w:val="16"/>
              </w:rPr>
            </w:pPr>
            <w:r>
              <w:rPr>
                <w:rFonts w:eastAsia="Times New Roman"/>
                <w:sz w:val="16"/>
                <w:szCs w:val="16"/>
              </w:rPr>
              <w:t>5412</w:t>
            </w:r>
          </w:p>
        </w:tc>
        <w:tc>
          <w:tcPr>
            <w:tcW w:w="1080" w:type="dxa"/>
          </w:tcPr>
          <w:p w14:paraId="35FEE19D" w14:textId="27E724F4" w:rsidR="0095165A" w:rsidRPr="00996772" w:rsidRDefault="00540657" w:rsidP="0039234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0E22097F" w14:textId="69817CE7" w:rsidR="0095165A" w:rsidRPr="00996772" w:rsidRDefault="00540657" w:rsidP="0039234D">
            <w:pPr>
              <w:keepNext/>
              <w:autoSpaceDE w:val="0"/>
              <w:autoSpaceDN w:val="0"/>
              <w:adjustRightInd w:val="0"/>
              <w:rPr>
                <w:rFonts w:eastAsia="Times New Roman"/>
                <w:sz w:val="16"/>
                <w:szCs w:val="16"/>
              </w:rPr>
            </w:pPr>
            <w:r>
              <w:rPr>
                <w:rFonts w:eastAsia="Times New Roman"/>
                <w:sz w:val="16"/>
                <w:szCs w:val="16"/>
              </w:rPr>
              <w:t>135.19</w:t>
            </w:r>
          </w:p>
        </w:tc>
        <w:tc>
          <w:tcPr>
            <w:tcW w:w="810" w:type="dxa"/>
          </w:tcPr>
          <w:p w14:paraId="4AD30F39" w14:textId="27A1A913" w:rsidR="0095165A" w:rsidRPr="00996772" w:rsidRDefault="00540657" w:rsidP="0039234D">
            <w:pPr>
              <w:keepNext/>
              <w:autoSpaceDE w:val="0"/>
              <w:autoSpaceDN w:val="0"/>
              <w:adjustRightInd w:val="0"/>
              <w:rPr>
                <w:rFonts w:eastAsia="Times New Roman"/>
                <w:sz w:val="16"/>
                <w:szCs w:val="16"/>
              </w:rPr>
            </w:pPr>
            <w:r>
              <w:rPr>
                <w:rFonts w:eastAsia="Times New Roman"/>
                <w:sz w:val="16"/>
                <w:szCs w:val="16"/>
              </w:rPr>
              <w:t>5.1.5</w:t>
            </w:r>
          </w:p>
        </w:tc>
        <w:tc>
          <w:tcPr>
            <w:tcW w:w="2700" w:type="dxa"/>
          </w:tcPr>
          <w:p w14:paraId="1DFBDF7E" w14:textId="55F31DD6" w:rsidR="0095165A" w:rsidRPr="00996772" w:rsidRDefault="00540657" w:rsidP="0039234D">
            <w:pPr>
              <w:keepNext/>
              <w:autoSpaceDE w:val="0"/>
              <w:autoSpaceDN w:val="0"/>
              <w:adjustRightInd w:val="0"/>
              <w:rPr>
                <w:rFonts w:eastAsia="Times New Roman"/>
                <w:sz w:val="16"/>
                <w:szCs w:val="16"/>
              </w:rPr>
            </w:pPr>
            <w:r w:rsidRPr="00540657">
              <w:rPr>
                <w:rFonts w:eastAsia="Times New Roman"/>
                <w:sz w:val="16"/>
                <w:szCs w:val="16"/>
                <w:lang w:val="en-US"/>
              </w:rPr>
              <w:t>The Relay function introduced in this amendment needs a data plane model in clause 5.1.5.</w:t>
            </w:r>
          </w:p>
        </w:tc>
        <w:tc>
          <w:tcPr>
            <w:tcW w:w="1530" w:type="dxa"/>
          </w:tcPr>
          <w:p w14:paraId="62B999D2" w14:textId="3FB5F8E8" w:rsidR="0095165A" w:rsidRPr="00996772" w:rsidRDefault="00540657" w:rsidP="0039234D">
            <w:pPr>
              <w:keepNext/>
              <w:autoSpaceDE w:val="0"/>
              <w:autoSpaceDN w:val="0"/>
              <w:adjustRightInd w:val="0"/>
              <w:rPr>
                <w:rFonts w:eastAsia="Times New Roman"/>
                <w:sz w:val="16"/>
                <w:szCs w:val="16"/>
              </w:rPr>
            </w:pPr>
            <w:r w:rsidRPr="00540657">
              <w:rPr>
                <w:rFonts w:eastAsia="Times New Roman"/>
                <w:sz w:val="16"/>
                <w:szCs w:val="16"/>
                <w:lang w:val="en-US"/>
              </w:rPr>
              <w:t>Add a 5.1.5 subclause with the role-specific model for Relay AP and Relay STA</w:t>
            </w:r>
            <w:r>
              <w:rPr>
                <w:rFonts w:eastAsia="Times New Roman"/>
                <w:sz w:val="16"/>
                <w:szCs w:val="16"/>
                <w:lang w:val="en-US"/>
              </w:rPr>
              <w:t>.</w:t>
            </w:r>
          </w:p>
        </w:tc>
        <w:tc>
          <w:tcPr>
            <w:tcW w:w="2880" w:type="dxa"/>
          </w:tcPr>
          <w:p w14:paraId="431AA350" w14:textId="77777777" w:rsidR="0095165A" w:rsidRDefault="00540657" w:rsidP="0039234D">
            <w:pPr>
              <w:keepNext/>
              <w:autoSpaceDE w:val="0"/>
              <w:autoSpaceDN w:val="0"/>
              <w:adjustRightInd w:val="0"/>
              <w:rPr>
                <w:rFonts w:eastAsia="Times New Roman"/>
                <w:sz w:val="16"/>
                <w:szCs w:val="16"/>
              </w:rPr>
            </w:pPr>
            <w:r>
              <w:rPr>
                <w:rFonts w:eastAsia="Times New Roman"/>
                <w:sz w:val="16"/>
                <w:szCs w:val="16"/>
              </w:rPr>
              <w:t xml:space="preserve">Rejected - </w:t>
            </w:r>
          </w:p>
          <w:p w14:paraId="1B599BA9" w14:textId="77777777" w:rsidR="00540657" w:rsidRDefault="00540657" w:rsidP="0039234D">
            <w:pPr>
              <w:keepNext/>
              <w:autoSpaceDE w:val="0"/>
              <w:autoSpaceDN w:val="0"/>
              <w:adjustRightInd w:val="0"/>
              <w:rPr>
                <w:rFonts w:eastAsia="Times New Roman"/>
                <w:sz w:val="16"/>
                <w:szCs w:val="16"/>
              </w:rPr>
            </w:pPr>
          </w:p>
          <w:p w14:paraId="054EFE36" w14:textId="145DA295" w:rsidR="00540657" w:rsidRPr="00996772" w:rsidRDefault="00540657" w:rsidP="002F7301">
            <w:pPr>
              <w:keepNext/>
              <w:autoSpaceDE w:val="0"/>
              <w:autoSpaceDN w:val="0"/>
              <w:adjustRightInd w:val="0"/>
              <w:rPr>
                <w:rFonts w:eastAsia="Times New Roman"/>
                <w:sz w:val="16"/>
                <w:szCs w:val="16"/>
              </w:rPr>
            </w:pPr>
            <w:r>
              <w:rPr>
                <w:rFonts w:eastAsia="Times New Roman"/>
                <w:sz w:val="16"/>
                <w:szCs w:val="16"/>
              </w:rPr>
              <w:t xml:space="preserve">The comment is rejected in absence of </w:t>
            </w:r>
            <w:r w:rsidR="002F7301" w:rsidRPr="002F7301">
              <w:rPr>
                <w:rFonts w:eastAsia="Times New Roman"/>
                <w:sz w:val="16"/>
                <w:szCs w:val="16"/>
              </w:rPr>
              <w:t>sufficiently</w:t>
            </w:r>
            <w:r w:rsidR="002F7301">
              <w:rPr>
                <w:rFonts w:eastAsia="Times New Roman"/>
                <w:sz w:val="16"/>
                <w:szCs w:val="16"/>
              </w:rPr>
              <w:t xml:space="preserve"> detailed proposed changes that would satisfy the comment and in absence of a </w:t>
            </w:r>
            <w:r>
              <w:rPr>
                <w:rFonts w:eastAsia="Times New Roman"/>
                <w:sz w:val="16"/>
                <w:szCs w:val="16"/>
              </w:rPr>
              <w:t>submission on how to resolve this comment.</w:t>
            </w:r>
          </w:p>
        </w:tc>
      </w:tr>
    </w:tbl>
    <w:p w14:paraId="55670496" w14:textId="6FF81564" w:rsidR="0095165A" w:rsidRDefault="0095165A" w:rsidP="00006454">
      <w:pPr>
        <w:autoSpaceDE w:val="0"/>
        <w:autoSpaceDN w:val="0"/>
        <w:adjustRightInd w:val="0"/>
        <w:spacing w:before="240" w:after="240"/>
        <w:jc w:val="both"/>
        <w:rPr>
          <w:color w:val="000000"/>
          <w:sz w:val="20"/>
          <w:lang w:val="en-US" w:eastAsia="ko-KR"/>
        </w:rPr>
      </w:pPr>
    </w:p>
    <w:p w14:paraId="69AFB774" w14:textId="3327ACD1" w:rsidR="009F39CB" w:rsidRPr="005A6BC3" w:rsidRDefault="009F39CB"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20"/>
          <w:lang w:val="en-US" w:eastAsia="ko-KR"/>
        </w:rPr>
      </w:pPr>
    </w:p>
    <w:sectPr w:rsidR="009F39CB" w:rsidRPr="005A6BC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2142B" w14:textId="77777777" w:rsidR="003523F4" w:rsidRDefault="003523F4">
      <w:r>
        <w:separator/>
      </w:r>
    </w:p>
  </w:endnote>
  <w:endnote w:type="continuationSeparator" w:id="0">
    <w:p w14:paraId="1A41CFEC" w14:textId="77777777" w:rsidR="003523F4" w:rsidRDefault="003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3523F4">
    <w:pPr>
      <w:pStyle w:val="Footer"/>
      <w:tabs>
        <w:tab w:val="clear" w:pos="6480"/>
        <w:tab w:val="center" w:pos="4680"/>
        <w:tab w:val="right" w:pos="9360"/>
      </w:tabs>
    </w:pPr>
    <w:r>
      <w:fldChar w:fldCharType="begin"/>
    </w:r>
    <w:r>
      <w:instrText xml:space="preserve"> SUBJECT  \* MERGEFORMAT </w:instrText>
    </w:r>
    <w:r>
      <w:fldChar w:fldCharType="separate"/>
    </w:r>
    <w:r w:rsidR="00DD4535">
      <w:t>Submission</w:t>
    </w:r>
    <w:r>
      <w:fldChar w:fldCharType="end"/>
    </w:r>
    <w:r w:rsidR="00DD4535">
      <w:tab/>
      <w:t xml:space="preserve">page </w:t>
    </w:r>
    <w:r w:rsidR="00DD4535">
      <w:fldChar w:fldCharType="begin"/>
    </w:r>
    <w:r w:rsidR="00DD4535">
      <w:instrText xml:space="preserve">page </w:instrText>
    </w:r>
    <w:r w:rsidR="00DD4535">
      <w:fldChar w:fldCharType="separate"/>
    </w:r>
    <w:r w:rsidR="00F73C41">
      <w:rPr>
        <w:noProof/>
      </w:rPr>
      <w:t>2</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1C22C" w14:textId="77777777" w:rsidR="003523F4" w:rsidRDefault="003523F4">
      <w:r>
        <w:separator/>
      </w:r>
    </w:p>
  </w:footnote>
  <w:footnote w:type="continuationSeparator" w:id="0">
    <w:p w14:paraId="4CF74083" w14:textId="77777777" w:rsidR="003523F4" w:rsidRDefault="0035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9C3F36C" w:rsidR="00DD4535" w:rsidRDefault="007E0B2B">
    <w:pPr>
      <w:pStyle w:val="Header"/>
      <w:tabs>
        <w:tab w:val="clear" w:pos="6480"/>
        <w:tab w:val="center" w:pos="4680"/>
        <w:tab w:val="right" w:pos="9360"/>
      </w:tabs>
    </w:pPr>
    <w:r>
      <w:rPr>
        <w:lang w:eastAsia="ko-KR"/>
      </w:rPr>
      <w:t xml:space="preserve">January </w:t>
    </w:r>
    <w:r w:rsidR="00DD4535">
      <w:t>201</w:t>
    </w:r>
    <w:r>
      <w:rPr>
        <w:lang w:eastAsia="ko-KR"/>
      </w:rPr>
      <w:t>5</w:t>
    </w:r>
    <w:r w:rsidR="00DD4535">
      <w:tab/>
    </w:r>
    <w:r w:rsidR="00DD4535">
      <w:tab/>
    </w:r>
    <w:r w:rsidR="003523F4">
      <w:fldChar w:fldCharType="begin"/>
    </w:r>
    <w:r w:rsidR="003523F4">
      <w:instrText xml:space="preserve"> TITLE  \* MERGEFORMAT </w:instrText>
    </w:r>
    <w:r w:rsidR="003523F4">
      <w:fldChar w:fldCharType="separate"/>
    </w:r>
    <w:r>
      <w:t>doc.: IEEE 802.11-15</w:t>
    </w:r>
    <w:r w:rsidR="00DD4535">
      <w:t>/</w:t>
    </w:r>
    <w:r w:rsidR="00F73C41">
      <w:rPr>
        <w:lang w:eastAsia="ko-KR"/>
      </w:rPr>
      <w:t>0109</w:t>
    </w:r>
    <w:r w:rsidR="00DD4535">
      <w:t>r</w:t>
    </w:r>
    <w:r w:rsidR="003523F4">
      <w:fldChar w:fldCharType="end"/>
    </w:r>
    <w:r w:rsidR="00DD4535">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1917"/>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301"/>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523F4"/>
    <w:rsid w:val="00360C87"/>
    <w:rsid w:val="00362C5B"/>
    <w:rsid w:val="00366AF0"/>
    <w:rsid w:val="003713CA"/>
    <w:rsid w:val="003729FC"/>
    <w:rsid w:val="00372FCA"/>
    <w:rsid w:val="00374CBC"/>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403"/>
    <w:rsid w:val="003E5916"/>
    <w:rsid w:val="003E5CD9"/>
    <w:rsid w:val="003E5DE7"/>
    <w:rsid w:val="003E667C"/>
    <w:rsid w:val="003E7414"/>
    <w:rsid w:val="003E7F99"/>
    <w:rsid w:val="003F2D6C"/>
    <w:rsid w:val="004014AE"/>
    <w:rsid w:val="00403645"/>
    <w:rsid w:val="004051EE"/>
    <w:rsid w:val="00407C5B"/>
    <w:rsid w:val="00421159"/>
    <w:rsid w:val="00430648"/>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0B2B"/>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3A90"/>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32CA"/>
    <w:rsid w:val="00BA787B"/>
    <w:rsid w:val="00BB20F2"/>
    <w:rsid w:val="00BB67AE"/>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85C"/>
    <w:rsid w:val="00DE6B30"/>
    <w:rsid w:val="00DF15D7"/>
    <w:rsid w:val="00DF6CC2"/>
    <w:rsid w:val="00E006E4"/>
    <w:rsid w:val="00E02AAD"/>
    <w:rsid w:val="00E0769B"/>
    <w:rsid w:val="00E07E4A"/>
    <w:rsid w:val="00E11083"/>
    <w:rsid w:val="00E14AFB"/>
    <w:rsid w:val="00E33B8F"/>
    <w:rsid w:val="00E405EE"/>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71FAA"/>
    <w:rsid w:val="00F73C41"/>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9C51B8C1-5B36-4FFE-87B2-9738EFD8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B5E0-BEC1-46D3-8665-5994B710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777</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5197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Asterjadhi, Alfred</cp:lastModifiedBy>
  <cp:revision>5</cp:revision>
  <cp:lastPrinted>2010-05-04T03:47:00Z</cp:lastPrinted>
  <dcterms:created xsi:type="dcterms:W3CDTF">2015-01-13T16:48:00Z</dcterms:created>
  <dcterms:modified xsi:type="dcterms:W3CDTF">2015-01-14T06:42:00Z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