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CA25D4">
            <w:pPr>
              <w:pStyle w:val="T2"/>
              <w:rPr>
                <w:b w:val="0"/>
                <w:bCs/>
              </w:rPr>
            </w:pPr>
            <w:r>
              <w:rPr>
                <w:b w:val="0"/>
                <w:bCs/>
              </w:rPr>
              <w:t xml:space="preserve">Comment Resolutions for </w:t>
            </w:r>
            <w:r w:rsidR="00CA25D4">
              <w:rPr>
                <w:b w:val="0"/>
                <w:bCs/>
              </w:rPr>
              <w:t>Annex B</w:t>
            </w:r>
          </w:p>
        </w:tc>
      </w:tr>
      <w:tr w:rsidR="00CA09B2" w:rsidRPr="0089687F" w:rsidTr="00B85517">
        <w:trPr>
          <w:trHeight w:val="359"/>
          <w:jc w:val="center"/>
        </w:trPr>
        <w:tc>
          <w:tcPr>
            <w:tcW w:w="9153" w:type="dxa"/>
            <w:gridSpan w:val="5"/>
            <w:vAlign w:val="center"/>
          </w:tcPr>
          <w:p w:rsidR="00CA09B2" w:rsidRPr="0060140A" w:rsidRDefault="00CA09B2" w:rsidP="00CA25D4">
            <w:pPr>
              <w:pStyle w:val="T2"/>
              <w:ind w:left="0"/>
              <w:rPr>
                <w:b w:val="0"/>
                <w:bCs/>
                <w:sz w:val="20"/>
              </w:rPr>
            </w:pPr>
            <w:r w:rsidRPr="0060140A">
              <w:rPr>
                <w:b w:val="0"/>
                <w:bCs/>
                <w:sz w:val="20"/>
              </w:rPr>
              <w:t xml:space="preserve">Date:  </w:t>
            </w:r>
            <w:r w:rsidR="00325B75" w:rsidRPr="0060140A">
              <w:rPr>
                <w:b w:val="0"/>
                <w:bCs/>
                <w:sz w:val="20"/>
              </w:rPr>
              <w:t>201</w:t>
            </w:r>
            <w:r w:rsidR="00CA25D4">
              <w:rPr>
                <w:b w:val="0"/>
                <w:bCs/>
                <w:sz w:val="20"/>
              </w:rPr>
              <w:t>5</w:t>
            </w:r>
            <w:r w:rsidRPr="0060140A">
              <w:rPr>
                <w:b w:val="0"/>
                <w:bCs/>
                <w:sz w:val="20"/>
              </w:rPr>
              <w:t>-</w:t>
            </w:r>
            <w:r w:rsidR="00CA25D4">
              <w:rPr>
                <w:b w:val="0"/>
                <w:bCs/>
                <w:sz w:val="20"/>
              </w:rPr>
              <w:t>01</w:t>
            </w:r>
            <w:r w:rsidRPr="0060140A">
              <w:rPr>
                <w:b w:val="0"/>
                <w:bCs/>
                <w:sz w:val="20"/>
              </w:rPr>
              <w:t>-</w:t>
            </w:r>
            <w:r w:rsidR="00CA25D4">
              <w:rPr>
                <w:b w:val="0"/>
                <w:bCs/>
                <w:sz w:val="20"/>
              </w:rPr>
              <w:t>12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776EFA"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r w:rsidR="00776EFA">
        <w:rPr>
          <w:lang w:eastAsia="ko-KR"/>
        </w:rPr>
        <w:t>Annex B</w:t>
      </w:r>
      <w:r w:rsidR="00B55E03">
        <w:rPr>
          <w:lang w:eastAsia="ko-KR"/>
        </w:rPr>
        <w:t>:</w:t>
      </w:r>
    </w:p>
    <w:p w:rsidR="0019575B" w:rsidRPr="003E0896" w:rsidRDefault="00776EFA" w:rsidP="0019575B">
      <w:pPr>
        <w:rPr>
          <w:lang w:eastAsia="ko-KR"/>
        </w:rPr>
      </w:pPr>
      <w:proofErr w:type="gramStart"/>
      <w:r>
        <w:rPr>
          <w:lang w:eastAsia="ko-KR"/>
        </w:rPr>
        <w:t>5118, 5119, 5120, 5349, 5351, 5393, 5394, 5121, 5122, 5123, 5124, 5125, 5126, 5395, 5409</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430"/>
      </w:tblGrid>
      <w:tr w:rsidR="004A14BF" w:rsidRPr="0089687F" w:rsidTr="00F65ECA">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B4424E" w:rsidRPr="00820CAC" w:rsidTr="008167E7">
        <w:trPr>
          <w:trHeight w:val="1530"/>
        </w:trPr>
        <w:tc>
          <w:tcPr>
            <w:tcW w:w="630" w:type="dxa"/>
            <w:hideMark/>
          </w:tcPr>
          <w:p w:rsidR="00B4424E" w:rsidRDefault="00B4424E">
            <w:pPr>
              <w:jc w:val="right"/>
              <w:rPr>
                <w:rFonts w:ascii="Arial" w:hAnsi="Arial" w:cs="Arial"/>
                <w:szCs w:val="20"/>
              </w:rPr>
            </w:pPr>
            <w:r>
              <w:rPr>
                <w:rFonts w:ascii="Arial" w:hAnsi="Arial" w:cs="Arial"/>
                <w:szCs w:val="20"/>
              </w:rPr>
              <w:t>5118</w:t>
            </w:r>
          </w:p>
        </w:tc>
        <w:tc>
          <w:tcPr>
            <w:tcW w:w="900" w:type="dxa"/>
            <w:hideMark/>
          </w:tcPr>
          <w:p w:rsidR="00B4424E" w:rsidRDefault="00B4424E">
            <w:pPr>
              <w:rPr>
                <w:rFonts w:ascii="Arial" w:hAnsi="Arial" w:cs="Arial"/>
                <w:szCs w:val="20"/>
              </w:rPr>
            </w:pPr>
            <w:r>
              <w:rPr>
                <w:rFonts w:ascii="Arial" w:hAnsi="Arial" w:cs="Arial"/>
                <w:szCs w:val="20"/>
              </w:rPr>
              <w:t>B.4.3</w:t>
            </w:r>
          </w:p>
        </w:tc>
        <w:tc>
          <w:tcPr>
            <w:tcW w:w="540" w:type="dxa"/>
            <w:hideMark/>
          </w:tcPr>
          <w:p w:rsidR="00B4424E" w:rsidRDefault="00B4424E">
            <w:pPr>
              <w:rPr>
                <w:rFonts w:ascii="Arial" w:hAnsi="Arial" w:cs="Arial"/>
                <w:szCs w:val="20"/>
              </w:rPr>
            </w:pPr>
            <w:r>
              <w:rPr>
                <w:rFonts w:ascii="Arial" w:hAnsi="Arial" w:cs="Arial"/>
                <w:szCs w:val="20"/>
              </w:rPr>
              <w:t>511</w:t>
            </w:r>
          </w:p>
        </w:tc>
        <w:tc>
          <w:tcPr>
            <w:tcW w:w="450" w:type="dxa"/>
            <w:hideMark/>
          </w:tcPr>
          <w:p w:rsidR="00B4424E" w:rsidRDefault="00B4424E">
            <w:pPr>
              <w:rPr>
                <w:rFonts w:ascii="Arial" w:hAnsi="Arial" w:cs="Arial"/>
                <w:szCs w:val="20"/>
              </w:rPr>
            </w:pPr>
            <w:r>
              <w:rPr>
                <w:rFonts w:ascii="Arial" w:hAnsi="Arial" w:cs="Arial"/>
                <w:szCs w:val="20"/>
              </w:rPr>
              <w:t>59</w:t>
            </w:r>
          </w:p>
        </w:tc>
        <w:tc>
          <w:tcPr>
            <w:tcW w:w="2160" w:type="dxa"/>
            <w:hideMark/>
          </w:tcPr>
          <w:p w:rsidR="00B4424E" w:rsidRDefault="00B4424E">
            <w:pPr>
              <w:rPr>
                <w:rFonts w:ascii="Arial" w:hAnsi="Arial" w:cs="Arial"/>
                <w:szCs w:val="20"/>
              </w:rPr>
            </w:pPr>
            <w:r>
              <w:rPr>
                <w:rFonts w:ascii="Arial" w:hAnsi="Arial" w:cs="Arial"/>
                <w:szCs w:val="20"/>
              </w:rPr>
              <w:t>I am not sure the "&amp;not CF32" is needed. It is clear enough that this function is only for CF25 (DMG STA)</w:t>
            </w:r>
          </w:p>
        </w:tc>
        <w:tc>
          <w:tcPr>
            <w:tcW w:w="2430" w:type="dxa"/>
            <w:hideMark/>
          </w:tcPr>
          <w:p w:rsidR="00B4424E" w:rsidRDefault="00B4424E">
            <w:pPr>
              <w:rPr>
                <w:rFonts w:ascii="Arial" w:hAnsi="Arial" w:cs="Arial"/>
                <w:szCs w:val="20"/>
              </w:rPr>
            </w:pPr>
            <w:r>
              <w:rPr>
                <w:rFonts w:ascii="Arial" w:hAnsi="Arial" w:cs="Arial"/>
                <w:szCs w:val="20"/>
              </w:rPr>
              <w:t>delete "&amp;not CF25"</w:t>
            </w:r>
          </w:p>
        </w:tc>
        <w:tc>
          <w:tcPr>
            <w:tcW w:w="2430" w:type="dxa"/>
            <w:hideMark/>
          </w:tcPr>
          <w:p w:rsidR="00B4424E" w:rsidRDefault="00B650C1" w:rsidP="008167E7">
            <w:pPr>
              <w:rPr>
                <w:rFonts w:asciiTheme="majorBidi" w:hAnsiTheme="majorBidi" w:cstheme="majorBidi"/>
                <w:szCs w:val="20"/>
                <w:lang w:val="en-US"/>
              </w:rPr>
            </w:pPr>
            <w:r>
              <w:rPr>
                <w:rFonts w:asciiTheme="majorBidi" w:hAnsiTheme="majorBidi" w:cstheme="majorBidi"/>
                <w:szCs w:val="20"/>
                <w:lang w:val="en-US"/>
              </w:rPr>
              <w:t>Revise</w:t>
            </w:r>
          </w:p>
          <w:p w:rsidR="00B650C1" w:rsidRDefault="00B650C1" w:rsidP="008167E7">
            <w:pPr>
              <w:rPr>
                <w:rFonts w:asciiTheme="majorBidi" w:hAnsiTheme="majorBidi" w:cstheme="majorBidi"/>
                <w:szCs w:val="20"/>
                <w:lang w:val="en-US"/>
              </w:rPr>
            </w:pPr>
            <w:r>
              <w:rPr>
                <w:rFonts w:asciiTheme="majorBidi" w:hAnsiTheme="majorBidi" w:cstheme="majorBidi"/>
                <w:szCs w:val="20"/>
                <w:lang w:val="en-US"/>
              </w:rPr>
              <w:t xml:space="preserve"> </w:t>
            </w:r>
          </w:p>
          <w:p w:rsidR="00B650C1" w:rsidRDefault="00B650C1" w:rsidP="008167E7">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deletes </w:t>
            </w:r>
            <w:r>
              <w:rPr>
                <w:rFonts w:ascii="Arial" w:hAnsi="Arial" w:cs="Arial"/>
                <w:szCs w:val="20"/>
              </w:rPr>
              <w:t>"&amp;not CF32" in P511L59</w:t>
            </w:r>
          </w:p>
          <w:p w:rsidR="00B4424E" w:rsidRPr="00B65B35" w:rsidRDefault="00B4424E" w:rsidP="00F84576">
            <w:pPr>
              <w:pStyle w:val="SP8245798"/>
              <w:spacing w:before="480" w:after="240"/>
              <w:rPr>
                <w:rFonts w:asciiTheme="majorBidi" w:hAnsiTheme="majorBidi" w:cstheme="majorBidi"/>
                <w:szCs w:val="20"/>
              </w:rPr>
            </w:pP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5119</w:t>
            </w:r>
          </w:p>
        </w:tc>
        <w:tc>
          <w:tcPr>
            <w:tcW w:w="900" w:type="dxa"/>
            <w:hideMark/>
          </w:tcPr>
          <w:p w:rsidR="00B4424E" w:rsidRDefault="00B4424E">
            <w:pPr>
              <w:rPr>
                <w:rFonts w:ascii="Arial" w:hAnsi="Arial" w:cs="Arial"/>
                <w:szCs w:val="20"/>
              </w:rPr>
            </w:pPr>
            <w:r>
              <w:rPr>
                <w:rFonts w:ascii="Arial" w:hAnsi="Arial" w:cs="Arial"/>
                <w:szCs w:val="20"/>
              </w:rPr>
              <w:t>B.4.3</w:t>
            </w:r>
          </w:p>
        </w:tc>
        <w:tc>
          <w:tcPr>
            <w:tcW w:w="540" w:type="dxa"/>
            <w:hideMark/>
          </w:tcPr>
          <w:p w:rsidR="00B4424E" w:rsidRDefault="00B4424E">
            <w:pPr>
              <w:rPr>
                <w:rFonts w:ascii="Arial" w:hAnsi="Arial" w:cs="Arial"/>
                <w:szCs w:val="20"/>
              </w:rPr>
            </w:pPr>
            <w:r>
              <w:rPr>
                <w:rFonts w:ascii="Arial" w:hAnsi="Arial" w:cs="Arial"/>
                <w:szCs w:val="20"/>
              </w:rPr>
              <w:t>5.12</w:t>
            </w:r>
          </w:p>
        </w:tc>
        <w:tc>
          <w:tcPr>
            <w:tcW w:w="450" w:type="dxa"/>
            <w:hideMark/>
          </w:tcPr>
          <w:p w:rsidR="00B4424E" w:rsidRDefault="00B4424E">
            <w:pPr>
              <w:rPr>
                <w:rFonts w:ascii="Arial" w:hAnsi="Arial" w:cs="Arial"/>
                <w:szCs w:val="20"/>
              </w:rPr>
            </w:pPr>
            <w:r>
              <w:rPr>
                <w:rFonts w:ascii="Arial" w:hAnsi="Arial" w:cs="Arial"/>
                <w:szCs w:val="20"/>
              </w:rPr>
              <w:t>44</w:t>
            </w:r>
          </w:p>
        </w:tc>
        <w:tc>
          <w:tcPr>
            <w:tcW w:w="2160" w:type="dxa"/>
            <w:hideMark/>
          </w:tcPr>
          <w:p w:rsidR="00B4424E" w:rsidRDefault="00B4424E">
            <w:pPr>
              <w:rPr>
                <w:rFonts w:ascii="Arial" w:hAnsi="Arial" w:cs="Arial"/>
                <w:szCs w:val="20"/>
              </w:rPr>
            </w:pPr>
            <w:r>
              <w:rPr>
                <w:rFonts w:ascii="Arial" w:hAnsi="Arial" w:cs="Arial"/>
                <w:szCs w:val="20"/>
              </w:rPr>
              <w:t>CF33 seems to make Relay optional for all other .11 amendments (HT, VHT, DMG, HEW</w:t>
            </w:r>
            <w:proofErr w:type="gramStart"/>
            <w:r>
              <w:rPr>
                <w:rFonts w:ascii="Arial" w:hAnsi="Arial" w:cs="Arial"/>
                <w:szCs w:val="20"/>
              </w:rPr>
              <w:t>,...</w:t>
            </w:r>
            <w:proofErr w:type="gramEnd"/>
            <w:r>
              <w:rPr>
                <w:rFonts w:ascii="Arial" w:hAnsi="Arial" w:cs="Arial"/>
                <w:szCs w:val="20"/>
              </w:rPr>
              <w:t>). Is that really the intention?</w:t>
            </w:r>
          </w:p>
        </w:tc>
        <w:tc>
          <w:tcPr>
            <w:tcW w:w="2430" w:type="dxa"/>
            <w:hideMark/>
          </w:tcPr>
          <w:p w:rsidR="00B4424E" w:rsidRDefault="00B4424E">
            <w:pPr>
              <w:rPr>
                <w:rFonts w:ascii="Arial" w:hAnsi="Arial" w:cs="Arial"/>
                <w:szCs w:val="20"/>
              </w:rPr>
            </w:pPr>
            <w:r>
              <w:rPr>
                <w:rFonts w:ascii="Arial" w:hAnsi="Arial" w:cs="Arial"/>
                <w:szCs w:val="20"/>
              </w:rPr>
              <w:t>add "AND CF32"</w:t>
            </w:r>
          </w:p>
        </w:tc>
        <w:tc>
          <w:tcPr>
            <w:tcW w:w="2430" w:type="dxa"/>
            <w:hideMark/>
          </w:tcPr>
          <w:p w:rsidR="00B4424E" w:rsidRDefault="00B4424E" w:rsidP="00B4424E">
            <w:pPr>
              <w:rPr>
                <w:rFonts w:asciiTheme="majorBidi" w:hAnsiTheme="majorBidi" w:cstheme="majorBidi"/>
                <w:szCs w:val="20"/>
                <w:lang w:val="en-US"/>
              </w:rPr>
            </w:pPr>
            <w:r>
              <w:rPr>
                <w:rFonts w:asciiTheme="majorBidi" w:hAnsiTheme="majorBidi" w:cstheme="majorBidi"/>
                <w:szCs w:val="20"/>
                <w:lang w:val="en-US"/>
              </w:rPr>
              <w:t>Reje</w:t>
            </w:r>
            <w:r w:rsidR="00DD4E2C">
              <w:rPr>
                <w:rFonts w:asciiTheme="majorBidi" w:hAnsiTheme="majorBidi" w:cstheme="majorBidi"/>
                <w:szCs w:val="20"/>
                <w:lang w:val="en-US"/>
              </w:rPr>
              <w:t>ct</w:t>
            </w:r>
          </w:p>
          <w:p w:rsidR="00DD4E2C" w:rsidRDefault="00DD4E2C" w:rsidP="00B4424E">
            <w:pPr>
              <w:rPr>
                <w:rFonts w:asciiTheme="majorBidi" w:hAnsiTheme="majorBidi" w:cstheme="majorBidi"/>
                <w:szCs w:val="20"/>
                <w:lang w:val="en-US"/>
              </w:rPr>
            </w:pPr>
          </w:p>
          <w:p w:rsidR="00DD4E2C" w:rsidRDefault="00DD4E2C" w:rsidP="00B4424E">
            <w:pPr>
              <w:rPr>
                <w:rFonts w:asciiTheme="majorBidi" w:hAnsiTheme="majorBidi" w:cstheme="majorBidi"/>
                <w:szCs w:val="20"/>
                <w:lang w:val="en-US"/>
              </w:rPr>
            </w:pPr>
            <w:r>
              <w:rPr>
                <w:rFonts w:asciiTheme="majorBidi" w:hAnsiTheme="majorBidi" w:cstheme="majorBidi"/>
                <w:szCs w:val="20"/>
                <w:lang w:val="en-US"/>
              </w:rPr>
              <w:t>Discussion: the Relay in 11ah allows any band STAs/APs to use it.</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5120</w:t>
            </w:r>
          </w:p>
        </w:tc>
        <w:tc>
          <w:tcPr>
            <w:tcW w:w="900" w:type="dxa"/>
            <w:hideMark/>
          </w:tcPr>
          <w:p w:rsidR="00B4424E" w:rsidRDefault="00B4424E">
            <w:pPr>
              <w:rPr>
                <w:rFonts w:ascii="Arial" w:hAnsi="Arial" w:cs="Arial"/>
                <w:szCs w:val="20"/>
              </w:rPr>
            </w:pPr>
            <w:r>
              <w:rPr>
                <w:rFonts w:ascii="Arial" w:hAnsi="Arial" w:cs="Arial"/>
                <w:szCs w:val="20"/>
              </w:rPr>
              <w:t>B.4.4.2</w:t>
            </w:r>
          </w:p>
        </w:tc>
        <w:tc>
          <w:tcPr>
            <w:tcW w:w="540" w:type="dxa"/>
            <w:hideMark/>
          </w:tcPr>
          <w:p w:rsidR="00B4424E" w:rsidRDefault="00B4424E">
            <w:pPr>
              <w:rPr>
                <w:rFonts w:ascii="Arial" w:hAnsi="Arial" w:cs="Arial"/>
                <w:szCs w:val="20"/>
              </w:rPr>
            </w:pPr>
            <w:r>
              <w:rPr>
                <w:rFonts w:ascii="Arial" w:hAnsi="Arial" w:cs="Arial"/>
                <w:szCs w:val="20"/>
              </w:rPr>
              <w:t>514</w:t>
            </w:r>
          </w:p>
        </w:tc>
        <w:tc>
          <w:tcPr>
            <w:tcW w:w="450" w:type="dxa"/>
            <w:hideMark/>
          </w:tcPr>
          <w:p w:rsidR="00B4424E" w:rsidRDefault="00B4424E">
            <w:pPr>
              <w:rPr>
                <w:rFonts w:ascii="Arial" w:hAnsi="Arial" w:cs="Arial"/>
                <w:szCs w:val="20"/>
              </w:rPr>
            </w:pPr>
            <w:r>
              <w:rPr>
                <w:rFonts w:ascii="Arial" w:hAnsi="Arial" w:cs="Arial"/>
                <w:szCs w:val="20"/>
              </w:rPr>
              <w:t>31</w:t>
            </w:r>
          </w:p>
        </w:tc>
        <w:tc>
          <w:tcPr>
            <w:tcW w:w="2160" w:type="dxa"/>
            <w:hideMark/>
          </w:tcPr>
          <w:p w:rsidR="00B4424E" w:rsidRDefault="00B4424E">
            <w:pPr>
              <w:rPr>
                <w:rFonts w:ascii="Arial" w:hAnsi="Arial" w:cs="Arial"/>
                <w:szCs w:val="20"/>
              </w:rPr>
            </w:pPr>
            <w:proofErr w:type="gramStart"/>
            <w:r>
              <w:rPr>
                <w:rFonts w:ascii="Arial" w:hAnsi="Arial" w:cs="Arial"/>
                <w:szCs w:val="20"/>
              </w:rPr>
              <w:t>there</w:t>
            </w:r>
            <w:proofErr w:type="gramEnd"/>
            <w:r>
              <w:rPr>
                <w:rFonts w:ascii="Arial" w:hAnsi="Arial" w:cs="Arial"/>
                <w:szCs w:val="20"/>
              </w:rPr>
              <w:t xml:space="preserve"> is seems to be a contradiction in FT46 category. While FT 46 mandates all NDP CMAC frames, the sub categories have some of them options. Need to decide which way is the support for CMAC frames.</w:t>
            </w:r>
          </w:p>
        </w:tc>
        <w:tc>
          <w:tcPr>
            <w:tcW w:w="2430" w:type="dxa"/>
            <w:hideMark/>
          </w:tcPr>
          <w:p w:rsidR="00B4424E" w:rsidRDefault="00B4424E">
            <w:pPr>
              <w:rPr>
                <w:rFonts w:ascii="Arial" w:hAnsi="Arial" w:cs="Arial"/>
                <w:szCs w:val="20"/>
              </w:rPr>
            </w:pPr>
            <w:r>
              <w:rPr>
                <w:rFonts w:ascii="Arial" w:hAnsi="Arial" w:cs="Arial"/>
                <w:szCs w:val="20"/>
              </w:rPr>
              <w:t>I think what needs to be done is to treat NDP CMAC frames as a category with no indication of M or O, then treat each frame type separately</w:t>
            </w:r>
          </w:p>
        </w:tc>
        <w:tc>
          <w:tcPr>
            <w:tcW w:w="2430" w:type="dxa"/>
            <w:hideMark/>
          </w:tcPr>
          <w:p w:rsidR="00B4424E" w:rsidRDefault="00942DFA" w:rsidP="00B4424E">
            <w:pPr>
              <w:rPr>
                <w:rFonts w:asciiTheme="majorBidi" w:hAnsiTheme="majorBidi" w:cstheme="majorBidi"/>
                <w:szCs w:val="20"/>
                <w:lang w:val="en-US"/>
              </w:rPr>
            </w:pPr>
            <w:r>
              <w:rPr>
                <w:rFonts w:asciiTheme="majorBidi" w:hAnsiTheme="majorBidi" w:cstheme="majorBidi"/>
                <w:szCs w:val="20"/>
                <w:lang w:val="en-US"/>
              </w:rPr>
              <w:t>Reject</w:t>
            </w:r>
          </w:p>
          <w:p w:rsidR="00942DFA" w:rsidRDefault="00942DFA" w:rsidP="00B4424E">
            <w:pPr>
              <w:rPr>
                <w:rFonts w:asciiTheme="majorBidi" w:hAnsiTheme="majorBidi" w:cstheme="majorBidi"/>
                <w:szCs w:val="20"/>
                <w:lang w:val="en-US"/>
              </w:rPr>
            </w:pPr>
          </w:p>
          <w:p w:rsidR="00942DFA" w:rsidRDefault="00942DFA" w:rsidP="00B4424E">
            <w:pPr>
              <w:rPr>
                <w:rFonts w:asciiTheme="majorBidi" w:hAnsiTheme="majorBidi" w:cstheme="majorBidi"/>
                <w:szCs w:val="20"/>
                <w:lang w:val="en-US"/>
              </w:rPr>
            </w:pPr>
            <w:r>
              <w:rPr>
                <w:rFonts w:asciiTheme="majorBidi" w:hAnsiTheme="majorBidi" w:cstheme="majorBidi"/>
                <w:szCs w:val="20"/>
                <w:lang w:val="en-US"/>
              </w:rPr>
              <w:t xml:space="preserve">Discussion: FT46 mandatory means that NDP frame as a total feature must be supported by a S1G STA/AP. However some of NDP frames may be optional. </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5349</w:t>
            </w:r>
          </w:p>
        </w:tc>
        <w:tc>
          <w:tcPr>
            <w:tcW w:w="900" w:type="dxa"/>
            <w:hideMark/>
          </w:tcPr>
          <w:p w:rsidR="00B4424E" w:rsidRDefault="00B4424E">
            <w:pPr>
              <w:rPr>
                <w:rFonts w:ascii="Arial" w:hAnsi="Arial" w:cs="Arial"/>
                <w:szCs w:val="20"/>
              </w:rPr>
            </w:pPr>
            <w:r>
              <w:rPr>
                <w:rFonts w:ascii="Arial" w:hAnsi="Arial" w:cs="Arial"/>
                <w:szCs w:val="20"/>
              </w:rPr>
              <w:t>B.4.4</w:t>
            </w:r>
          </w:p>
        </w:tc>
        <w:tc>
          <w:tcPr>
            <w:tcW w:w="540" w:type="dxa"/>
            <w:hideMark/>
          </w:tcPr>
          <w:p w:rsidR="00B4424E" w:rsidRDefault="00B4424E">
            <w:pPr>
              <w:rPr>
                <w:rFonts w:ascii="Arial" w:hAnsi="Arial" w:cs="Arial"/>
                <w:szCs w:val="20"/>
              </w:rPr>
            </w:pPr>
            <w:r>
              <w:rPr>
                <w:rFonts w:ascii="Arial" w:hAnsi="Arial" w:cs="Arial"/>
                <w:szCs w:val="20"/>
              </w:rPr>
              <w:t>512</w:t>
            </w:r>
          </w:p>
        </w:tc>
        <w:tc>
          <w:tcPr>
            <w:tcW w:w="450" w:type="dxa"/>
            <w:hideMark/>
          </w:tcPr>
          <w:p w:rsidR="00B4424E" w:rsidRDefault="00B4424E">
            <w:pPr>
              <w:rPr>
                <w:rFonts w:ascii="Arial" w:hAnsi="Arial" w:cs="Arial"/>
                <w:szCs w:val="20"/>
              </w:rPr>
            </w:pPr>
            <w:r>
              <w:rPr>
                <w:rFonts w:ascii="Arial" w:hAnsi="Arial" w:cs="Arial"/>
                <w:szCs w:val="20"/>
              </w:rPr>
              <w:t>51</w:t>
            </w:r>
          </w:p>
        </w:tc>
        <w:tc>
          <w:tcPr>
            <w:tcW w:w="2160" w:type="dxa"/>
            <w:hideMark/>
          </w:tcPr>
          <w:p w:rsidR="00B4424E" w:rsidRDefault="00B4424E">
            <w:pPr>
              <w:rPr>
                <w:rFonts w:ascii="Arial" w:hAnsi="Arial" w:cs="Arial"/>
                <w:szCs w:val="20"/>
              </w:rPr>
            </w:pPr>
            <w:r>
              <w:rPr>
                <w:rFonts w:ascii="Arial" w:hAnsi="Arial" w:cs="Arial"/>
                <w:szCs w:val="20"/>
              </w:rPr>
              <w:t xml:space="preserve">As pointed out by the editors note rows FT7 and FR7 in the table of this </w:t>
            </w:r>
            <w:proofErr w:type="spellStart"/>
            <w:r>
              <w:rPr>
                <w:rFonts w:ascii="Arial" w:hAnsi="Arial" w:cs="Arial"/>
                <w:szCs w:val="20"/>
              </w:rPr>
              <w:t>subclause</w:t>
            </w:r>
            <w:proofErr w:type="spellEnd"/>
            <w:r>
              <w:rPr>
                <w:rFonts w:ascii="Arial" w:hAnsi="Arial" w:cs="Arial"/>
                <w:szCs w:val="20"/>
              </w:rPr>
              <w:t xml:space="preserve"> are not </w:t>
            </w:r>
            <w:proofErr w:type="spellStart"/>
            <w:r>
              <w:rPr>
                <w:rFonts w:ascii="Arial" w:hAnsi="Arial" w:cs="Arial"/>
                <w:szCs w:val="20"/>
              </w:rPr>
              <w:t>inline</w:t>
            </w:r>
            <w:proofErr w:type="spellEnd"/>
            <w:r>
              <w:rPr>
                <w:rFonts w:ascii="Arial" w:hAnsi="Arial" w:cs="Arial"/>
                <w:szCs w:val="20"/>
              </w:rPr>
              <w:t xml:space="preserve"> with </w:t>
            </w:r>
            <w:proofErr w:type="spellStart"/>
            <w:r>
              <w:rPr>
                <w:rFonts w:ascii="Arial" w:hAnsi="Arial" w:cs="Arial"/>
                <w:szCs w:val="20"/>
              </w:rPr>
              <w:t>REVmc</w:t>
            </w:r>
            <w:proofErr w:type="spellEnd"/>
            <w:r>
              <w:rPr>
                <w:rFonts w:ascii="Arial" w:hAnsi="Arial" w:cs="Arial"/>
                <w:szCs w:val="20"/>
              </w:rPr>
              <w:t xml:space="preserve"> D3.0. Also the conditions in </w:t>
            </w:r>
            <w:proofErr w:type="spellStart"/>
            <w:r>
              <w:rPr>
                <w:rFonts w:ascii="Arial" w:hAnsi="Arial" w:cs="Arial"/>
                <w:szCs w:val="20"/>
              </w:rPr>
              <w:t>REVmc</w:t>
            </w:r>
            <w:proofErr w:type="spellEnd"/>
            <w:r>
              <w:rPr>
                <w:rFonts w:ascii="Arial" w:hAnsi="Arial" w:cs="Arial"/>
                <w:szCs w:val="20"/>
              </w:rPr>
              <w:t xml:space="preserve"> D3.0 use AND, OR terminology rather than &amp;. So keep consistency throughout annex B.</w:t>
            </w:r>
          </w:p>
        </w:tc>
        <w:tc>
          <w:tcPr>
            <w:tcW w:w="2430" w:type="dxa"/>
            <w:hideMark/>
          </w:tcPr>
          <w:p w:rsidR="00B4424E" w:rsidRDefault="00B4424E">
            <w:pPr>
              <w:rPr>
                <w:rFonts w:ascii="Arial" w:hAnsi="Arial" w:cs="Arial"/>
                <w:szCs w:val="20"/>
              </w:rPr>
            </w:pPr>
            <w:r>
              <w:rPr>
                <w:rFonts w:ascii="Arial" w:hAnsi="Arial" w:cs="Arial"/>
                <w:szCs w:val="20"/>
              </w:rPr>
              <w:t xml:space="preserve">Fix this inconsistency. Also check that all the tables are </w:t>
            </w:r>
            <w:proofErr w:type="spellStart"/>
            <w:r>
              <w:rPr>
                <w:rFonts w:ascii="Arial" w:hAnsi="Arial" w:cs="Arial"/>
                <w:szCs w:val="20"/>
              </w:rPr>
              <w:t>inline</w:t>
            </w:r>
            <w:proofErr w:type="spellEnd"/>
            <w:r>
              <w:rPr>
                <w:rFonts w:ascii="Arial" w:hAnsi="Arial" w:cs="Arial"/>
                <w:szCs w:val="20"/>
              </w:rPr>
              <w:t xml:space="preserve"> with </w:t>
            </w:r>
            <w:proofErr w:type="spellStart"/>
            <w:r>
              <w:rPr>
                <w:rFonts w:ascii="Arial" w:hAnsi="Arial" w:cs="Arial"/>
                <w:szCs w:val="20"/>
              </w:rPr>
              <w:t>REVmc</w:t>
            </w:r>
            <w:proofErr w:type="spellEnd"/>
            <w:r>
              <w:rPr>
                <w:rFonts w:ascii="Arial" w:hAnsi="Arial" w:cs="Arial"/>
                <w:szCs w:val="20"/>
              </w:rPr>
              <w:t xml:space="preserve"> D3.0 to avoid other inconsistencies.</w:t>
            </w:r>
          </w:p>
        </w:tc>
        <w:tc>
          <w:tcPr>
            <w:tcW w:w="2430" w:type="dxa"/>
            <w:hideMark/>
          </w:tcPr>
          <w:p w:rsidR="00B4424E" w:rsidRDefault="004454D4" w:rsidP="00B4424E">
            <w:pPr>
              <w:rPr>
                <w:rFonts w:asciiTheme="majorBidi" w:hAnsiTheme="majorBidi" w:cstheme="majorBidi"/>
                <w:szCs w:val="20"/>
                <w:lang w:val="en-US"/>
              </w:rPr>
            </w:pPr>
            <w:r>
              <w:rPr>
                <w:rFonts w:asciiTheme="majorBidi" w:hAnsiTheme="majorBidi" w:cstheme="majorBidi"/>
                <w:szCs w:val="20"/>
                <w:lang w:val="en-US"/>
              </w:rPr>
              <w:t>Revise</w:t>
            </w:r>
          </w:p>
          <w:p w:rsidR="004454D4" w:rsidRDefault="004454D4" w:rsidP="00B4424E">
            <w:pPr>
              <w:rPr>
                <w:rFonts w:asciiTheme="majorBidi" w:hAnsiTheme="majorBidi" w:cstheme="majorBidi"/>
                <w:szCs w:val="20"/>
                <w:lang w:val="en-US"/>
              </w:rPr>
            </w:pPr>
          </w:p>
          <w:p w:rsidR="004454D4" w:rsidRDefault="004454D4" w:rsidP="00B4424E">
            <w:pPr>
              <w:rPr>
                <w:rFonts w:asciiTheme="majorBidi" w:hAnsiTheme="majorBidi" w:cstheme="majorBidi"/>
                <w:szCs w:val="20"/>
                <w:lang w:val="en-US"/>
              </w:rPr>
            </w:pPr>
          </w:p>
          <w:p w:rsidR="004454D4" w:rsidRDefault="004454D4" w:rsidP="00B4424E">
            <w:pPr>
              <w:rPr>
                <w:rFonts w:asciiTheme="majorBidi" w:hAnsiTheme="majorBidi" w:cstheme="majorBidi"/>
                <w:szCs w:val="20"/>
                <w:lang w:val="en-US"/>
              </w:rPr>
            </w:pPr>
          </w:p>
          <w:p w:rsidR="004454D4" w:rsidRDefault="004454D4" w:rsidP="004454D4">
            <w:pPr>
              <w:widowControl/>
              <w:autoSpaceDE w:val="0"/>
              <w:autoSpaceDN w:val="0"/>
              <w:adjustRightInd w:val="0"/>
              <w:jc w:val="left"/>
              <w:rPr>
                <w:rFonts w:ascii="TimesNewRomanPSMT" w:hAnsi="TimesNewRomanPSMT" w:cs="TimesNewRomanPSMT"/>
                <w:sz w:val="18"/>
                <w:szCs w:val="18"/>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status of FT7 to “</w:t>
            </w:r>
            <w:r>
              <w:rPr>
                <w:rFonts w:ascii="TimesNewRomanPSMT" w:hAnsi="TimesNewRomanPSMT" w:cs="TimesNewRomanPSMT"/>
                <w:sz w:val="18"/>
                <w:szCs w:val="18"/>
                <w:lang w:val="en-US"/>
              </w:rPr>
              <w:t>(CF1 OR CF2.2</w:t>
            </w:r>
          </w:p>
          <w:p w:rsidR="004454D4" w:rsidRDefault="004454D4" w:rsidP="004454D4">
            <w:pPr>
              <w:widowControl/>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OR CF21)</w:t>
            </w:r>
          </w:p>
          <w:p w:rsidR="004454D4" w:rsidRDefault="004454D4" w:rsidP="004454D4">
            <w:pPr>
              <w:rPr>
                <w:rFonts w:asciiTheme="majorBidi" w:hAnsiTheme="majorBidi" w:cstheme="majorBidi"/>
                <w:szCs w:val="20"/>
                <w:lang w:val="en-US"/>
              </w:rPr>
            </w:pPr>
            <w:r>
              <w:rPr>
                <w:rFonts w:ascii="TimesNewRomanPSMT" w:hAnsi="TimesNewRomanPSMT" w:cs="TimesNewRomanPSMT"/>
                <w:sz w:val="18"/>
                <w:szCs w:val="18"/>
                <w:lang w:val="en-US"/>
              </w:rPr>
              <w:t>AND (CF27 AND (NOT CF32)):M</w:t>
            </w:r>
            <w:r>
              <w:rPr>
                <w:rFonts w:asciiTheme="majorBidi" w:hAnsiTheme="majorBidi" w:cstheme="majorBidi"/>
                <w:szCs w:val="20"/>
                <w:lang w:val="en-US"/>
              </w:rPr>
              <w:t>”</w:t>
            </w:r>
          </w:p>
          <w:p w:rsidR="004454D4" w:rsidRDefault="004454D4" w:rsidP="004454D4">
            <w:pPr>
              <w:rPr>
                <w:rFonts w:asciiTheme="majorBidi" w:hAnsiTheme="majorBidi" w:cstheme="majorBidi"/>
                <w:szCs w:val="20"/>
                <w:lang w:val="en-US"/>
              </w:rPr>
            </w:pPr>
          </w:p>
          <w:p w:rsidR="004454D4" w:rsidRDefault="004454D4" w:rsidP="004454D4">
            <w:pPr>
              <w:widowControl/>
              <w:autoSpaceDE w:val="0"/>
              <w:autoSpaceDN w:val="0"/>
              <w:adjustRightInd w:val="0"/>
              <w:jc w:val="left"/>
              <w:rPr>
                <w:rFonts w:ascii="TimesNewRomanPSMT" w:hAnsi="TimesNewRomanPSMT" w:cs="TimesNewRomanPSMT"/>
                <w:sz w:val="18"/>
                <w:szCs w:val="18"/>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status of FR7 to “</w:t>
            </w:r>
            <w:r>
              <w:rPr>
                <w:rFonts w:ascii="TimesNewRomanPSMT" w:hAnsi="TimesNewRomanPSMT" w:cs="TimesNewRomanPSMT"/>
                <w:sz w:val="18"/>
                <w:szCs w:val="18"/>
                <w:lang w:val="en-US"/>
              </w:rPr>
              <w:t>(NOT CF31 AND (NOT CF32)):M</w:t>
            </w:r>
          </w:p>
          <w:p w:rsidR="004454D4" w:rsidRDefault="004454D4" w:rsidP="004454D4">
            <w:pPr>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(CF27 AND (NOT CF </w:t>
            </w:r>
            <w:r>
              <w:rPr>
                <w:rFonts w:ascii="TimesNewRomanPSMT" w:hAnsi="TimesNewRomanPSMT" w:cs="TimesNewRomanPSMT"/>
                <w:sz w:val="18"/>
                <w:szCs w:val="18"/>
                <w:lang w:val="en-US"/>
              </w:rPr>
              <w:lastRenderedPageBreak/>
              <w:t>32)):M”</w:t>
            </w:r>
          </w:p>
          <w:p w:rsidR="00D654C6" w:rsidRDefault="00D654C6" w:rsidP="004454D4">
            <w:pPr>
              <w:rPr>
                <w:rFonts w:ascii="TimesNewRomanPSMT" w:hAnsi="TimesNewRomanPSMT" w:cs="TimesNewRomanPSMT"/>
                <w:sz w:val="18"/>
                <w:szCs w:val="18"/>
                <w:lang w:val="en-US"/>
              </w:rPr>
            </w:pPr>
          </w:p>
          <w:p w:rsidR="00D654C6" w:rsidRDefault="00D654C6" w:rsidP="004454D4">
            <w:pPr>
              <w:rPr>
                <w:rFonts w:ascii="TimesNewRomanPSMT" w:hAnsi="TimesNewRomanPSMT" w:cs="TimesNewRomanPSMT"/>
                <w:sz w:val="18"/>
                <w:szCs w:val="18"/>
                <w:lang w:val="en-US"/>
              </w:rPr>
            </w:pPr>
            <w:proofErr w:type="spellStart"/>
            <w:r>
              <w:rPr>
                <w:rFonts w:ascii="TimesNewRomanPSMT" w:hAnsi="TimesNewRomanPSMT" w:cs="TimesNewRomanPSMT"/>
                <w:sz w:val="18"/>
                <w:szCs w:val="18"/>
                <w:lang w:val="en-US"/>
              </w:rPr>
              <w:t>TGah</w:t>
            </w:r>
            <w:proofErr w:type="spellEnd"/>
            <w:r>
              <w:rPr>
                <w:rFonts w:ascii="TimesNewRomanPSMT" w:hAnsi="TimesNewRomanPSMT" w:cs="TimesNewRomanPSMT"/>
                <w:sz w:val="18"/>
                <w:szCs w:val="18"/>
                <w:lang w:val="en-US"/>
              </w:rPr>
              <w:t xml:space="preserve"> editor changes “&amp;” to “AND” in all the tables of  Annex B</w:t>
            </w:r>
          </w:p>
          <w:p w:rsidR="00D654C6" w:rsidRDefault="00D654C6" w:rsidP="004454D4">
            <w:pPr>
              <w:rPr>
                <w:rFonts w:ascii="TimesNewRomanPSMT" w:hAnsi="TimesNewRomanPSMT" w:cs="TimesNewRomanPSMT"/>
                <w:sz w:val="18"/>
                <w:szCs w:val="18"/>
                <w:lang w:val="en-US"/>
              </w:rPr>
            </w:pPr>
          </w:p>
          <w:p w:rsidR="00D654C6" w:rsidRDefault="00D654C6" w:rsidP="004454D4">
            <w:pPr>
              <w:rPr>
                <w:rFonts w:asciiTheme="majorBidi" w:hAnsiTheme="majorBidi" w:cstheme="majorBidi"/>
                <w:szCs w:val="20"/>
                <w:lang w:val="en-US"/>
              </w:rPr>
            </w:pPr>
            <w:proofErr w:type="spellStart"/>
            <w:r>
              <w:rPr>
                <w:rFonts w:ascii="TimesNewRomanPSMT" w:hAnsi="TimesNewRomanPSMT" w:cs="TimesNewRomanPSMT"/>
                <w:sz w:val="18"/>
                <w:szCs w:val="18"/>
                <w:lang w:val="en-US"/>
              </w:rPr>
              <w:t>TGah</w:t>
            </w:r>
            <w:proofErr w:type="spellEnd"/>
            <w:r>
              <w:rPr>
                <w:rFonts w:ascii="TimesNewRomanPSMT" w:hAnsi="TimesNewRomanPSMT" w:cs="TimesNewRomanPSMT"/>
                <w:sz w:val="18"/>
                <w:szCs w:val="18"/>
                <w:lang w:val="en-US"/>
              </w:rPr>
              <w:t xml:space="preserve"> editor changes “or” to “OR” in all the tables of  Annex B</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lastRenderedPageBreak/>
              <w:t>5351</w:t>
            </w:r>
          </w:p>
        </w:tc>
        <w:tc>
          <w:tcPr>
            <w:tcW w:w="900" w:type="dxa"/>
            <w:hideMark/>
          </w:tcPr>
          <w:p w:rsidR="00B4424E" w:rsidRDefault="00B4424E">
            <w:pPr>
              <w:rPr>
                <w:rFonts w:ascii="Arial" w:hAnsi="Arial" w:cs="Arial"/>
                <w:szCs w:val="20"/>
              </w:rPr>
            </w:pPr>
            <w:r>
              <w:rPr>
                <w:rFonts w:ascii="Arial" w:hAnsi="Arial" w:cs="Arial"/>
                <w:szCs w:val="20"/>
              </w:rPr>
              <w:t>B4.4.2</w:t>
            </w:r>
          </w:p>
        </w:tc>
        <w:tc>
          <w:tcPr>
            <w:tcW w:w="540" w:type="dxa"/>
            <w:hideMark/>
          </w:tcPr>
          <w:p w:rsidR="00B4424E" w:rsidRDefault="00B4424E">
            <w:pPr>
              <w:rPr>
                <w:rFonts w:ascii="Arial" w:hAnsi="Arial" w:cs="Arial"/>
                <w:szCs w:val="20"/>
              </w:rPr>
            </w:pPr>
            <w:r>
              <w:rPr>
                <w:rFonts w:ascii="Arial" w:hAnsi="Arial" w:cs="Arial"/>
                <w:szCs w:val="20"/>
              </w:rPr>
              <w:t>514</w:t>
            </w:r>
          </w:p>
        </w:tc>
        <w:tc>
          <w:tcPr>
            <w:tcW w:w="450" w:type="dxa"/>
            <w:hideMark/>
          </w:tcPr>
          <w:p w:rsidR="00B4424E" w:rsidRDefault="00B4424E">
            <w:pPr>
              <w:rPr>
                <w:rFonts w:ascii="Arial" w:hAnsi="Arial" w:cs="Arial"/>
                <w:szCs w:val="20"/>
              </w:rPr>
            </w:pPr>
            <w:r>
              <w:rPr>
                <w:rFonts w:ascii="Arial" w:hAnsi="Arial" w:cs="Arial"/>
                <w:szCs w:val="20"/>
              </w:rPr>
              <w:t>23</w:t>
            </w:r>
          </w:p>
        </w:tc>
        <w:tc>
          <w:tcPr>
            <w:tcW w:w="2160" w:type="dxa"/>
            <w:hideMark/>
          </w:tcPr>
          <w:p w:rsidR="00B4424E" w:rsidRDefault="00B4424E">
            <w:pPr>
              <w:rPr>
                <w:rFonts w:ascii="Arial" w:hAnsi="Arial" w:cs="Arial"/>
                <w:szCs w:val="20"/>
              </w:rPr>
            </w:pPr>
            <w:r>
              <w:rPr>
                <w:rFonts w:ascii="Arial" w:hAnsi="Arial" w:cs="Arial"/>
                <w:szCs w:val="20"/>
              </w:rPr>
              <w:t xml:space="preserve">This is mandatory also if Dynamic AID is negotiated. I think a </w:t>
            </w:r>
            <w:proofErr w:type="spellStart"/>
            <w:r>
              <w:rPr>
                <w:rFonts w:ascii="Arial" w:hAnsi="Arial" w:cs="Arial"/>
                <w:szCs w:val="20"/>
              </w:rPr>
              <w:t>carefull</w:t>
            </w:r>
            <w:proofErr w:type="spellEnd"/>
            <w:r>
              <w:rPr>
                <w:rFonts w:ascii="Arial" w:hAnsi="Arial" w:cs="Arial"/>
                <w:szCs w:val="20"/>
              </w:rPr>
              <w:t xml:space="preserve"> review is still needed for annex B to see that all the rows are </w:t>
            </w:r>
            <w:proofErr w:type="spellStart"/>
            <w:r>
              <w:rPr>
                <w:rFonts w:ascii="Arial" w:hAnsi="Arial" w:cs="Arial"/>
                <w:szCs w:val="20"/>
              </w:rPr>
              <w:t>inline</w:t>
            </w:r>
            <w:proofErr w:type="spellEnd"/>
            <w:r>
              <w:rPr>
                <w:rFonts w:ascii="Arial" w:hAnsi="Arial" w:cs="Arial"/>
                <w:szCs w:val="20"/>
              </w:rPr>
              <w:t xml:space="preserve"> with the latest version of the draft.</w:t>
            </w:r>
          </w:p>
        </w:tc>
        <w:tc>
          <w:tcPr>
            <w:tcW w:w="2430" w:type="dxa"/>
            <w:hideMark/>
          </w:tcPr>
          <w:p w:rsidR="00B4424E" w:rsidRDefault="00B4424E">
            <w:pPr>
              <w:rPr>
                <w:rFonts w:ascii="Arial" w:hAnsi="Arial" w:cs="Arial"/>
                <w:szCs w:val="20"/>
              </w:rPr>
            </w:pPr>
            <w:r>
              <w:rPr>
                <w:rFonts w:ascii="Arial" w:hAnsi="Arial" w:cs="Arial"/>
                <w:szCs w:val="20"/>
              </w:rPr>
              <w:t>As in comment.</w:t>
            </w:r>
          </w:p>
        </w:tc>
        <w:tc>
          <w:tcPr>
            <w:tcW w:w="2430" w:type="dxa"/>
            <w:hideMark/>
          </w:tcPr>
          <w:p w:rsidR="00B4424E" w:rsidRDefault="00DC2FEC" w:rsidP="00B4424E">
            <w:pPr>
              <w:rPr>
                <w:rFonts w:asciiTheme="majorBidi" w:hAnsiTheme="majorBidi" w:cstheme="majorBidi"/>
                <w:szCs w:val="20"/>
                <w:lang w:val="en-US"/>
              </w:rPr>
            </w:pPr>
            <w:r>
              <w:rPr>
                <w:rFonts w:asciiTheme="majorBidi" w:hAnsiTheme="majorBidi" w:cstheme="majorBidi"/>
                <w:szCs w:val="20"/>
                <w:lang w:val="en-US"/>
              </w:rPr>
              <w:t>Revise</w:t>
            </w:r>
          </w:p>
          <w:p w:rsidR="00DC2FEC" w:rsidRDefault="00DC2FEC" w:rsidP="00B4424E">
            <w:pPr>
              <w:rPr>
                <w:rFonts w:asciiTheme="majorBidi" w:hAnsiTheme="majorBidi" w:cstheme="majorBidi"/>
                <w:szCs w:val="20"/>
                <w:lang w:val="en-US"/>
              </w:rPr>
            </w:pPr>
          </w:p>
          <w:p w:rsidR="00DC2FEC" w:rsidRDefault="00DC2FEC" w:rsidP="00DC2FEC">
            <w:pPr>
              <w:rPr>
                <w:rFonts w:asciiTheme="majorBidi" w:hAnsiTheme="majorBidi" w:cstheme="majorBidi"/>
                <w:szCs w:val="20"/>
                <w:lang w:val="en-US"/>
              </w:rPr>
            </w:pPr>
            <w:r>
              <w:rPr>
                <w:rFonts w:asciiTheme="majorBidi" w:hAnsiTheme="majorBidi" w:cstheme="majorBidi"/>
                <w:szCs w:val="20"/>
                <w:lang w:val="en-US"/>
              </w:rPr>
              <w:t xml:space="preserve">Discussion: </w:t>
            </w:r>
            <w:r w:rsidR="00814223">
              <w:rPr>
                <w:rFonts w:asciiTheme="majorBidi" w:hAnsiTheme="majorBidi" w:cstheme="majorBidi"/>
                <w:szCs w:val="20"/>
                <w:lang w:val="en-US"/>
              </w:rPr>
              <w:t xml:space="preserve">Generally agree with the comment. </w:t>
            </w:r>
            <w:r>
              <w:rPr>
                <w:rFonts w:asciiTheme="majorBidi" w:hAnsiTheme="majorBidi" w:cstheme="majorBidi"/>
                <w:szCs w:val="20"/>
                <w:lang w:val="en-US"/>
              </w:rPr>
              <w:t xml:space="preserve">S1GM13 </w:t>
            </w:r>
            <w:proofErr w:type="spellStart"/>
            <w:r>
              <w:rPr>
                <w:rFonts w:asciiTheme="majorBidi" w:hAnsiTheme="majorBidi" w:cstheme="majorBidi"/>
                <w:szCs w:val="20"/>
                <w:lang w:val="en-US"/>
              </w:rPr>
              <w:t>idenfities</w:t>
            </w:r>
            <w:proofErr w:type="spellEnd"/>
            <w:r>
              <w:rPr>
                <w:rFonts w:asciiTheme="majorBidi" w:hAnsiTheme="majorBidi" w:cstheme="majorBidi"/>
                <w:szCs w:val="20"/>
                <w:lang w:val="en-US"/>
              </w:rPr>
              <w:t xml:space="preserve"> </w:t>
            </w:r>
            <w:proofErr w:type="gramStart"/>
            <w:r>
              <w:rPr>
                <w:rFonts w:asciiTheme="majorBidi" w:hAnsiTheme="majorBidi" w:cstheme="majorBidi"/>
                <w:szCs w:val="20"/>
                <w:lang w:val="en-US"/>
              </w:rPr>
              <w:t>multicast AID feature</w:t>
            </w:r>
            <w:proofErr w:type="gramEnd"/>
            <w:r>
              <w:rPr>
                <w:rFonts w:asciiTheme="majorBidi" w:hAnsiTheme="majorBidi" w:cstheme="majorBidi"/>
                <w:szCs w:val="20"/>
                <w:lang w:val="en-US"/>
              </w:rPr>
              <w:t xml:space="preserve">. </w:t>
            </w:r>
            <w:proofErr w:type="spellStart"/>
            <w:r>
              <w:rPr>
                <w:rFonts w:asciiTheme="majorBidi" w:hAnsiTheme="majorBidi" w:cstheme="majorBidi"/>
                <w:szCs w:val="20"/>
                <w:lang w:val="en-US"/>
              </w:rPr>
              <w:t>Therre</w:t>
            </w:r>
            <w:proofErr w:type="spellEnd"/>
            <w:r>
              <w:rPr>
                <w:rFonts w:asciiTheme="majorBidi" w:hAnsiTheme="majorBidi" w:cstheme="majorBidi"/>
                <w:szCs w:val="20"/>
                <w:lang w:val="en-US"/>
              </w:rPr>
              <w:t xml:space="preserve"> is nothing to do with dynamic AID. </w:t>
            </w:r>
            <w:r w:rsidR="00814223">
              <w:rPr>
                <w:rFonts w:asciiTheme="majorBidi" w:hAnsiTheme="majorBidi" w:cstheme="majorBidi"/>
                <w:szCs w:val="20"/>
                <w:lang w:val="en-US"/>
              </w:rPr>
              <w:t>Once Multicast AID is supported, PV1 is used</w:t>
            </w:r>
            <w:r>
              <w:rPr>
                <w:rFonts w:asciiTheme="majorBidi" w:hAnsiTheme="majorBidi" w:cstheme="majorBidi"/>
                <w:szCs w:val="20"/>
                <w:lang w:val="en-US"/>
              </w:rPr>
              <w:t>.</w:t>
            </w:r>
            <w:r w:rsidR="00814223">
              <w:rPr>
                <w:rFonts w:asciiTheme="majorBidi" w:hAnsiTheme="majorBidi" w:cstheme="majorBidi"/>
                <w:szCs w:val="20"/>
                <w:lang w:val="en-US"/>
              </w:rPr>
              <w:t xml:space="preserve"> </w:t>
            </w:r>
          </w:p>
          <w:p w:rsidR="00423C96" w:rsidRDefault="00423C96" w:rsidP="00DC2FEC">
            <w:pPr>
              <w:rPr>
                <w:rFonts w:asciiTheme="majorBidi" w:hAnsiTheme="majorBidi" w:cstheme="majorBidi"/>
                <w:szCs w:val="20"/>
                <w:lang w:val="en-US"/>
              </w:rPr>
            </w:pPr>
          </w:p>
          <w:p w:rsidR="00423C96" w:rsidRDefault="00423C96" w:rsidP="00DC2FEC">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changes status of FT45.6 as </w:t>
            </w:r>
          </w:p>
          <w:p w:rsidR="00423C96" w:rsidRDefault="00423C96" w:rsidP="00DC2FEC">
            <w:pPr>
              <w:rPr>
                <w:rFonts w:asciiTheme="majorBidi" w:hAnsiTheme="majorBidi" w:cstheme="majorBidi"/>
                <w:szCs w:val="20"/>
                <w:lang w:val="en-US"/>
              </w:rPr>
            </w:pPr>
            <w:r>
              <w:rPr>
                <w:rFonts w:asciiTheme="majorBidi" w:hAnsiTheme="majorBidi" w:cstheme="majorBidi"/>
                <w:szCs w:val="20"/>
                <w:lang w:val="en-US"/>
              </w:rPr>
              <w:t>“CF32</w:t>
            </w:r>
            <w:proofErr w:type="gramStart"/>
            <w:r>
              <w:rPr>
                <w:rFonts w:asciiTheme="majorBidi" w:hAnsiTheme="majorBidi" w:cstheme="majorBidi"/>
                <w:szCs w:val="20"/>
                <w:lang w:val="en-US"/>
              </w:rPr>
              <w:t>:O</w:t>
            </w:r>
            <w:proofErr w:type="gramEnd"/>
          </w:p>
          <w:p w:rsidR="00814223" w:rsidRDefault="00423C96" w:rsidP="00814223">
            <w:pPr>
              <w:rPr>
                <w:color w:val="000000"/>
              </w:rPr>
            </w:pPr>
            <w:r>
              <w:rPr>
                <w:rFonts w:asciiTheme="majorBidi" w:hAnsiTheme="majorBidi" w:cstheme="majorBidi"/>
                <w:szCs w:val="20"/>
                <w:lang w:val="en-US"/>
              </w:rPr>
              <w:t>RL6:M</w:t>
            </w:r>
          </w:p>
          <w:tbl>
            <w:tblPr>
              <w:tblW w:w="0" w:type="auto"/>
              <w:tblBorders>
                <w:top w:val="nil"/>
                <w:left w:val="nil"/>
                <w:bottom w:val="nil"/>
                <w:right w:val="nil"/>
              </w:tblBorders>
              <w:tblLayout w:type="fixed"/>
              <w:tblLook w:val="0000"/>
            </w:tblPr>
            <w:tblGrid>
              <w:gridCol w:w="1400"/>
            </w:tblGrid>
            <w:tr w:rsidR="00814223">
              <w:trPr>
                <w:trHeight w:val="450"/>
              </w:trPr>
              <w:tc>
                <w:tcPr>
                  <w:tcW w:w="1400" w:type="dxa"/>
                </w:tcPr>
                <w:p w:rsidR="00814223" w:rsidRDefault="00814223" w:rsidP="00042D79">
                  <w:pPr>
                    <w:pStyle w:val="SP14245888"/>
                    <w:rPr>
                      <w:color w:val="000000"/>
                    </w:rPr>
                  </w:pPr>
                  <w:r>
                    <w:rPr>
                      <w:rStyle w:val="SC144070"/>
                    </w:rPr>
                    <w:t xml:space="preserve">(CF32 </w:t>
                  </w:r>
                  <w:r w:rsidR="00042D79">
                    <w:rPr>
                      <w:rStyle w:val="SC144070"/>
                    </w:rPr>
                    <w:t>AND</w:t>
                  </w:r>
                  <w:r>
                    <w:rPr>
                      <w:rStyle w:val="SC144070"/>
                    </w:rPr>
                    <w:t xml:space="preserve"> S1GM13):M</w:t>
                  </w:r>
                </w:p>
              </w:tc>
            </w:tr>
          </w:tbl>
          <w:p w:rsidR="00423C96" w:rsidRDefault="00423C96" w:rsidP="00DC2FEC">
            <w:pPr>
              <w:rPr>
                <w:rFonts w:asciiTheme="majorBidi" w:hAnsiTheme="majorBidi" w:cstheme="majorBidi"/>
                <w:szCs w:val="20"/>
                <w:lang w:val="en-US"/>
              </w:rPr>
            </w:pPr>
            <w:r>
              <w:rPr>
                <w:rFonts w:asciiTheme="majorBidi" w:hAnsiTheme="majorBidi" w:cstheme="majorBidi"/>
                <w:szCs w:val="20"/>
                <w:lang w:val="en-US"/>
              </w:rPr>
              <w:t>”</w:t>
            </w:r>
          </w:p>
        </w:tc>
      </w:tr>
      <w:tr w:rsidR="005E3C8F" w:rsidRPr="00820CAC" w:rsidTr="00B4424E">
        <w:trPr>
          <w:trHeight w:val="719"/>
        </w:trPr>
        <w:tc>
          <w:tcPr>
            <w:tcW w:w="630" w:type="dxa"/>
            <w:hideMark/>
          </w:tcPr>
          <w:p w:rsidR="005E3C8F" w:rsidRDefault="005E3C8F">
            <w:pPr>
              <w:jc w:val="right"/>
              <w:rPr>
                <w:rFonts w:ascii="Arial" w:hAnsi="Arial" w:cs="Arial"/>
                <w:szCs w:val="20"/>
              </w:rPr>
            </w:pPr>
            <w:r>
              <w:rPr>
                <w:rFonts w:ascii="Arial" w:hAnsi="Arial" w:cs="Arial"/>
                <w:szCs w:val="20"/>
              </w:rPr>
              <w:t>5393</w:t>
            </w:r>
          </w:p>
        </w:tc>
        <w:tc>
          <w:tcPr>
            <w:tcW w:w="900" w:type="dxa"/>
            <w:hideMark/>
          </w:tcPr>
          <w:p w:rsidR="005E3C8F" w:rsidRDefault="005E3C8F">
            <w:pPr>
              <w:rPr>
                <w:rFonts w:ascii="Arial" w:hAnsi="Arial" w:cs="Arial"/>
                <w:szCs w:val="20"/>
              </w:rPr>
            </w:pPr>
            <w:r>
              <w:rPr>
                <w:rFonts w:ascii="Arial" w:hAnsi="Arial" w:cs="Arial"/>
                <w:szCs w:val="20"/>
              </w:rPr>
              <w:t>B4.4.2</w:t>
            </w:r>
          </w:p>
        </w:tc>
        <w:tc>
          <w:tcPr>
            <w:tcW w:w="540" w:type="dxa"/>
            <w:hideMark/>
          </w:tcPr>
          <w:p w:rsidR="005E3C8F" w:rsidRDefault="005E3C8F">
            <w:pPr>
              <w:rPr>
                <w:rFonts w:ascii="Arial" w:hAnsi="Arial" w:cs="Arial"/>
                <w:szCs w:val="20"/>
              </w:rPr>
            </w:pPr>
            <w:r>
              <w:rPr>
                <w:rFonts w:ascii="Arial" w:hAnsi="Arial" w:cs="Arial"/>
                <w:szCs w:val="20"/>
              </w:rPr>
              <w:t>517</w:t>
            </w:r>
          </w:p>
        </w:tc>
        <w:tc>
          <w:tcPr>
            <w:tcW w:w="450" w:type="dxa"/>
            <w:hideMark/>
          </w:tcPr>
          <w:p w:rsidR="005E3C8F" w:rsidRDefault="005E3C8F">
            <w:pPr>
              <w:rPr>
                <w:rFonts w:ascii="Arial" w:hAnsi="Arial" w:cs="Arial"/>
                <w:szCs w:val="20"/>
              </w:rPr>
            </w:pPr>
            <w:r>
              <w:rPr>
                <w:rFonts w:ascii="Arial" w:hAnsi="Arial" w:cs="Arial"/>
                <w:szCs w:val="20"/>
              </w:rPr>
              <w:t>33</w:t>
            </w:r>
          </w:p>
        </w:tc>
        <w:tc>
          <w:tcPr>
            <w:tcW w:w="2160" w:type="dxa"/>
            <w:hideMark/>
          </w:tcPr>
          <w:p w:rsidR="005E3C8F" w:rsidRDefault="005E3C8F">
            <w:pPr>
              <w:rPr>
                <w:rFonts w:ascii="Arial" w:hAnsi="Arial" w:cs="Arial"/>
                <w:szCs w:val="20"/>
              </w:rPr>
            </w:pPr>
            <w:r>
              <w:rPr>
                <w:rFonts w:ascii="Arial" w:hAnsi="Arial" w:cs="Arial"/>
                <w:szCs w:val="20"/>
              </w:rPr>
              <w:t>The first (Mandatory) Status of FR46.6 includes (S1GM20.5 Assume the role of non-sensor STA). It shall be S1GM20.4 (Assume the role of sensor STA)</w:t>
            </w:r>
          </w:p>
        </w:tc>
        <w:tc>
          <w:tcPr>
            <w:tcW w:w="2430" w:type="dxa"/>
            <w:hideMark/>
          </w:tcPr>
          <w:p w:rsidR="005E3C8F" w:rsidRDefault="005E3C8F">
            <w:pPr>
              <w:rPr>
                <w:rFonts w:ascii="Arial" w:hAnsi="Arial" w:cs="Arial"/>
                <w:szCs w:val="20"/>
              </w:rPr>
            </w:pPr>
            <w:r>
              <w:rPr>
                <w:rFonts w:ascii="Arial" w:hAnsi="Arial" w:cs="Arial"/>
                <w:szCs w:val="20"/>
              </w:rPr>
              <w:t>Modify the first Status of FR46.6 as follows:</w:t>
            </w:r>
            <w:r>
              <w:rPr>
                <w:rFonts w:ascii="Arial" w:hAnsi="Arial" w:cs="Arial"/>
                <w:szCs w:val="20"/>
              </w:rPr>
              <w:br/>
            </w:r>
            <w:r>
              <w:rPr>
                <w:rFonts w:ascii="Arial" w:hAnsi="Arial" w:cs="Arial"/>
                <w:szCs w:val="20"/>
              </w:rPr>
              <w:br/>
              <w:t>CF32 &amp; (S1GM20.1 OR S1GM20.3 OR S1GM20.4):M</w:t>
            </w:r>
          </w:p>
        </w:tc>
        <w:tc>
          <w:tcPr>
            <w:tcW w:w="2430" w:type="dxa"/>
            <w:hideMark/>
          </w:tcPr>
          <w:p w:rsidR="005E3C8F" w:rsidRDefault="00F309F2" w:rsidP="00B4424E">
            <w:pPr>
              <w:rPr>
                <w:rFonts w:asciiTheme="majorBidi" w:hAnsiTheme="majorBidi" w:cstheme="majorBidi"/>
                <w:szCs w:val="20"/>
                <w:lang w:val="en-US"/>
              </w:rPr>
            </w:pPr>
            <w:r>
              <w:rPr>
                <w:rFonts w:asciiTheme="majorBidi" w:hAnsiTheme="majorBidi" w:cstheme="majorBidi"/>
                <w:szCs w:val="20"/>
                <w:lang w:val="en-US"/>
              </w:rPr>
              <w:t>Accept</w:t>
            </w:r>
          </w:p>
        </w:tc>
      </w:tr>
      <w:tr w:rsidR="00B4424E" w:rsidRPr="00820CAC" w:rsidTr="00B4424E">
        <w:trPr>
          <w:trHeight w:val="719"/>
        </w:trPr>
        <w:tc>
          <w:tcPr>
            <w:tcW w:w="630" w:type="dxa"/>
            <w:hideMark/>
          </w:tcPr>
          <w:p w:rsidR="00B4424E" w:rsidRDefault="00B4424E">
            <w:pPr>
              <w:jc w:val="right"/>
              <w:rPr>
                <w:rFonts w:ascii="Arial" w:hAnsi="Arial" w:cs="Arial"/>
                <w:szCs w:val="20"/>
              </w:rPr>
            </w:pPr>
            <w:r>
              <w:rPr>
                <w:rFonts w:ascii="Arial" w:hAnsi="Arial" w:cs="Arial"/>
                <w:szCs w:val="20"/>
              </w:rPr>
              <w:t>5394</w:t>
            </w:r>
          </w:p>
        </w:tc>
        <w:tc>
          <w:tcPr>
            <w:tcW w:w="900" w:type="dxa"/>
            <w:hideMark/>
          </w:tcPr>
          <w:p w:rsidR="00B4424E" w:rsidRDefault="00B4424E">
            <w:pPr>
              <w:rPr>
                <w:rFonts w:ascii="Arial" w:hAnsi="Arial" w:cs="Arial"/>
                <w:szCs w:val="20"/>
              </w:rPr>
            </w:pPr>
            <w:r>
              <w:rPr>
                <w:rFonts w:ascii="Arial" w:hAnsi="Arial" w:cs="Arial"/>
                <w:szCs w:val="20"/>
              </w:rPr>
              <w:t>B4.4.2</w:t>
            </w:r>
          </w:p>
        </w:tc>
        <w:tc>
          <w:tcPr>
            <w:tcW w:w="540" w:type="dxa"/>
            <w:hideMark/>
          </w:tcPr>
          <w:p w:rsidR="00B4424E" w:rsidRDefault="00B4424E">
            <w:pPr>
              <w:rPr>
                <w:rFonts w:ascii="Arial" w:hAnsi="Arial" w:cs="Arial"/>
                <w:szCs w:val="20"/>
              </w:rPr>
            </w:pPr>
            <w:r>
              <w:rPr>
                <w:rFonts w:ascii="Arial" w:hAnsi="Arial" w:cs="Arial"/>
                <w:szCs w:val="20"/>
              </w:rPr>
              <w:t>517</w:t>
            </w:r>
          </w:p>
        </w:tc>
        <w:tc>
          <w:tcPr>
            <w:tcW w:w="450" w:type="dxa"/>
            <w:hideMark/>
          </w:tcPr>
          <w:p w:rsidR="00B4424E" w:rsidRDefault="00B4424E">
            <w:pPr>
              <w:rPr>
                <w:rFonts w:ascii="Arial" w:hAnsi="Arial" w:cs="Arial"/>
                <w:szCs w:val="20"/>
              </w:rPr>
            </w:pPr>
            <w:r>
              <w:rPr>
                <w:rFonts w:ascii="Arial" w:hAnsi="Arial" w:cs="Arial"/>
                <w:szCs w:val="20"/>
              </w:rPr>
              <w:t>33</w:t>
            </w:r>
          </w:p>
        </w:tc>
        <w:tc>
          <w:tcPr>
            <w:tcW w:w="2160" w:type="dxa"/>
            <w:hideMark/>
          </w:tcPr>
          <w:p w:rsidR="00B4424E" w:rsidRDefault="00B4424E">
            <w:pPr>
              <w:rPr>
                <w:rFonts w:ascii="Arial" w:hAnsi="Arial" w:cs="Arial"/>
                <w:szCs w:val="20"/>
              </w:rPr>
            </w:pPr>
            <w:r>
              <w:rPr>
                <w:rFonts w:ascii="Arial" w:hAnsi="Arial" w:cs="Arial"/>
                <w:szCs w:val="20"/>
              </w:rPr>
              <w:t>A Status of FR47.9 (NDP CF-End) is specified as "(CF2 &amp; CF32)</w:t>
            </w:r>
            <w:proofErr w:type="gramStart"/>
            <w:r>
              <w:rPr>
                <w:rFonts w:ascii="Arial" w:hAnsi="Arial" w:cs="Arial"/>
                <w:szCs w:val="20"/>
              </w:rPr>
              <w:t>:O</w:t>
            </w:r>
            <w:proofErr w:type="gramEnd"/>
            <w:r>
              <w:rPr>
                <w:rFonts w:ascii="Arial" w:hAnsi="Arial" w:cs="Arial"/>
                <w:szCs w:val="20"/>
              </w:rPr>
              <w:t>". However, as an S1G Capabilities element does not include NDP CF-End capability field, an S1G STA cannot know whether the recipient STA supports reception of NDP CF-End frame. Reception of NDP CF-End frame shall be mandatory.</w:t>
            </w:r>
          </w:p>
        </w:tc>
        <w:tc>
          <w:tcPr>
            <w:tcW w:w="2430" w:type="dxa"/>
            <w:hideMark/>
          </w:tcPr>
          <w:p w:rsidR="00B4424E" w:rsidRDefault="00B4424E">
            <w:pPr>
              <w:rPr>
                <w:rFonts w:ascii="Arial" w:hAnsi="Arial" w:cs="Arial"/>
                <w:szCs w:val="20"/>
              </w:rPr>
            </w:pPr>
            <w:r>
              <w:rPr>
                <w:rFonts w:ascii="Arial" w:hAnsi="Arial" w:cs="Arial"/>
                <w:szCs w:val="20"/>
              </w:rPr>
              <w:t>Change the Status of FR47.9 (NDP CF-End) to "CF32</w:t>
            </w:r>
            <w:proofErr w:type="gramStart"/>
            <w:r>
              <w:rPr>
                <w:rFonts w:ascii="Arial" w:hAnsi="Arial" w:cs="Arial"/>
                <w:szCs w:val="20"/>
              </w:rPr>
              <w:t>:M</w:t>
            </w:r>
            <w:proofErr w:type="gramEnd"/>
            <w:r>
              <w:rPr>
                <w:rFonts w:ascii="Arial" w:hAnsi="Arial" w:cs="Arial"/>
                <w:szCs w:val="20"/>
              </w:rPr>
              <w:t>".</w:t>
            </w:r>
          </w:p>
        </w:tc>
        <w:tc>
          <w:tcPr>
            <w:tcW w:w="2430" w:type="dxa"/>
            <w:hideMark/>
          </w:tcPr>
          <w:p w:rsidR="00B4424E" w:rsidRDefault="00A35225" w:rsidP="00B4424E">
            <w:pPr>
              <w:rPr>
                <w:rFonts w:asciiTheme="majorBidi" w:hAnsiTheme="majorBidi" w:cstheme="majorBidi"/>
                <w:szCs w:val="20"/>
                <w:lang w:val="en-US"/>
              </w:rPr>
            </w:pPr>
            <w:r>
              <w:rPr>
                <w:rFonts w:asciiTheme="majorBidi" w:hAnsiTheme="majorBidi" w:cstheme="majorBidi"/>
                <w:szCs w:val="20"/>
                <w:lang w:val="en-US"/>
              </w:rPr>
              <w:t>Reject</w:t>
            </w:r>
          </w:p>
          <w:p w:rsidR="00A35225" w:rsidRDefault="00A35225" w:rsidP="00B4424E">
            <w:pPr>
              <w:rPr>
                <w:rFonts w:asciiTheme="majorBidi" w:hAnsiTheme="majorBidi" w:cstheme="majorBidi"/>
                <w:szCs w:val="20"/>
                <w:lang w:val="en-US"/>
              </w:rPr>
            </w:pPr>
          </w:p>
          <w:p w:rsidR="00A35225" w:rsidRDefault="00A35225" w:rsidP="00B4424E">
            <w:pPr>
              <w:rPr>
                <w:rFonts w:asciiTheme="majorBidi" w:hAnsiTheme="majorBidi" w:cstheme="majorBidi"/>
                <w:szCs w:val="20"/>
                <w:lang w:val="en-US"/>
              </w:rPr>
            </w:pPr>
            <w:r>
              <w:rPr>
                <w:rFonts w:asciiTheme="majorBidi" w:hAnsiTheme="majorBidi" w:cstheme="majorBidi"/>
                <w:szCs w:val="20"/>
                <w:lang w:val="en-US"/>
              </w:rPr>
              <w:t xml:space="preserve">Discussion: It is true that there is no capability </w:t>
            </w:r>
            <w:r w:rsidR="00F67C81">
              <w:rPr>
                <w:rFonts w:asciiTheme="majorBidi" w:hAnsiTheme="majorBidi" w:cstheme="majorBidi"/>
                <w:szCs w:val="20"/>
                <w:lang w:val="en-US"/>
              </w:rPr>
              <w:t>bit for CF-End support. Actually the transmitter of NDP CF-End doesn’t know which STAs will reset the NAV since it is the 3</w:t>
            </w:r>
            <w:r w:rsidR="00F67C81" w:rsidRPr="00F67C81">
              <w:rPr>
                <w:rFonts w:asciiTheme="majorBidi" w:hAnsiTheme="majorBidi" w:cstheme="majorBidi"/>
                <w:szCs w:val="20"/>
                <w:vertAlign w:val="superscript"/>
                <w:lang w:val="en-US"/>
              </w:rPr>
              <w:t>rd</w:t>
            </w:r>
            <w:r w:rsidR="00F67C81">
              <w:rPr>
                <w:rFonts w:asciiTheme="majorBidi" w:hAnsiTheme="majorBidi" w:cstheme="majorBidi"/>
                <w:szCs w:val="20"/>
                <w:lang w:val="en-US"/>
              </w:rPr>
              <w:t xml:space="preserve"> party neighbor STAs to reset NAV if they want to do it.</w:t>
            </w:r>
          </w:p>
        </w:tc>
      </w:tr>
      <w:tr w:rsidR="00E22D4F" w:rsidRPr="00820CAC" w:rsidTr="00B4424E">
        <w:trPr>
          <w:trHeight w:val="719"/>
        </w:trPr>
        <w:tc>
          <w:tcPr>
            <w:tcW w:w="630" w:type="dxa"/>
            <w:hideMark/>
          </w:tcPr>
          <w:p w:rsidR="00E22D4F" w:rsidRDefault="00E22D4F" w:rsidP="00E22D4F">
            <w:pPr>
              <w:jc w:val="right"/>
              <w:rPr>
                <w:rFonts w:ascii="Arial" w:hAnsi="Arial" w:cs="Arial"/>
                <w:szCs w:val="20"/>
              </w:rPr>
            </w:pPr>
            <w:r>
              <w:rPr>
                <w:rFonts w:ascii="Arial" w:hAnsi="Arial" w:cs="Arial"/>
                <w:szCs w:val="20"/>
              </w:rPr>
              <w:t>5121</w:t>
            </w:r>
          </w:p>
          <w:p w:rsidR="00E22D4F" w:rsidRDefault="00E22D4F">
            <w:pPr>
              <w:jc w:val="right"/>
              <w:rPr>
                <w:rFonts w:ascii="Arial" w:hAnsi="Arial" w:cs="Arial"/>
                <w:szCs w:val="20"/>
              </w:rPr>
            </w:pPr>
          </w:p>
        </w:tc>
        <w:tc>
          <w:tcPr>
            <w:tcW w:w="900" w:type="dxa"/>
            <w:hideMark/>
          </w:tcPr>
          <w:p w:rsidR="00E22D4F" w:rsidRDefault="00E22D4F">
            <w:pPr>
              <w:rPr>
                <w:rFonts w:ascii="Arial" w:hAnsi="Arial" w:cs="Arial"/>
                <w:szCs w:val="20"/>
              </w:rPr>
            </w:pPr>
            <w:r>
              <w:rPr>
                <w:rFonts w:ascii="Arial" w:hAnsi="Arial" w:cs="Arial"/>
                <w:szCs w:val="20"/>
              </w:rPr>
              <w:t>B.4.17.1</w:t>
            </w:r>
          </w:p>
        </w:tc>
        <w:tc>
          <w:tcPr>
            <w:tcW w:w="540" w:type="dxa"/>
            <w:hideMark/>
          </w:tcPr>
          <w:p w:rsidR="00E22D4F" w:rsidRDefault="00E22D4F">
            <w:pPr>
              <w:rPr>
                <w:rFonts w:ascii="Arial" w:hAnsi="Arial" w:cs="Arial"/>
                <w:szCs w:val="20"/>
              </w:rPr>
            </w:pPr>
            <w:r>
              <w:rPr>
                <w:rFonts w:ascii="Arial" w:hAnsi="Arial" w:cs="Arial"/>
                <w:szCs w:val="20"/>
              </w:rPr>
              <w:t>521</w:t>
            </w:r>
          </w:p>
        </w:tc>
        <w:tc>
          <w:tcPr>
            <w:tcW w:w="450" w:type="dxa"/>
            <w:hideMark/>
          </w:tcPr>
          <w:p w:rsidR="00E22D4F" w:rsidRDefault="00E22D4F">
            <w:pPr>
              <w:rPr>
                <w:rFonts w:ascii="Arial" w:hAnsi="Arial" w:cs="Arial"/>
                <w:szCs w:val="20"/>
              </w:rPr>
            </w:pPr>
            <w:r>
              <w:rPr>
                <w:rFonts w:ascii="Arial" w:hAnsi="Arial" w:cs="Arial"/>
                <w:szCs w:val="20"/>
              </w:rPr>
              <w:t>36</w:t>
            </w:r>
          </w:p>
        </w:tc>
        <w:tc>
          <w:tcPr>
            <w:tcW w:w="2160" w:type="dxa"/>
            <w:hideMark/>
          </w:tcPr>
          <w:p w:rsidR="00E22D4F" w:rsidRDefault="00E22D4F">
            <w:pPr>
              <w:rPr>
                <w:rFonts w:ascii="Arial" w:hAnsi="Arial" w:cs="Arial"/>
                <w:szCs w:val="20"/>
              </w:rPr>
            </w:pPr>
            <w:proofErr w:type="gramStart"/>
            <w:r>
              <w:rPr>
                <w:rFonts w:ascii="Arial" w:hAnsi="Arial" w:cs="Arial"/>
                <w:szCs w:val="20"/>
              </w:rPr>
              <w:t>for</w:t>
            </w:r>
            <w:proofErr w:type="gramEnd"/>
            <w:r>
              <w:rPr>
                <w:rFonts w:ascii="Arial" w:hAnsi="Arial" w:cs="Arial"/>
                <w:szCs w:val="20"/>
              </w:rPr>
              <w:t xml:space="preserve"> HTM Table, there are many instances where the we have "CF16&amp;not CF32): M followed by CF32:O. It makes things more complex than it should. It is enough to CF32</w:t>
            </w:r>
            <w:proofErr w:type="gramStart"/>
            <w:r>
              <w:rPr>
                <w:rFonts w:ascii="Arial" w:hAnsi="Arial" w:cs="Arial"/>
                <w:szCs w:val="20"/>
              </w:rPr>
              <w:t>:O</w:t>
            </w:r>
            <w:proofErr w:type="gramEnd"/>
          </w:p>
        </w:tc>
        <w:tc>
          <w:tcPr>
            <w:tcW w:w="2430" w:type="dxa"/>
            <w:hideMark/>
          </w:tcPr>
          <w:p w:rsidR="00E22D4F" w:rsidRDefault="00E22D4F">
            <w:pPr>
              <w:rPr>
                <w:rFonts w:ascii="Arial" w:hAnsi="Arial" w:cs="Arial"/>
                <w:szCs w:val="20"/>
              </w:rPr>
            </w:pPr>
            <w:r>
              <w:rPr>
                <w:rFonts w:ascii="Arial" w:hAnsi="Arial" w:cs="Arial"/>
                <w:szCs w:val="20"/>
              </w:rPr>
              <w:t>It happens in more than one place in the table. Delete "&amp;not CF32"</w:t>
            </w:r>
          </w:p>
        </w:tc>
        <w:tc>
          <w:tcPr>
            <w:tcW w:w="2430" w:type="dxa"/>
            <w:hideMark/>
          </w:tcPr>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Reject</w:t>
            </w:r>
          </w:p>
          <w:p w:rsidR="00E22D4F" w:rsidRDefault="00E22D4F" w:rsidP="00B4424E">
            <w:pPr>
              <w:rPr>
                <w:rFonts w:asciiTheme="majorBidi" w:hAnsiTheme="majorBidi" w:cstheme="majorBidi"/>
                <w:szCs w:val="20"/>
                <w:lang w:val="en-US"/>
              </w:rPr>
            </w:pPr>
          </w:p>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Discussion: A-MPDU is not just HT feature for 2.4/5GHz bands. As a MAC feature, other band can also use it as optional, e.g. S1G band.</w:t>
            </w:r>
          </w:p>
        </w:tc>
      </w:tr>
      <w:tr w:rsidR="00E22D4F" w:rsidRPr="00820CAC" w:rsidTr="00B4424E">
        <w:trPr>
          <w:trHeight w:val="719"/>
        </w:trPr>
        <w:tc>
          <w:tcPr>
            <w:tcW w:w="630" w:type="dxa"/>
            <w:hideMark/>
          </w:tcPr>
          <w:p w:rsidR="00E22D4F" w:rsidRDefault="00E22D4F" w:rsidP="00E22D4F">
            <w:pPr>
              <w:jc w:val="right"/>
              <w:rPr>
                <w:rFonts w:ascii="Arial" w:hAnsi="Arial" w:cs="Arial"/>
                <w:szCs w:val="20"/>
              </w:rPr>
            </w:pPr>
            <w:r>
              <w:rPr>
                <w:rFonts w:ascii="Arial" w:hAnsi="Arial" w:cs="Arial"/>
                <w:szCs w:val="20"/>
              </w:rPr>
              <w:lastRenderedPageBreak/>
              <w:t>5122</w:t>
            </w:r>
          </w:p>
          <w:p w:rsidR="00E22D4F" w:rsidRDefault="00E22D4F" w:rsidP="00E22D4F">
            <w:pPr>
              <w:jc w:val="right"/>
              <w:rPr>
                <w:rFonts w:ascii="Arial" w:hAnsi="Arial" w:cs="Arial"/>
                <w:szCs w:val="20"/>
              </w:rPr>
            </w:pPr>
          </w:p>
        </w:tc>
        <w:tc>
          <w:tcPr>
            <w:tcW w:w="900" w:type="dxa"/>
            <w:hideMark/>
          </w:tcPr>
          <w:p w:rsidR="00E22D4F" w:rsidRDefault="00E22D4F">
            <w:pPr>
              <w:rPr>
                <w:rFonts w:ascii="Arial" w:hAnsi="Arial" w:cs="Arial"/>
                <w:szCs w:val="20"/>
              </w:rPr>
            </w:pPr>
            <w:r>
              <w:rPr>
                <w:rFonts w:ascii="Arial" w:hAnsi="Arial" w:cs="Arial"/>
                <w:szCs w:val="20"/>
              </w:rPr>
              <w:t>B.4.25.1</w:t>
            </w:r>
          </w:p>
        </w:tc>
        <w:tc>
          <w:tcPr>
            <w:tcW w:w="540" w:type="dxa"/>
            <w:hideMark/>
          </w:tcPr>
          <w:p w:rsidR="00E22D4F" w:rsidRDefault="00E22D4F">
            <w:pPr>
              <w:rPr>
                <w:rFonts w:ascii="Arial" w:hAnsi="Arial" w:cs="Arial"/>
                <w:szCs w:val="20"/>
              </w:rPr>
            </w:pPr>
            <w:r>
              <w:rPr>
                <w:rFonts w:ascii="Arial" w:hAnsi="Arial" w:cs="Arial"/>
                <w:szCs w:val="20"/>
              </w:rPr>
              <w:t>524</w:t>
            </w:r>
          </w:p>
        </w:tc>
        <w:tc>
          <w:tcPr>
            <w:tcW w:w="450" w:type="dxa"/>
            <w:hideMark/>
          </w:tcPr>
          <w:p w:rsidR="00E22D4F" w:rsidRDefault="00E22D4F">
            <w:pPr>
              <w:rPr>
                <w:rFonts w:ascii="Arial" w:hAnsi="Arial" w:cs="Arial"/>
                <w:szCs w:val="20"/>
              </w:rPr>
            </w:pPr>
            <w:r>
              <w:rPr>
                <w:rFonts w:ascii="Arial" w:hAnsi="Arial" w:cs="Arial"/>
                <w:szCs w:val="20"/>
              </w:rPr>
              <w:t>7</w:t>
            </w:r>
          </w:p>
        </w:tc>
        <w:tc>
          <w:tcPr>
            <w:tcW w:w="2160" w:type="dxa"/>
            <w:hideMark/>
          </w:tcPr>
          <w:p w:rsidR="00E22D4F" w:rsidRDefault="00E22D4F">
            <w:pPr>
              <w:rPr>
                <w:rFonts w:ascii="Arial" w:hAnsi="Arial" w:cs="Arial"/>
                <w:szCs w:val="20"/>
              </w:rPr>
            </w:pPr>
            <w:r>
              <w:rPr>
                <w:rFonts w:ascii="Arial" w:hAnsi="Arial" w:cs="Arial"/>
                <w:szCs w:val="20"/>
              </w:rPr>
              <w:t>I am really not sure of this but I am asking anyway, Why VHT Single MPDU format is mandatory in S1G?</w:t>
            </w:r>
          </w:p>
        </w:tc>
        <w:tc>
          <w:tcPr>
            <w:tcW w:w="2430" w:type="dxa"/>
            <w:hideMark/>
          </w:tcPr>
          <w:p w:rsidR="00E22D4F" w:rsidRDefault="00E22D4F">
            <w:pPr>
              <w:rPr>
                <w:rFonts w:ascii="Arial" w:hAnsi="Arial" w:cs="Arial"/>
                <w:szCs w:val="20"/>
              </w:rPr>
            </w:pPr>
            <w:r>
              <w:rPr>
                <w:rFonts w:ascii="Arial" w:hAnsi="Arial" w:cs="Arial"/>
                <w:szCs w:val="20"/>
              </w:rPr>
              <w:t>Clarify</w:t>
            </w:r>
          </w:p>
        </w:tc>
        <w:tc>
          <w:tcPr>
            <w:tcW w:w="2430" w:type="dxa"/>
            <w:hideMark/>
          </w:tcPr>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Reject</w:t>
            </w:r>
          </w:p>
          <w:p w:rsidR="00E22D4F" w:rsidRDefault="00E22D4F" w:rsidP="00B4424E">
            <w:pPr>
              <w:rPr>
                <w:rFonts w:asciiTheme="majorBidi" w:hAnsiTheme="majorBidi" w:cstheme="majorBidi"/>
                <w:szCs w:val="20"/>
                <w:lang w:val="en-US"/>
              </w:rPr>
            </w:pPr>
          </w:p>
          <w:p w:rsidR="00E22D4F" w:rsidRDefault="00E22D4F" w:rsidP="00B4424E">
            <w:pPr>
              <w:rPr>
                <w:rFonts w:asciiTheme="majorBidi" w:hAnsiTheme="majorBidi" w:cstheme="majorBidi"/>
                <w:szCs w:val="20"/>
                <w:lang w:val="en-US"/>
              </w:rPr>
            </w:pPr>
            <w:r>
              <w:rPr>
                <w:rFonts w:asciiTheme="majorBidi" w:hAnsiTheme="majorBidi" w:cstheme="majorBidi"/>
                <w:szCs w:val="20"/>
                <w:lang w:val="en-US"/>
              </w:rPr>
              <w:t>Discussion: VHT Single MPDU is a MPDU format by using A-MPDU. As A-MPDU is optional MAC feature in S1G band, VHT Single MPDU is mandatory feature in S1G band</w:t>
            </w:r>
            <w:r w:rsidR="00A51EE1">
              <w:rPr>
                <w:rFonts w:asciiTheme="majorBidi" w:hAnsiTheme="majorBidi" w:cstheme="majorBidi"/>
                <w:szCs w:val="20"/>
                <w:lang w:val="en-US"/>
              </w:rPr>
              <w:t xml:space="preserve"> for MPDU length longer than 512 bytes</w:t>
            </w:r>
            <w:r>
              <w:rPr>
                <w:rFonts w:asciiTheme="majorBidi" w:hAnsiTheme="majorBidi" w:cstheme="majorBidi"/>
                <w:szCs w:val="20"/>
                <w:lang w:val="en-US"/>
              </w:rPr>
              <w:t>.</w:t>
            </w:r>
          </w:p>
        </w:tc>
      </w:tr>
      <w:tr w:rsidR="00E7790E" w:rsidRPr="00820CAC" w:rsidTr="00B4424E">
        <w:trPr>
          <w:trHeight w:val="719"/>
        </w:trPr>
        <w:tc>
          <w:tcPr>
            <w:tcW w:w="630" w:type="dxa"/>
            <w:hideMark/>
          </w:tcPr>
          <w:p w:rsidR="00E7790E" w:rsidRDefault="00E7790E" w:rsidP="00E7790E">
            <w:pPr>
              <w:jc w:val="right"/>
              <w:rPr>
                <w:rFonts w:ascii="Arial" w:hAnsi="Arial" w:cs="Arial"/>
                <w:szCs w:val="20"/>
              </w:rPr>
            </w:pPr>
            <w:r>
              <w:rPr>
                <w:rFonts w:ascii="Arial" w:hAnsi="Arial" w:cs="Arial"/>
                <w:szCs w:val="20"/>
              </w:rPr>
              <w:t>5123</w:t>
            </w:r>
          </w:p>
          <w:p w:rsidR="00E7790E" w:rsidRDefault="00E7790E" w:rsidP="00E22D4F">
            <w:pPr>
              <w:jc w:val="right"/>
              <w:rPr>
                <w:rFonts w:ascii="Arial" w:hAnsi="Arial" w:cs="Arial"/>
                <w:szCs w:val="20"/>
              </w:rPr>
            </w:pPr>
          </w:p>
        </w:tc>
        <w:tc>
          <w:tcPr>
            <w:tcW w:w="900" w:type="dxa"/>
            <w:hideMark/>
          </w:tcPr>
          <w:p w:rsidR="00E7790E" w:rsidRDefault="00E7790E">
            <w:pPr>
              <w:rPr>
                <w:rFonts w:ascii="Arial" w:hAnsi="Arial" w:cs="Arial"/>
                <w:szCs w:val="20"/>
              </w:rPr>
            </w:pPr>
            <w:r>
              <w:rPr>
                <w:rFonts w:ascii="Arial" w:hAnsi="Arial" w:cs="Arial"/>
                <w:szCs w:val="20"/>
              </w:rPr>
              <w:t>B.4.26a.1</w:t>
            </w:r>
          </w:p>
        </w:tc>
        <w:tc>
          <w:tcPr>
            <w:tcW w:w="540" w:type="dxa"/>
            <w:hideMark/>
          </w:tcPr>
          <w:p w:rsidR="00E7790E" w:rsidRDefault="00E7790E">
            <w:pPr>
              <w:rPr>
                <w:rFonts w:ascii="Arial" w:hAnsi="Arial" w:cs="Arial"/>
                <w:szCs w:val="20"/>
              </w:rPr>
            </w:pPr>
            <w:r>
              <w:rPr>
                <w:rFonts w:ascii="Arial" w:hAnsi="Arial" w:cs="Arial"/>
                <w:szCs w:val="20"/>
              </w:rPr>
              <w:t>524</w:t>
            </w:r>
          </w:p>
        </w:tc>
        <w:tc>
          <w:tcPr>
            <w:tcW w:w="450" w:type="dxa"/>
            <w:hideMark/>
          </w:tcPr>
          <w:p w:rsidR="00E7790E" w:rsidRDefault="00E7790E">
            <w:pPr>
              <w:rPr>
                <w:rFonts w:ascii="Arial" w:hAnsi="Arial" w:cs="Arial"/>
                <w:szCs w:val="20"/>
              </w:rPr>
            </w:pPr>
            <w:r>
              <w:rPr>
                <w:rFonts w:ascii="Arial" w:hAnsi="Arial" w:cs="Arial"/>
                <w:szCs w:val="20"/>
              </w:rPr>
              <w:t>20</w:t>
            </w:r>
          </w:p>
        </w:tc>
        <w:tc>
          <w:tcPr>
            <w:tcW w:w="2160" w:type="dxa"/>
            <w:hideMark/>
          </w:tcPr>
          <w:p w:rsidR="00E7790E" w:rsidRDefault="00E7790E">
            <w:pPr>
              <w:rPr>
                <w:rFonts w:ascii="Arial" w:hAnsi="Arial" w:cs="Arial"/>
                <w:szCs w:val="20"/>
              </w:rPr>
            </w:pPr>
            <w:r>
              <w:rPr>
                <w:rFonts w:ascii="Arial" w:hAnsi="Arial" w:cs="Arial"/>
                <w:szCs w:val="20"/>
              </w:rPr>
              <w:t>S1G tables...Need to add an "*" for those entries that are referenced elsewhere in the table.</w:t>
            </w:r>
          </w:p>
        </w:tc>
        <w:tc>
          <w:tcPr>
            <w:tcW w:w="2430" w:type="dxa"/>
            <w:hideMark/>
          </w:tcPr>
          <w:p w:rsidR="00E7790E" w:rsidRDefault="00E7790E">
            <w:pPr>
              <w:rPr>
                <w:rFonts w:ascii="Arial" w:hAnsi="Arial" w:cs="Arial"/>
                <w:szCs w:val="20"/>
              </w:rPr>
            </w:pPr>
            <w:r>
              <w:rPr>
                <w:rFonts w:ascii="Arial" w:hAnsi="Arial" w:cs="Arial"/>
                <w:szCs w:val="20"/>
              </w:rPr>
              <w:t>as in comment</w:t>
            </w:r>
          </w:p>
        </w:tc>
        <w:tc>
          <w:tcPr>
            <w:tcW w:w="2430" w:type="dxa"/>
            <w:hideMark/>
          </w:tcPr>
          <w:p w:rsidR="00E7790E" w:rsidRDefault="00C871F8" w:rsidP="00B4424E">
            <w:pPr>
              <w:rPr>
                <w:rFonts w:asciiTheme="majorBidi" w:hAnsiTheme="majorBidi" w:cstheme="majorBidi"/>
                <w:szCs w:val="20"/>
                <w:lang w:val="en-US"/>
              </w:rPr>
            </w:pPr>
            <w:r>
              <w:rPr>
                <w:rFonts w:asciiTheme="majorBidi" w:hAnsiTheme="majorBidi" w:cstheme="majorBidi"/>
                <w:szCs w:val="20"/>
                <w:lang w:val="en-US"/>
              </w:rPr>
              <w:t>Accept</w:t>
            </w:r>
          </w:p>
        </w:tc>
      </w:tr>
      <w:tr w:rsidR="001140BE" w:rsidRPr="00820CAC" w:rsidTr="00B4424E">
        <w:trPr>
          <w:trHeight w:val="719"/>
        </w:trPr>
        <w:tc>
          <w:tcPr>
            <w:tcW w:w="630" w:type="dxa"/>
            <w:hideMark/>
          </w:tcPr>
          <w:p w:rsidR="001140BE" w:rsidRDefault="001140BE" w:rsidP="001140BE">
            <w:pPr>
              <w:jc w:val="right"/>
              <w:rPr>
                <w:rFonts w:ascii="Arial" w:hAnsi="Arial" w:cs="Arial"/>
                <w:szCs w:val="20"/>
              </w:rPr>
            </w:pPr>
            <w:r>
              <w:rPr>
                <w:rFonts w:ascii="Arial" w:hAnsi="Arial" w:cs="Arial"/>
                <w:szCs w:val="20"/>
              </w:rPr>
              <w:t>5124</w:t>
            </w:r>
          </w:p>
          <w:p w:rsidR="001140BE" w:rsidRDefault="001140BE" w:rsidP="00E7790E">
            <w:pPr>
              <w:jc w:val="right"/>
              <w:rPr>
                <w:rFonts w:ascii="Arial" w:hAnsi="Arial" w:cs="Arial"/>
                <w:szCs w:val="20"/>
              </w:rPr>
            </w:pPr>
          </w:p>
        </w:tc>
        <w:tc>
          <w:tcPr>
            <w:tcW w:w="900" w:type="dxa"/>
            <w:hideMark/>
          </w:tcPr>
          <w:p w:rsidR="001140BE" w:rsidRDefault="001140BE">
            <w:pPr>
              <w:rPr>
                <w:rFonts w:ascii="Arial" w:hAnsi="Arial" w:cs="Arial"/>
                <w:szCs w:val="20"/>
              </w:rPr>
            </w:pPr>
            <w:r>
              <w:rPr>
                <w:rFonts w:ascii="Arial" w:hAnsi="Arial" w:cs="Arial"/>
                <w:szCs w:val="20"/>
              </w:rPr>
              <w:t>B.4.26a.1</w:t>
            </w:r>
          </w:p>
        </w:tc>
        <w:tc>
          <w:tcPr>
            <w:tcW w:w="540" w:type="dxa"/>
            <w:hideMark/>
          </w:tcPr>
          <w:p w:rsidR="001140BE" w:rsidRDefault="001140BE">
            <w:pPr>
              <w:rPr>
                <w:rFonts w:ascii="Arial" w:hAnsi="Arial" w:cs="Arial"/>
                <w:szCs w:val="20"/>
              </w:rPr>
            </w:pPr>
            <w:r>
              <w:rPr>
                <w:rFonts w:ascii="Arial" w:hAnsi="Arial" w:cs="Arial"/>
                <w:szCs w:val="20"/>
              </w:rPr>
              <w:t>525</w:t>
            </w:r>
          </w:p>
        </w:tc>
        <w:tc>
          <w:tcPr>
            <w:tcW w:w="450" w:type="dxa"/>
            <w:hideMark/>
          </w:tcPr>
          <w:p w:rsidR="001140BE" w:rsidRDefault="001140BE">
            <w:pPr>
              <w:rPr>
                <w:rFonts w:ascii="Arial" w:hAnsi="Arial" w:cs="Arial"/>
                <w:szCs w:val="20"/>
              </w:rPr>
            </w:pPr>
            <w:r>
              <w:rPr>
                <w:rFonts w:ascii="Arial" w:hAnsi="Arial" w:cs="Arial"/>
                <w:szCs w:val="20"/>
              </w:rPr>
              <w:t>24</w:t>
            </w:r>
          </w:p>
        </w:tc>
        <w:tc>
          <w:tcPr>
            <w:tcW w:w="2160" w:type="dxa"/>
            <w:hideMark/>
          </w:tcPr>
          <w:p w:rsidR="001140BE" w:rsidRDefault="001140BE">
            <w:pPr>
              <w:rPr>
                <w:rFonts w:ascii="Arial" w:hAnsi="Arial" w:cs="Arial"/>
                <w:szCs w:val="20"/>
              </w:rPr>
            </w:pPr>
            <w:r>
              <w:rPr>
                <w:rFonts w:ascii="Arial" w:hAnsi="Arial" w:cs="Arial"/>
                <w:szCs w:val="20"/>
              </w:rPr>
              <w:t>Timing Synchronization function (TSF) seems to be a category. There is no need to assign M or O to it. Please check other tables for examples.</w:t>
            </w:r>
          </w:p>
        </w:tc>
        <w:tc>
          <w:tcPr>
            <w:tcW w:w="2430" w:type="dxa"/>
            <w:hideMark/>
          </w:tcPr>
          <w:p w:rsidR="001140BE" w:rsidRDefault="001140BE">
            <w:pPr>
              <w:rPr>
                <w:rFonts w:ascii="Arial" w:hAnsi="Arial" w:cs="Arial"/>
                <w:szCs w:val="20"/>
              </w:rPr>
            </w:pPr>
            <w:r>
              <w:rPr>
                <w:rFonts w:ascii="Arial" w:hAnsi="Arial" w:cs="Arial"/>
                <w:szCs w:val="20"/>
              </w:rPr>
              <w:t>as in comment</w:t>
            </w:r>
          </w:p>
        </w:tc>
        <w:tc>
          <w:tcPr>
            <w:tcW w:w="2430" w:type="dxa"/>
            <w:hideMark/>
          </w:tcPr>
          <w:p w:rsidR="001140BE" w:rsidRDefault="005A5A85" w:rsidP="00B4424E">
            <w:pPr>
              <w:rPr>
                <w:rFonts w:asciiTheme="majorBidi" w:hAnsiTheme="majorBidi" w:cstheme="majorBidi"/>
                <w:szCs w:val="20"/>
                <w:lang w:val="en-US"/>
              </w:rPr>
            </w:pPr>
            <w:r>
              <w:rPr>
                <w:rFonts w:asciiTheme="majorBidi" w:hAnsiTheme="majorBidi" w:cstheme="majorBidi"/>
                <w:szCs w:val="20"/>
                <w:lang w:val="en-US"/>
              </w:rPr>
              <w:t>Reject</w:t>
            </w:r>
          </w:p>
          <w:p w:rsidR="005A5A85" w:rsidRDefault="005A5A85" w:rsidP="00B4424E">
            <w:pPr>
              <w:rPr>
                <w:rFonts w:asciiTheme="majorBidi" w:hAnsiTheme="majorBidi" w:cstheme="majorBidi"/>
                <w:szCs w:val="20"/>
                <w:lang w:val="en-US"/>
              </w:rPr>
            </w:pPr>
          </w:p>
          <w:p w:rsidR="005A5A85" w:rsidRDefault="005A5A85" w:rsidP="00B4424E">
            <w:pPr>
              <w:rPr>
                <w:rFonts w:asciiTheme="majorBidi" w:hAnsiTheme="majorBidi" w:cstheme="majorBidi"/>
                <w:szCs w:val="20"/>
                <w:lang w:val="en-US"/>
              </w:rPr>
            </w:pPr>
            <w:r>
              <w:rPr>
                <w:rFonts w:asciiTheme="majorBidi" w:hAnsiTheme="majorBidi" w:cstheme="majorBidi"/>
                <w:szCs w:val="20"/>
                <w:lang w:val="en-US"/>
              </w:rPr>
              <w:t>Discussion: in 802.11 baseline, TSF is assigned M/O also.</w:t>
            </w:r>
          </w:p>
        </w:tc>
      </w:tr>
      <w:tr w:rsidR="001A2358" w:rsidRPr="00820CAC" w:rsidTr="00B4424E">
        <w:trPr>
          <w:trHeight w:val="719"/>
        </w:trPr>
        <w:tc>
          <w:tcPr>
            <w:tcW w:w="630" w:type="dxa"/>
            <w:hideMark/>
          </w:tcPr>
          <w:p w:rsidR="001A2358" w:rsidRDefault="001A2358" w:rsidP="001A2358">
            <w:pPr>
              <w:jc w:val="right"/>
              <w:rPr>
                <w:rFonts w:ascii="Arial" w:hAnsi="Arial" w:cs="Arial"/>
                <w:szCs w:val="20"/>
              </w:rPr>
            </w:pPr>
            <w:r>
              <w:rPr>
                <w:rFonts w:ascii="Arial" w:hAnsi="Arial" w:cs="Arial"/>
                <w:szCs w:val="20"/>
              </w:rPr>
              <w:t>5125</w:t>
            </w:r>
          </w:p>
          <w:p w:rsidR="001A2358" w:rsidRDefault="001A2358" w:rsidP="001140BE">
            <w:pPr>
              <w:jc w:val="right"/>
              <w:rPr>
                <w:rFonts w:ascii="Arial" w:hAnsi="Arial" w:cs="Arial"/>
                <w:szCs w:val="20"/>
              </w:rPr>
            </w:pPr>
          </w:p>
        </w:tc>
        <w:tc>
          <w:tcPr>
            <w:tcW w:w="900" w:type="dxa"/>
            <w:hideMark/>
          </w:tcPr>
          <w:p w:rsidR="001A2358" w:rsidRDefault="001A2358">
            <w:pPr>
              <w:rPr>
                <w:rFonts w:ascii="Arial" w:hAnsi="Arial" w:cs="Arial"/>
                <w:szCs w:val="20"/>
              </w:rPr>
            </w:pPr>
            <w:r>
              <w:rPr>
                <w:rFonts w:ascii="Arial" w:hAnsi="Arial" w:cs="Arial"/>
                <w:szCs w:val="20"/>
              </w:rPr>
              <w:t>B.4.26a.1</w:t>
            </w:r>
          </w:p>
        </w:tc>
        <w:tc>
          <w:tcPr>
            <w:tcW w:w="540" w:type="dxa"/>
            <w:hideMark/>
          </w:tcPr>
          <w:p w:rsidR="001A2358" w:rsidRDefault="001A2358">
            <w:pPr>
              <w:rPr>
                <w:rFonts w:ascii="Arial" w:hAnsi="Arial" w:cs="Arial"/>
                <w:szCs w:val="20"/>
              </w:rPr>
            </w:pPr>
            <w:r>
              <w:rPr>
                <w:rFonts w:ascii="Arial" w:hAnsi="Arial" w:cs="Arial"/>
                <w:szCs w:val="20"/>
              </w:rPr>
              <w:t>528</w:t>
            </w:r>
          </w:p>
        </w:tc>
        <w:tc>
          <w:tcPr>
            <w:tcW w:w="450" w:type="dxa"/>
            <w:hideMark/>
          </w:tcPr>
          <w:p w:rsidR="001A2358" w:rsidRDefault="001A2358">
            <w:pPr>
              <w:rPr>
                <w:rFonts w:ascii="Arial" w:hAnsi="Arial" w:cs="Arial"/>
                <w:szCs w:val="20"/>
              </w:rPr>
            </w:pPr>
            <w:r>
              <w:rPr>
                <w:rFonts w:ascii="Arial" w:hAnsi="Arial" w:cs="Arial"/>
                <w:szCs w:val="20"/>
              </w:rPr>
              <w:t>36</w:t>
            </w:r>
          </w:p>
        </w:tc>
        <w:tc>
          <w:tcPr>
            <w:tcW w:w="2160" w:type="dxa"/>
            <w:hideMark/>
          </w:tcPr>
          <w:p w:rsidR="001A2358" w:rsidRDefault="001A2358">
            <w:pPr>
              <w:rPr>
                <w:rFonts w:ascii="Arial" w:hAnsi="Arial" w:cs="Arial"/>
                <w:szCs w:val="20"/>
              </w:rPr>
            </w:pPr>
            <w:r>
              <w:rPr>
                <w:rFonts w:ascii="Arial" w:hAnsi="Arial" w:cs="Arial"/>
                <w:szCs w:val="20"/>
              </w:rPr>
              <w:t xml:space="preserve">Isn't </w:t>
            </w:r>
            <w:proofErr w:type="spellStart"/>
            <w:r>
              <w:rPr>
                <w:rFonts w:ascii="Arial" w:hAnsi="Arial" w:cs="Arial"/>
                <w:szCs w:val="20"/>
              </w:rPr>
              <w:t>traveling</w:t>
            </w:r>
            <w:proofErr w:type="spellEnd"/>
            <w:r>
              <w:rPr>
                <w:rFonts w:ascii="Arial" w:hAnsi="Arial" w:cs="Arial"/>
                <w:szCs w:val="20"/>
              </w:rPr>
              <w:t xml:space="preserve"> Pilot operation a PHY function? Why it is included in the MAC table?</w:t>
            </w:r>
          </w:p>
        </w:tc>
        <w:tc>
          <w:tcPr>
            <w:tcW w:w="2430" w:type="dxa"/>
            <w:hideMark/>
          </w:tcPr>
          <w:p w:rsidR="001A2358" w:rsidRDefault="001A2358">
            <w:pPr>
              <w:rPr>
                <w:rFonts w:ascii="Arial" w:hAnsi="Arial" w:cs="Arial"/>
                <w:szCs w:val="20"/>
              </w:rPr>
            </w:pPr>
            <w:r>
              <w:rPr>
                <w:rFonts w:ascii="Arial" w:hAnsi="Arial" w:cs="Arial"/>
                <w:szCs w:val="20"/>
              </w:rPr>
              <w:t>clarify</w:t>
            </w:r>
          </w:p>
        </w:tc>
        <w:tc>
          <w:tcPr>
            <w:tcW w:w="2430" w:type="dxa"/>
            <w:hideMark/>
          </w:tcPr>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Reject</w:t>
            </w:r>
          </w:p>
          <w:p w:rsidR="001A2358" w:rsidRDefault="001A2358" w:rsidP="00B4424E">
            <w:pPr>
              <w:rPr>
                <w:rFonts w:asciiTheme="majorBidi" w:hAnsiTheme="majorBidi" w:cstheme="majorBidi"/>
                <w:szCs w:val="20"/>
                <w:lang w:val="en-US"/>
              </w:rPr>
            </w:pPr>
          </w:p>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Discussion: traveling Pilot operation is MAC feature to manage PHY travelling Pilot.</w:t>
            </w:r>
          </w:p>
        </w:tc>
      </w:tr>
      <w:tr w:rsidR="001A2358" w:rsidRPr="00820CAC" w:rsidTr="00B4424E">
        <w:trPr>
          <w:trHeight w:val="719"/>
        </w:trPr>
        <w:tc>
          <w:tcPr>
            <w:tcW w:w="630" w:type="dxa"/>
            <w:hideMark/>
          </w:tcPr>
          <w:p w:rsidR="001A2358" w:rsidRDefault="001A2358" w:rsidP="001A2358">
            <w:pPr>
              <w:jc w:val="right"/>
              <w:rPr>
                <w:rFonts w:ascii="Arial" w:hAnsi="Arial" w:cs="Arial"/>
                <w:szCs w:val="20"/>
              </w:rPr>
            </w:pPr>
            <w:r>
              <w:rPr>
                <w:rFonts w:ascii="Arial" w:hAnsi="Arial" w:cs="Arial"/>
                <w:szCs w:val="20"/>
              </w:rPr>
              <w:t>5126</w:t>
            </w:r>
          </w:p>
          <w:p w:rsidR="001A2358" w:rsidRDefault="001A2358" w:rsidP="001A2358">
            <w:pPr>
              <w:jc w:val="right"/>
              <w:rPr>
                <w:rFonts w:ascii="Arial" w:hAnsi="Arial" w:cs="Arial"/>
                <w:szCs w:val="20"/>
              </w:rPr>
            </w:pPr>
          </w:p>
        </w:tc>
        <w:tc>
          <w:tcPr>
            <w:tcW w:w="900" w:type="dxa"/>
            <w:hideMark/>
          </w:tcPr>
          <w:p w:rsidR="001A2358" w:rsidRDefault="001A2358">
            <w:pPr>
              <w:rPr>
                <w:rFonts w:ascii="Arial" w:hAnsi="Arial" w:cs="Arial"/>
                <w:szCs w:val="20"/>
              </w:rPr>
            </w:pPr>
            <w:r>
              <w:rPr>
                <w:rFonts w:ascii="Arial" w:hAnsi="Arial" w:cs="Arial"/>
                <w:szCs w:val="20"/>
              </w:rPr>
              <w:t>B.4.26a.1</w:t>
            </w:r>
          </w:p>
        </w:tc>
        <w:tc>
          <w:tcPr>
            <w:tcW w:w="540" w:type="dxa"/>
            <w:hideMark/>
          </w:tcPr>
          <w:p w:rsidR="001A2358" w:rsidRDefault="001A2358">
            <w:pPr>
              <w:rPr>
                <w:rFonts w:ascii="Arial" w:hAnsi="Arial" w:cs="Arial"/>
                <w:szCs w:val="20"/>
              </w:rPr>
            </w:pPr>
            <w:r>
              <w:rPr>
                <w:rFonts w:ascii="Arial" w:hAnsi="Arial" w:cs="Arial"/>
                <w:szCs w:val="20"/>
              </w:rPr>
              <w:t>529</w:t>
            </w:r>
          </w:p>
        </w:tc>
        <w:tc>
          <w:tcPr>
            <w:tcW w:w="450" w:type="dxa"/>
            <w:hideMark/>
          </w:tcPr>
          <w:p w:rsidR="001A2358" w:rsidRDefault="001A2358">
            <w:pPr>
              <w:rPr>
                <w:rFonts w:ascii="Arial" w:hAnsi="Arial" w:cs="Arial"/>
                <w:szCs w:val="20"/>
              </w:rPr>
            </w:pPr>
            <w:r>
              <w:rPr>
                <w:rFonts w:ascii="Arial" w:hAnsi="Arial" w:cs="Arial"/>
                <w:szCs w:val="20"/>
              </w:rPr>
              <w:t>4</w:t>
            </w:r>
          </w:p>
        </w:tc>
        <w:tc>
          <w:tcPr>
            <w:tcW w:w="2160" w:type="dxa"/>
            <w:hideMark/>
          </w:tcPr>
          <w:p w:rsidR="001A2358" w:rsidRDefault="001A2358">
            <w:pPr>
              <w:rPr>
                <w:rFonts w:ascii="Arial" w:hAnsi="Arial" w:cs="Arial"/>
                <w:szCs w:val="20"/>
              </w:rPr>
            </w:pPr>
            <w:r>
              <w:rPr>
                <w:rFonts w:ascii="Arial" w:hAnsi="Arial" w:cs="Arial"/>
                <w:szCs w:val="20"/>
              </w:rPr>
              <w:t>My understanding is Flow control is only applicable to the Relay function. Why it is a mandatory function for S1G STA?</w:t>
            </w:r>
          </w:p>
        </w:tc>
        <w:tc>
          <w:tcPr>
            <w:tcW w:w="2430" w:type="dxa"/>
            <w:hideMark/>
          </w:tcPr>
          <w:p w:rsidR="001A2358" w:rsidRDefault="001A2358">
            <w:pPr>
              <w:rPr>
                <w:rFonts w:ascii="Arial" w:hAnsi="Arial" w:cs="Arial"/>
                <w:szCs w:val="20"/>
              </w:rPr>
            </w:pPr>
            <w:r>
              <w:rPr>
                <w:rFonts w:ascii="Arial" w:hAnsi="Arial" w:cs="Arial"/>
                <w:szCs w:val="20"/>
              </w:rPr>
              <w:t>Clarify</w:t>
            </w:r>
          </w:p>
        </w:tc>
        <w:tc>
          <w:tcPr>
            <w:tcW w:w="2430" w:type="dxa"/>
            <w:hideMark/>
          </w:tcPr>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Reject</w:t>
            </w:r>
          </w:p>
          <w:p w:rsidR="001A2358" w:rsidRDefault="001A2358" w:rsidP="00B4424E">
            <w:pPr>
              <w:rPr>
                <w:rFonts w:asciiTheme="majorBidi" w:hAnsiTheme="majorBidi" w:cstheme="majorBidi"/>
                <w:szCs w:val="20"/>
                <w:lang w:val="en-US"/>
              </w:rPr>
            </w:pPr>
          </w:p>
          <w:p w:rsidR="001A2358" w:rsidRDefault="001A2358" w:rsidP="00B4424E">
            <w:pPr>
              <w:rPr>
                <w:rFonts w:asciiTheme="majorBidi" w:hAnsiTheme="majorBidi" w:cstheme="majorBidi"/>
                <w:szCs w:val="20"/>
                <w:lang w:val="en-US"/>
              </w:rPr>
            </w:pPr>
            <w:r>
              <w:rPr>
                <w:rFonts w:asciiTheme="majorBidi" w:hAnsiTheme="majorBidi" w:cstheme="majorBidi"/>
                <w:szCs w:val="20"/>
                <w:lang w:val="en-US"/>
              </w:rPr>
              <w:t xml:space="preserve">Discussion: the group thinks that Flow Control can help other WLAN deployment other than </w:t>
            </w:r>
            <w:r w:rsidR="00203300">
              <w:rPr>
                <w:rFonts w:asciiTheme="majorBidi" w:hAnsiTheme="majorBidi" w:cstheme="majorBidi"/>
                <w:szCs w:val="20"/>
                <w:lang w:val="en-US"/>
              </w:rPr>
              <w:t>Relay function, e.g. AP and its associated STAs.</w:t>
            </w:r>
          </w:p>
        </w:tc>
      </w:tr>
      <w:tr w:rsidR="00287DE3" w:rsidRPr="00820CAC" w:rsidTr="00B4424E">
        <w:trPr>
          <w:trHeight w:val="719"/>
        </w:trPr>
        <w:tc>
          <w:tcPr>
            <w:tcW w:w="630" w:type="dxa"/>
            <w:hideMark/>
          </w:tcPr>
          <w:p w:rsidR="00287DE3" w:rsidRPr="00776EFA" w:rsidRDefault="00287DE3" w:rsidP="00287DE3">
            <w:pPr>
              <w:jc w:val="right"/>
              <w:rPr>
                <w:rFonts w:ascii="Arial" w:hAnsi="Arial" w:cs="Arial"/>
                <w:strike/>
                <w:szCs w:val="20"/>
              </w:rPr>
            </w:pPr>
            <w:r w:rsidRPr="00776EFA">
              <w:rPr>
                <w:rFonts w:ascii="Arial" w:hAnsi="Arial" w:cs="Arial"/>
                <w:strike/>
                <w:szCs w:val="20"/>
              </w:rPr>
              <w:t>5350</w:t>
            </w:r>
          </w:p>
          <w:p w:rsidR="00287DE3" w:rsidRPr="00776EFA" w:rsidRDefault="00287DE3" w:rsidP="001A2358">
            <w:pPr>
              <w:jc w:val="right"/>
              <w:rPr>
                <w:rFonts w:ascii="Arial" w:hAnsi="Arial" w:cs="Arial"/>
                <w:strike/>
                <w:szCs w:val="20"/>
              </w:rPr>
            </w:pPr>
          </w:p>
        </w:tc>
        <w:tc>
          <w:tcPr>
            <w:tcW w:w="900" w:type="dxa"/>
            <w:hideMark/>
          </w:tcPr>
          <w:p w:rsidR="00287DE3" w:rsidRPr="00776EFA" w:rsidRDefault="00287DE3">
            <w:pPr>
              <w:rPr>
                <w:rFonts w:ascii="Arial" w:hAnsi="Arial" w:cs="Arial"/>
                <w:strike/>
                <w:szCs w:val="20"/>
              </w:rPr>
            </w:pPr>
            <w:r w:rsidRPr="00776EFA">
              <w:rPr>
                <w:rFonts w:ascii="Arial" w:hAnsi="Arial" w:cs="Arial"/>
                <w:strike/>
                <w:szCs w:val="20"/>
              </w:rPr>
              <w:t>B.4.26a.1</w:t>
            </w:r>
          </w:p>
        </w:tc>
        <w:tc>
          <w:tcPr>
            <w:tcW w:w="540" w:type="dxa"/>
            <w:hideMark/>
          </w:tcPr>
          <w:p w:rsidR="00287DE3" w:rsidRPr="00776EFA" w:rsidRDefault="00287DE3">
            <w:pPr>
              <w:rPr>
                <w:rFonts w:ascii="Arial" w:hAnsi="Arial" w:cs="Arial"/>
                <w:strike/>
                <w:szCs w:val="20"/>
              </w:rPr>
            </w:pPr>
            <w:r w:rsidRPr="00776EFA">
              <w:rPr>
                <w:rFonts w:ascii="Arial" w:hAnsi="Arial" w:cs="Arial"/>
                <w:strike/>
                <w:szCs w:val="20"/>
              </w:rPr>
              <w:t>526</w:t>
            </w:r>
          </w:p>
        </w:tc>
        <w:tc>
          <w:tcPr>
            <w:tcW w:w="450" w:type="dxa"/>
            <w:hideMark/>
          </w:tcPr>
          <w:p w:rsidR="00287DE3" w:rsidRPr="00776EFA" w:rsidRDefault="00287DE3">
            <w:pPr>
              <w:rPr>
                <w:rFonts w:ascii="Arial" w:hAnsi="Arial" w:cs="Arial"/>
                <w:strike/>
                <w:szCs w:val="20"/>
              </w:rPr>
            </w:pPr>
            <w:r w:rsidRPr="00776EFA">
              <w:rPr>
                <w:rFonts w:ascii="Arial" w:hAnsi="Arial" w:cs="Arial"/>
                <w:strike/>
                <w:szCs w:val="20"/>
              </w:rPr>
              <w:t>15</w:t>
            </w:r>
          </w:p>
        </w:tc>
        <w:tc>
          <w:tcPr>
            <w:tcW w:w="2160" w:type="dxa"/>
            <w:hideMark/>
          </w:tcPr>
          <w:p w:rsidR="00287DE3" w:rsidRPr="00776EFA" w:rsidRDefault="00287DE3">
            <w:pPr>
              <w:rPr>
                <w:rFonts w:ascii="Arial" w:hAnsi="Arial" w:cs="Arial"/>
                <w:strike/>
                <w:szCs w:val="20"/>
              </w:rPr>
            </w:pPr>
            <w:r w:rsidRPr="00776EFA">
              <w:rPr>
                <w:rFonts w:ascii="Arial" w:hAnsi="Arial" w:cs="Arial"/>
                <w:strike/>
                <w:szCs w:val="20"/>
              </w:rPr>
              <w:t xml:space="preserve">Terminologies have changed, again... We have a TWT requester and TWT responder. And this part needs to be </w:t>
            </w:r>
            <w:proofErr w:type="spellStart"/>
            <w:r w:rsidRPr="00776EFA">
              <w:rPr>
                <w:rFonts w:ascii="Arial" w:hAnsi="Arial" w:cs="Arial"/>
                <w:strike/>
                <w:szCs w:val="20"/>
              </w:rPr>
              <w:t>inline</w:t>
            </w:r>
            <w:proofErr w:type="spellEnd"/>
            <w:r w:rsidRPr="00776EFA">
              <w:rPr>
                <w:rFonts w:ascii="Arial" w:hAnsi="Arial" w:cs="Arial"/>
                <w:strike/>
                <w:szCs w:val="20"/>
              </w:rPr>
              <w:t xml:space="preserve"> with the respective </w:t>
            </w:r>
            <w:proofErr w:type="spellStart"/>
            <w:r w:rsidRPr="00776EFA">
              <w:rPr>
                <w:rFonts w:ascii="Arial" w:hAnsi="Arial" w:cs="Arial"/>
                <w:strike/>
                <w:szCs w:val="20"/>
              </w:rPr>
              <w:t>subclause</w:t>
            </w:r>
            <w:proofErr w:type="spellEnd"/>
            <w:r w:rsidRPr="00776EFA">
              <w:rPr>
                <w:rFonts w:ascii="Arial" w:hAnsi="Arial" w:cs="Arial"/>
                <w:strike/>
                <w:szCs w:val="20"/>
              </w:rPr>
              <w:t>.</w:t>
            </w:r>
          </w:p>
        </w:tc>
        <w:tc>
          <w:tcPr>
            <w:tcW w:w="2430" w:type="dxa"/>
            <w:hideMark/>
          </w:tcPr>
          <w:p w:rsidR="00287DE3" w:rsidRPr="00776EFA" w:rsidRDefault="00287DE3">
            <w:pPr>
              <w:rPr>
                <w:rFonts w:ascii="Arial" w:hAnsi="Arial" w:cs="Arial"/>
                <w:strike/>
                <w:szCs w:val="20"/>
              </w:rPr>
            </w:pPr>
            <w:r w:rsidRPr="00776EFA">
              <w:rPr>
                <w:rFonts w:ascii="Arial" w:hAnsi="Arial" w:cs="Arial"/>
                <w:strike/>
                <w:szCs w:val="20"/>
              </w:rPr>
              <w:t xml:space="preserve">Make sure the terminologies are </w:t>
            </w:r>
            <w:proofErr w:type="spellStart"/>
            <w:r w:rsidRPr="00776EFA">
              <w:rPr>
                <w:rFonts w:ascii="Arial" w:hAnsi="Arial" w:cs="Arial"/>
                <w:strike/>
                <w:szCs w:val="20"/>
              </w:rPr>
              <w:t>inline</w:t>
            </w:r>
            <w:proofErr w:type="spellEnd"/>
            <w:r w:rsidRPr="00776EFA">
              <w:rPr>
                <w:rFonts w:ascii="Arial" w:hAnsi="Arial" w:cs="Arial"/>
                <w:strike/>
                <w:szCs w:val="20"/>
              </w:rPr>
              <w:t xml:space="preserve"> with the corresponding </w:t>
            </w:r>
            <w:proofErr w:type="spellStart"/>
            <w:r w:rsidRPr="00776EFA">
              <w:rPr>
                <w:rFonts w:ascii="Arial" w:hAnsi="Arial" w:cs="Arial"/>
                <w:strike/>
                <w:szCs w:val="20"/>
              </w:rPr>
              <w:t>subclauses</w:t>
            </w:r>
            <w:proofErr w:type="spellEnd"/>
            <w:r w:rsidRPr="00776EFA">
              <w:rPr>
                <w:rFonts w:ascii="Arial" w:hAnsi="Arial" w:cs="Arial"/>
                <w:strike/>
                <w:szCs w:val="20"/>
              </w:rPr>
              <w:t xml:space="preserve"> for all uses of TWT elements, TACK/STACK/BAT, TWT Information etc. Before we had 1 capability bit for TWT support. Now we have 2 bits one for requester and one for responder.</w:t>
            </w:r>
          </w:p>
        </w:tc>
        <w:tc>
          <w:tcPr>
            <w:tcW w:w="2430" w:type="dxa"/>
            <w:hideMark/>
          </w:tcPr>
          <w:p w:rsidR="00287DE3" w:rsidRPr="00776EFA" w:rsidRDefault="00287DE3" w:rsidP="00B4424E">
            <w:pPr>
              <w:rPr>
                <w:rFonts w:asciiTheme="majorBidi" w:hAnsiTheme="majorBidi" w:cstheme="majorBidi"/>
                <w:strike/>
                <w:szCs w:val="20"/>
                <w:lang w:val="en-US"/>
              </w:rPr>
            </w:pPr>
          </w:p>
        </w:tc>
      </w:tr>
      <w:tr w:rsidR="00287DE3" w:rsidRPr="00820CAC" w:rsidTr="00B4424E">
        <w:trPr>
          <w:trHeight w:val="719"/>
        </w:trPr>
        <w:tc>
          <w:tcPr>
            <w:tcW w:w="630" w:type="dxa"/>
            <w:hideMark/>
          </w:tcPr>
          <w:p w:rsidR="00287DE3" w:rsidRDefault="00287DE3" w:rsidP="00287DE3">
            <w:pPr>
              <w:jc w:val="right"/>
              <w:rPr>
                <w:rFonts w:ascii="Arial" w:hAnsi="Arial" w:cs="Arial"/>
                <w:szCs w:val="20"/>
              </w:rPr>
            </w:pPr>
            <w:r>
              <w:rPr>
                <w:rFonts w:ascii="Arial" w:hAnsi="Arial" w:cs="Arial"/>
                <w:szCs w:val="20"/>
              </w:rPr>
              <w:t>5395</w:t>
            </w:r>
          </w:p>
          <w:p w:rsidR="00287DE3" w:rsidRDefault="00287DE3" w:rsidP="00287DE3">
            <w:pPr>
              <w:jc w:val="right"/>
              <w:rPr>
                <w:rFonts w:ascii="Arial" w:hAnsi="Arial" w:cs="Arial"/>
                <w:szCs w:val="20"/>
              </w:rPr>
            </w:pPr>
          </w:p>
        </w:tc>
        <w:tc>
          <w:tcPr>
            <w:tcW w:w="900" w:type="dxa"/>
            <w:hideMark/>
          </w:tcPr>
          <w:p w:rsidR="00287DE3" w:rsidRDefault="00287DE3">
            <w:pPr>
              <w:rPr>
                <w:rFonts w:ascii="Arial" w:hAnsi="Arial" w:cs="Arial"/>
                <w:szCs w:val="20"/>
              </w:rPr>
            </w:pPr>
            <w:r>
              <w:rPr>
                <w:rFonts w:ascii="Arial" w:hAnsi="Arial" w:cs="Arial"/>
                <w:szCs w:val="20"/>
              </w:rPr>
              <w:t>B.4.26a.1</w:t>
            </w:r>
          </w:p>
        </w:tc>
        <w:tc>
          <w:tcPr>
            <w:tcW w:w="540" w:type="dxa"/>
            <w:hideMark/>
          </w:tcPr>
          <w:p w:rsidR="00287DE3" w:rsidRDefault="00287DE3">
            <w:pPr>
              <w:rPr>
                <w:rFonts w:ascii="Arial" w:hAnsi="Arial" w:cs="Arial"/>
                <w:szCs w:val="20"/>
              </w:rPr>
            </w:pPr>
            <w:r>
              <w:rPr>
                <w:rFonts w:ascii="Arial" w:hAnsi="Arial" w:cs="Arial"/>
                <w:szCs w:val="20"/>
              </w:rPr>
              <w:t>531</w:t>
            </w:r>
          </w:p>
        </w:tc>
        <w:tc>
          <w:tcPr>
            <w:tcW w:w="450" w:type="dxa"/>
            <w:hideMark/>
          </w:tcPr>
          <w:p w:rsidR="00287DE3" w:rsidRDefault="00287DE3">
            <w:pPr>
              <w:rPr>
                <w:rFonts w:ascii="Arial" w:hAnsi="Arial" w:cs="Arial"/>
                <w:szCs w:val="20"/>
              </w:rPr>
            </w:pPr>
            <w:r>
              <w:rPr>
                <w:rFonts w:ascii="Arial" w:hAnsi="Arial" w:cs="Arial"/>
                <w:szCs w:val="20"/>
              </w:rPr>
              <w:t>9</w:t>
            </w:r>
          </w:p>
        </w:tc>
        <w:tc>
          <w:tcPr>
            <w:tcW w:w="2160" w:type="dxa"/>
            <w:hideMark/>
          </w:tcPr>
          <w:p w:rsidR="00287DE3" w:rsidRDefault="00287DE3">
            <w:pPr>
              <w:rPr>
                <w:rFonts w:ascii="Arial" w:hAnsi="Arial" w:cs="Arial"/>
                <w:szCs w:val="20"/>
              </w:rPr>
            </w:pPr>
            <w:r>
              <w:rPr>
                <w:rFonts w:ascii="Arial" w:hAnsi="Arial" w:cs="Arial"/>
                <w:szCs w:val="20"/>
              </w:rPr>
              <w:t>Status of S1GM23.1.4 to S1GM23.1.6 are specified as "(CF2 &amp; CF32 &amp; not S1GM7)</w:t>
            </w:r>
            <w:proofErr w:type="gramStart"/>
            <w:r>
              <w:rPr>
                <w:rFonts w:ascii="Arial" w:hAnsi="Arial" w:cs="Arial"/>
                <w:szCs w:val="20"/>
              </w:rPr>
              <w:t>:M</w:t>
            </w:r>
            <w:proofErr w:type="gramEnd"/>
            <w:r>
              <w:rPr>
                <w:rFonts w:ascii="Arial" w:hAnsi="Arial" w:cs="Arial"/>
                <w:szCs w:val="20"/>
              </w:rPr>
              <w:t>". It is necessary to add "(CF2 &amp; CF32 &amp; S1GM7)</w:t>
            </w:r>
            <w:proofErr w:type="gramStart"/>
            <w:r>
              <w:rPr>
                <w:rFonts w:ascii="Arial" w:hAnsi="Arial" w:cs="Arial"/>
                <w:szCs w:val="20"/>
              </w:rPr>
              <w:t>:O</w:t>
            </w:r>
            <w:proofErr w:type="gramEnd"/>
            <w:r>
              <w:rPr>
                <w:rFonts w:ascii="Arial" w:hAnsi="Arial" w:cs="Arial"/>
                <w:szCs w:val="20"/>
              </w:rPr>
              <w:t>".</w:t>
            </w:r>
          </w:p>
        </w:tc>
        <w:tc>
          <w:tcPr>
            <w:tcW w:w="2430" w:type="dxa"/>
            <w:hideMark/>
          </w:tcPr>
          <w:p w:rsidR="00287DE3" w:rsidRDefault="00287DE3">
            <w:pPr>
              <w:rPr>
                <w:rFonts w:ascii="Arial" w:hAnsi="Arial" w:cs="Arial"/>
                <w:szCs w:val="20"/>
              </w:rPr>
            </w:pPr>
            <w:r>
              <w:rPr>
                <w:rFonts w:ascii="Arial" w:hAnsi="Arial" w:cs="Arial"/>
                <w:szCs w:val="20"/>
              </w:rPr>
              <w:t>As in comment.</w:t>
            </w:r>
          </w:p>
        </w:tc>
        <w:tc>
          <w:tcPr>
            <w:tcW w:w="2430" w:type="dxa"/>
            <w:hideMark/>
          </w:tcPr>
          <w:p w:rsidR="00287DE3" w:rsidRDefault="00503A34" w:rsidP="00B4424E">
            <w:pPr>
              <w:rPr>
                <w:rFonts w:asciiTheme="majorBidi" w:hAnsiTheme="majorBidi" w:cstheme="majorBidi"/>
                <w:szCs w:val="20"/>
                <w:lang w:val="en-US"/>
              </w:rPr>
            </w:pPr>
            <w:r>
              <w:rPr>
                <w:rFonts w:asciiTheme="majorBidi" w:hAnsiTheme="majorBidi" w:cstheme="majorBidi"/>
                <w:szCs w:val="20"/>
                <w:lang w:val="en-US"/>
              </w:rPr>
              <w:t>Revise</w:t>
            </w:r>
          </w:p>
          <w:p w:rsidR="00503A34" w:rsidRDefault="00503A34" w:rsidP="00B4424E">
            <w:pPr>
              <w:rPr>
                <w:rFonts w:asciiTheme="majorBidi" w:hAnsiTheme="majorBidi" w:cstheme="majorBidi"/>
                <w:szCs w:val="20"/>
                <w:lang w:val="en-US"/>
              </w:rPr>
            </w:pPr>
          </w:p>
          <w:p w:rsidR="00503A34" w:rsidRDefault="00503A34" w:rsidP="00FF0CA9">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adds “</w:t>
            </w:r>
            <w:r>
              <w:rPr>
                <w:rFonts w:ascii="Arial" w:hAnsi="Arial" w:cs="Arial"/>
                <w:szCs w:val="20"/>
              </w:rPr>
              <w:t xml:space="preserve">(CF2 </w:t>
            </w:r>
            <w:r w:rsidR="00FF0CA9">
              <w:rPr>
                <w:rFonts w:ascii="Arial" w:hAnsi="Arial" w:cs="Arial"/>
                <w:szCs w:val="20"/>
              </w:rPr>
              <w:t>AND</w:t>
            </w:r>
            <w:r>
              <w:rPr>
                <w:rFonts w:ascii="Arial" w:hAnsi="Arial" w:cs="Arial"/>
                <w:szCs w:val="20"/>
              </w:rPr>
              <w:t xml:space="preserve"> CF32 </w:t>
            </w:r>
            <w:r w:rsidR="00FF0CA9">
              <w:rPr>
                <w:rFonts w:ascii="Arial" w:hAnsi="Arial" w:cs="Arial"/>
                <w:szCs w:val="20"/>
              </w:rPr>
              <w:t xml:space="preserve">AND </w:t>
            </w:r>
            <w:r>
              <w:rPr>
                <w:rFonts w:ascii="Arial" w:hAnsi="Arial" w:cs="Arial"/>
                <w:szCs w:val="20"/>
              </w:rPr>
              <w:t>S1GM7)</w:t>
            </w:r>
            <w:proofErr w:type="gramStart"/>
            <w:r>
              <w:rPr>
                <w:rFonts w:ascii="Arial" w:hAnsi="Arial" w:cs="Arial"/>
                <w:szCs w:val="20"/>
              </w:rPr>
              <w:t>:O</w:t>
            </w:r>
            <w:proofErr w:type="gramEnd"/>
            <w:r>
              <w:rPr>
                <w:rFonts w:ascii="Arial" w:hAnsi="Arial" w:cs="Arial"/>
                <w:szCs w:val="20"/>
              </w:rPr>
              <w:t>” to Status of S1GM23.1.4 to S1GM23.1.6.</w:t>
            </w:r>
          </w:p>
        </w:tc>
      </w:tr>
      <w:tr w:rsidR="00287DE3" w:rsidRPr="00820CAC" w:rsidTr="00B4424E">
        <w:trPr>
          <w:trHeight w:val="719"/>
        </w:trPr>
        <w:tc>
          <w:tcPr>
            <w:tcW w:w="630" w:type="dxa"/>
            <w:hideMark/>
          </w:tcPr>
          <w:p w:rsidR="00287DE3" w:rsidRDefault="00287DE3" w:rsidP="00287DE3">
            <w:pPr>
              <w:jc w:val="right"/>
              <w:rPr>
                <w:rFonts w:ascii="Arial" w:hAnsi="Arial" w:cs="Arial"/>
                <w:szCs w:val="20"/>
              </w:rPr>
            </w:pPr>
            <w:r>
              <w:rPr>
                <w:rFonts w:ascii="Arial" w:hAnsi="Arial" w:cs="Arial"/>
                <w:szCs w:val="20"/>
              </w:rPr>
              <w:lastRenderedPageBreak/>
              <w:t>5409</w:t>
            </w:r>
          </w:p>
          <w:p w:rsidR="00287DE3" w:rsidRDefault="00287DE3" w:rsidP="00287DE3">
            <w:pPr>
              <w:jc w:val="right"/>
              <w:rPr>
                <w:rFonts w:ascii="Arial" w:hAnsi="Arial" w:cs="Arial"/>
                <w:szCs w:val="20"/>
              </w:rPr>
            </w:pPr>
          </w:p>
        </w:tc>
        <w:tc>
          <w:tcPr>
            <w:tcW w:w="900" w:type="dxa"/>
            <w:hideMark/>
          </w:tcPr>
          <w:p w:rsidR="00287DE3" w:rsidRDefault="00287DE3">
            <w:pPr>
              <w:rPr>
                <w:rFonts w:ascii="Arial" w:hAnsi="Arial" w:cs="Arial"/>
                <w:szCs w:val="20"/>
              </w:rPr>
            </w:pPr>
            <w:r>
              <w:rPr>
                <w:rFonts w:ascii="Arial" w:hAnsi="Arial" w:cs="Arial"/>
                <w:szCs w:val="20"/>
              </w:rPr>
              <w:t>B.4.26a.1</w:t>
            </w:r>
          </w:p>
        </w:tc>
        <w:tc>
          <w:tcPr>
            <w:tcW w:w="540" w:type="dxa"/>
            <w:hideMark/>
          </w:tcPr>
          <w:p w:rsidR="00287DE3" w:rsidRDefault="00287DE3">
            <w:pPr>
              <w:rPr>
                <w:rFonts w:ascii="Arial" w:hAnsi="Arial" w:cs="Arial"/>
                <w:szCs w:val="20"/>
              </w:rPr>
            </w:pPr>
            <w:r>
              <w:rPr>
                <w:rFonts w:ascii="Arial" w:hAnsi="Arial" w:cs="Arial"/>
                <w:szCs w:val="20"/>
              </w:rPr>
              <w:t>529</w:t>
            </w:r>
          </w:p>
        </w:tc>
        <w:tc>
          <w:tcPr>
            <w:tcW w:w="450" w:type="dxa"/>
            <w:hideMark/>
          </w:tcPr>
          <w:p w:rsidR="00287DE3" w:rsidRDefault="00287DE3">
            <w:pPr>
              <w:rPr>
                <w:rFonts w:ascii="Arial" w:hAnsi="Arial" w:cs="Arial"/>
                <w:szCs w:val="20"/>
              </w:rPr>
            </w:pPr>
            <w:r>
              <w:rPr>
                <w:rFonts w:ascii="Arial" w:hAnsi="Arial" w:cs="Arial"/>
                <w:szCs w:val="20"/>
              </w:rPr>
              <w:t>53</w:t>
            </w:r>
          </w:p>
        </w:tc>
        <w:tc>
          <w:tcPr>
            <w:tcW w:w="2160" w:type="dxa"/>
            <w:hideMark/>
          </w:tcPr>
          <w:p w:rsidR="00287DE3" w:rsidRDefault="00287DE3">
            <w:pPr>
              <w:rPr>
                <w:rFonts w:ascii="Arial" w:hAnsi="Arial" w:cs="Arial"/>
                <w:szCs w:val="20"/>
              </w:rPr>
            </w:pPr>
            <w:r>
              <w:rPr>
                <w:rFonts w:ascii="Arial" w:hAnsi="Arial" w:cs="Arial"/>
                <w:szCs w:val="20"/>
              </w:rPr>
              <w:t>Typo in S1GM20.5, "non-</w:t>
            </w:r>
            <w:proofErr w:type="spellStart"/>
            <w:r>
              <w:rPr>
                <w:rFonts w:ascii="Arial" w:hAnsi="Arial" w:cs="Arial"/>
                <w:szCs w:val="20"/>
              </w:rPr>
              <w:t>ensor</w:t>
            </w:r>
            <w:proofErr w:type="spellEnd"/>
            <w:r>
              <w:rPr>
                <w:rFonts w:ascii="Arial" w:hAnsi="Arial" w:cs="Arial"/>
                <w:szCs w:val="20"/>
              </w:rPr>
              <w:t xml:space="preserve"> STA".</w:t>
            </w:r>
          </w:p>
        </w:tc>
        <w:tc>
          <w:tcPr>
            <w:tcW w:w="2430" w:type="dxa"/>
            <w:hideMark/>
          </w:tcPr>
          <w:p w:rsidR="00287DE3" w:rsidRDefault="00287DE3">
            <w:pPr>
              <w:rPr>
                <w:rFonts w:ascii="Arial" w:hAnsi="Arial" w:cs="Arial"/>
                <w:szCs w:val="20"/>
              </w:rPr>
            </w:pPr>
            <w:r>
              <w:rPr>
                <w:rFonts w:ascii="Arial" w:hAnsi="Arial" w:cs="Arial"/>
                <w:szCs w:val="20"/>
              </w:rPr>
              <w:t>Correct to "non-sensor STA"</w:t>
            </w:r>
          </w:p>
        </w:tc>
        <w:tc>
          <w:tcPr>
            <w:tcW w:w="2430" w:type="dxa"/>
            <w:hideMark/>
          </w:tcPr>
          <w:p w:rsidR="00287DE3" w:rsidRDefault="00E17A6B" w:rsidP="00EF7283">
            <w:pPr>
              <w:rPr>
                <w:rFonts w:asciiTheme="majorBidi" w:hAnsiTheme="majorBidi" w:cstheme="majorBidi"/>
                <w:szCs w:val="20"/>
                <w:lang w:val="en-US"/>
              </w:rPr>
            </w:pPr>
            <w:r>
              <w:rPr>
                <w:rFonts w:asciiTheme="majorBidi" w:hAnsiTheme="majorBidi" w:cstheme="majorBidi"/>
                <w:szCs w:val="20"/>
                <w:lang w:val="en-US"/>
              </w:rPr>
              <w:t>Acc</w:t>
            </w:r>
            <w:r w:rsidR="00EF7283">
              <w:rPr>
                <w:rFonts w:asciiTheme="majorBidi" w:hAnsiTheme="majorBidi" w:cstheme="majorBidi"/>
                <w:szCs w:val="20"/>
                <w:lang w:val="en-US"/>
              </w:rPr>
              <w:t>e</w:t>
            </w:r>
            <w:r>
              <w:rPr>
                <w:rFonts w:asciiTheme="majorBidi" w:hAnsiTheme="majorBidi" w:cstheme="majorBidi"/>
                <w:szCs w:val="20"/>
                <w:lang w:val="en-US"/>
              </w:rPr>
              <w:t>pt</w:t>
            </w:r>
          </w:p>
        </w:tc>
      </w:tr>
    </w:tbl>
    <w:p w:rsidR="004A14BF" w:rsidRDefault="004A14BF" w:rsidP="004A14BF">
      <w:pPr>
        <w:rPr>
          <w:lang w:val="en-US"/>
        </w:rPr>
      </w:pPr>
    </w:p>
    <w:p w:rsidR="0072680F" w:rsidRPr="008412E4" w:rsidRDefault="0072680F" w:rsidP="0072680F">
      <w:pPr>
        <w:widowControl/>
        <w:autoSpaceDE w:val="0"/>
        <w:autoSpaceDN w:val="0"/>
        <w:adjustRightInd w:val="0"/>
        <w:spacing w:before="120"/>
        <w:ind w:firstLine="600"/>
        <w:rPr>
          <w:rFonts w:ascii="Arial" w:hAnsi="Arial" w:cs="Arial"/>
          <w:color w:val="000000"/>
          <w:sz w:val="24"/>
          <w:lang w:val="en-US"/>
        </w:rPr>
      </w:pPr>
    </w:p>
    <w:sectPr w:rsidR="0072680F" w:rsidRPr="008412E4"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0CC" w:rsidRDefault="008D40CC">
      <w:r>
        <w:separator/>
      </w:r>
    </w:p>
  </w:endnote>
  <w:endnote w:type="continuationSeparator" w:id="0">
    <w:p w:rsidR="008D40CC" w:rsidRDefault="008D40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D194F"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4521E8">
      <w:rPr>
        <w:noProof/>
      </w:rPr>
      <w:t>5</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0CC" w:rsidRDefault="008D40CC">
      <w:r>
        <w:separator/>
      </w:r>
    </w:p>
  </w:footnote>
  <w:footnote w:type="continuationSeparator" w:id="0">
    <w:p w:rsidR="008D40CC" w:rsidRDefault="008D4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8D194F" w:rsidP="00A302A3">
    <w:pPr>
      <w:pStyle w:val="Header"/>
      <w:tabs>
        <w:tab w:val="clear" w:pos="6480"/>
        <w:tab w:val="center" w:pos="4680"/>
        <w:tab w:val="right" w:pos="9360"/>
      </w:tabs>
    </w:pPr>
    <w:fldSimple w:instr=" KEYWORDS  \* MERGEFORMAT ">
      <w:r w:rsidR="00CA25D4">
        <w:t>Jan 2015</w:t>
      </w:r>
    </w:fldSimple>
    <w:r w:rsidR="0032795B">
      <w:tab/>
    </w:r>
    <w:r w:rsidR="0032795B">
      <w:tab/>
    </w:r>
    <w:fldSimple w:instr=" TITLE  \* MERGEFORMAT ">
      <w:r w:rsidR="0032795B">
        <w:t>doc.: IEEE 802.11-</w:t>
      </w:r>
      <w:r w:rsidR="00CA25D4">
        <w:t>15</w:t>
      </w:r>
      <w:r w:rsidR="0032795B">
        <w:t>/</w:t>
      </w:r>
      <w:r w:rsidR="00CA25D4">
        <w:t>0102</w:t>
      </w:r>
      <w:r w:rsidR="0032795B">
        <w:t>r</w:t>
      </w:r>
    </w:fldSimple>
    <w:r w:rsidR="004521E8">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5650"/>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2D79"/>
    <w:rsid w:val="00043CD8"/>
    <w:rsid w:val="0004404A"/>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0BE"/>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28B"/>
    <w:rsid w:val="001573BA"/>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FFD"/>
    <w:rsid w:val="00185147"/>
    <w:rsid w:val="00185A69"/>
    <w:rsid w:val="0018741C"/>
    <w:rsid w:val="00190CE8"/>
    <w:rsid w:val="00192B5E"/>
    <w:rsid w:val="00192C57"/>
    <w:rsid w:val="0019575B"/>
    <w:rsid w:val="001A2358"/>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3300"/>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87DE3"/>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0776"/>
    <w:rsid w:val="002F163A"/>
    <w:rsid w:val="002F1985"/>
    <w:rsid w:val="002F1DE0"/>
    <w:rsid w:val="002F320D"/>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2C1D"/>
    <w:rsid w:val="00422DBB"/>
    <w:rsid w:val="0042334D"/>
    <w:rsid w:val="0042392D"/>
    <w:rsid w:val="00423C96"/>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4D4"/>
    <w:rsid w:val="00445BA0"/>
    <w:rsid w:val="004469D6"/>
    <w:rsid w:val="004475DB"/>
    <w:rsid w:val="004521E8"/>
    <w:rsid w:val="0045247B"/>
    <w:rsid w:val="004529F1"/>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5009DD"/>
    <w:rsid w:val="00501E38"/>
    <w:rsid w:val="00503A34"/>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5986"/>
    <w:rsid w:val="00576741"/>
    <w:rsid w:val="005769D9"/>
    <w:rsid w:val="005779E0"/>
    <w:rsid w:val="00580096"/>
    <w:rsid w:val="00582612"/>
    <w:rsid w:val="00583049"/>
    <w:rsid w:val="00584019"/>
    <w:rsid w:val="00587FD0"/>
    <w:rsid w:val="00590098"/>
    <w:rsid w:val="005909D8"/>
    <w:rsid w:val="005913CB"/>
    <w:rsid w:val="0059231F"/>
    <w:rsid w:val="005929FE"/>
    <w:rsid w:val="00593DDF"/>
    <w:rsid w:val="00594BF6"/>
    <w:rsid w:val="00596428"/>
    <w:rsid w:val="00596C69"/>
    <w:rsid w:val="005A1363"/>
    <w:rsid w:val="005A1882"/>
    <w:rsid w:val="005A1E3E"/>
    <w:rsid w:val="005A2FFF"/>
    <w:rsid w:val="005A3E77"/>
    <w:rsid w:val="005A4554"/>
    <w:rsid w:val="005A4FFB"/>
    <w:rsid w:val="005A5A85"/>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519"/>
    <w:rsid w:val="005D77E3"/>
    <w:rsid w:val="005E0B81"/>
    <w:rsid w:val="005E2409"/>
    <w:rsid w:val="005E2D49"/>
    <w:rsid w:val="005E3C8F"/>
    <w:rsid w:val="005E4090"/>
    <w:rsid w:val="005E5895"/>
    <w:rsid w:val="005E58D9"/>
    <w:rsid w:val="005E6337"/>
    <w:rsid w:val="005F0BB8"/>
    <w:rsid w:val="005F0BE9"/>
    <w:rsid w:val="005F16A5"/>
    <w:rsid w:val="005F1776"/>
    <w:rsid w:val="005F2760"/>
    <w:rsid w:val="005F2A35"/>
    <w:rsid w:val="005F3D71"/>
    <w:rsid w:val="005F6236"/>
    <w:rsid w:val="005F6E92"/>
    <w:rsid w:val="0060104A"/>
    <w:rsid w:val="0060140A"/>
    <w:rsid w:val="006020E8"/>
    <w:rsid w:val="00602B57"/>
    <w:rsid w:val="006039D7"/>
    <w:rsid w:val="0060456D"/>
    <w:rsid w:val="00604D95"/>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BBB"/>
    <w:rsid w:val="00690E9C"/>
    <w:rsid w:val="006949B8"/>
    <w:rsid w:val="0069582E"/>
    <w:rsid w:val="00696306"/>
    <w:rsid w:val="006967F4"/>
    <w:rsid w:val="006A3C96"/>
    <w:rsid w:val="006A6F1F"/>
    <w:rsid w:val="006B041A"/>
    <w:rsid w:val="006B34BB"/>
    <w:rsid w:val="006B3944"/>
    <w:rsid w:val="006B437A"/>
    <w:rsid w:val="006B43ED"/>
    <w:rsid w:val="006B4A7E"/>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0A"/>
    <w:rsid w:val="00766DF9"/>
    <w:rsid w:val="00767021"/>
    <w:rsid w:val="00767FD2"/>
    <w:rsid w:val="00770269"/>
    <w:rsid w:val="00770572"/>
    <w:rsid w:val="007731AD"/>
    <w:rsid w:val="00775DF7"/>
    <w:rsid w:val="00776099"/>
    <w:rsid w:val="00776EFA"/>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274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4223"/>
    <w:rsid w:val="00817CDC"/>
    <w:rsid w:val="00820CAC"/>
    <w:rsid w:val="008226B5"/>
    <w:rsid w:val="008231AC"/>
    <w:rsid w:val="008261B4"/>
    <w:rsid w:val="008265F8"/>
    <w:rsid w:val="00827998"/>
    <w:rsid w:val="00831913"/>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194F"/>
    <w:rsid w:val="008D258E"/>
    <w:rsid w:val="008D340D"/>
    <w:rsid w:val="008D40CC"/>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E0D"/>
    <w:rsid w:val="00902AB4"/>
    <w:rsid w:val="00902ABC"/>
    <w:rsid w:val="00902F4E"/>
    <w:rsid w:val="00903FFF"/>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400A2"/>
    <w:rsid w:val="0094255B"/>
    <w:rsid w:val="00942DFA"/>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43D7"/>
    <w:rsid w:val="00A15A34"/>
    <w:rsid w:val="00A171B1"/>
    <w:rsid w:val="00A20138"/>
    <w:rsid w:val="00A2210C"/>
    <w:rsid w:val="00A2262E"/>
    <w:rsid w:val="00A23291"/>
    <w:rsid w:val="00A26C82"/>
    <w:rsid w:val="00A302A3"/>
    <w:rsid w:val="00A32CA0"/>
    <w:rsid w:val="00A33FF7"/>
    <w:rsid w:val="00A348A1"/>
    <w:rsid w:val="00A35225"/>
    <w:rsid w:val="00A354C4"/>
    <w:rsid w:val="00A36E74"/>
    <w:rsid w:val="00A40B98"/>
    <w:rsid w:val="00A443A8"/>
    <w:rsid w:val="00A45C9F"/>
    <w:rsid w:val="00A512EA"/>
    <w:rsid w:val="00A5197A"/>
    <w:rsid w:val="00A51EE1"/>
    <w:rsid w:val="00A51FE3"/>
    <w:rsid w:val="00A521FD"/>
    <w:rsid w:val="00A54E5C"/>
    <w:rsid w:val="00A56FD3"/>
    <w:rsid w:val="00A60F09"/>
    <w:rsid w:val="00A641E2"/>
    <w:rsid w:val="00A65D2C"/>
    <w:rsid w:val="00A65F4D"/>
    <w:rsid w:val="00A66018"/>
    <w:rsid w:val="00A665AF"/>
    <w:rsid w:val="00A679AB"/>
    <w:rsid w:val="00A7261F"/>
    <w:rsid w:val="00A74ECA"/>
    <w:rsid w:val="00A8384B"/>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5F5F"/>
    <w:rsid w:val="00AE64F5"/>
    <w:rsid w:val="00AF00AF"/>
    <w:rsid w:val="00AF11BF"/>
    <w:rsid w:val="00AF3DB1"/>
    <w:rsid w:val="00AF643A"/>
    <w:rsid w:val="00B01EA4"/>
    <w:rsid w:val="00B03FD8"/>
    <w:rsid w:val="00B0477B"/>
    <w:rsid w:val="00B048C3"/>
    <w:rsid w:val="00B054EA"/>
    <w:rsid w:val="00B0704D"/>
    <w:rsid w:val="00B07BD1"/>
    <w:rsid w:val="00B13408"/>
    <w:rsid w:val="00B138F6"/>
    <w:rsid w:val="00B13FF6"/>
    <w:rsid w:val="00B1719E"/>
    <w:rsid w:val="00B21DBC"/>
    <w:rsid w:val="00B23CCC"/>
    <w:rsid w:val="00B25F3F"/>
    <w:rsid w:val="00B26E2C"/>
    <w:rsid w:val="00B31675"/>
    <w:rsid w:val="00B317A8"/>
    <w:rsid w:val="00B35C22"/>
    <w:rsid w:val="00B35E9E"/>
    <w:rsid w:val="00B37300"/>
    <w:rsid w:val="00B37EED"/>
    <w:rsid w:val="00B400BC"/>
    <w:rsid w:val="00B42124"/>
    <w:rsid w:val="00B42238"/>
    <w:rsid w:val="00B42E1C"/>
    <w:rsid w:val="00B431BE"/>
    <w:rsid w:val="00B43F75"/>
    <w:rsid w:val="00B4424E"/>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0C1"/>
    <w:rsid w:val="00B65B35"/>
    <w:rsid w:val="00B72294"/>
    <w:rsid w:val="00B7249A"/>
    <w:rsid w:val="00B74E8D"/>
    <w:rsid w:val="00B76B7F"/>
    <w:rsid w:val="00B77888"/>
    <w:rsid w:val="00B77959"/>
    <w:rsid w:val="00B815E9"/>
    <w:rsid w:val="00B817CA"/>
    <w:rsid w:val="00B83F11"/>
    <w:rsid w:val="00B84030"/>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1F8"/>
    <w:rsid w:val="00C87855"/>
    <w:rsid w:val="00C90640"/>
    <w:rsid w:val="00C9173A"/>
    <w:rsid w:val="00C96884"/>
    <w:rsid w:val="00CA09B2"/>
    <w:rsid w:val="00CA25D4"/>
    <w:rsid w:val="00CA4481"/>
    <w:rsid w:val="00CA4705"/>
    <w:rsid w:val="00CA6832"/>
    <w:rsid w:val="00CA718E"/>
    <w:rsid w:val="00CB0D9F"/>
    <w:rsid w:val="00CB0DD2"/>
    <w:rsid w:val="00CB36A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49F6"/>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51019"/>
    <w:rsid w:val="00D53E59"/>
    <w:rsid w:val="00D540CE"/>
    <w:rsid w:val="00D55265"/>
    <w:rsid w:val="00D56ACB"/>
    <w:rsid w:val="00D60874"/>
    <w:rsid w:val="00D625B0"/>
    <w:rsid w:val="00D626F0"/>
    <w:rsid w:val="00D64046"/>
    <w:rsid w:val="00D649F8"/>
    <w:rsid w:val="00D654C6"/>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C102F"/>
    <w:rsid w:val="00DC2089"/>
    <w:rsid w:val="00DC2691"/>
    <w:rsid w:val="00DC2FEC"/>
    <w:rsid w:val="00DC4865"/>
    <w:rsid w:val="00DC513A"/>
    <w:rsid w:val="00DC55B1"/>
    <w:rsid w:val="00DC5A02"/>
    <w:rsid w:val="00DC5A7B"/>
    <w:rsid w:val="00DC60F7"/>
    <w:rsid w:val="00DC6858"/>
    <w:rsid w:val="00DC68DC"/>
    <w:rsid w:val="00DC6E01"/>
    <w:rsid w:val="00DD0FF2"/>
    <w:rsid w:val="00DD2214"/>
    <w:rsid w:val="00DD4557"/>
    <w:rsid w:val="00DD4E2C"/>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17A6B"/>
    <w:rsid w:val="00E220ED"/>
    <w:rsid w:val="00E22D4F"/>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7790E"/>
    <w:rsid w:val="00E81EFF"/>
    <w:rsid w:val="00E820CC"/>
    <w:rsid w:val="00E8294D"/>
    <w:rsid w:val="00E84B9A"/>
    <w:rsid w:val="00E90169"/>
    <w:rsid w:val="00E91E95"/>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574D"/>
    <w:rsid w:val="00EC6A1E"/>
    <w:rsid w:val="00ED0449"/>
    <w:rsid w:val="00ED531B"/>
    <w:rsid w:val="00ED7D6D"/>
    <w:rsid w:val="00EE3DB6"/>
    <w:rsid w:val="00EE509C"/>
    <w:rsid w:val="00EE7937"/>
    <w:rsid w:val="00EE7F64"/>
    <w:rsid w:val="00EF0E5A"/>
    <w:rsid w:val="00EF3553"/>
    <w:rsid w:val="00EF4D71"/>
    <w:rsid w:val="00EF7283"/>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9F2"/>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ECA"/>
    <w:rsid w:val="00F66147"/>
    <w:rsid w:val="00F66460"/>
    <w:rsid w:val="00F66F72"/>
    <w:rsid w:val="00F67214"/>
    <w:rsid w:val="00F67C81"/>
    <w:rsid w:val="00F71022"/>
    <w:rsid w:val="00F71EAA"/>
    <w:rsid w:val="00F7233A"/>
    <w:rsid w:val="00F72BB4"/>
    <w:rsid w:val="00F73981"/>
    <w:rsid w:val="00F75153"/>
    <w:rsid w:val="00F75C54"/>
    <w:rsid w:val="00F77736"/>
    <w:rsid w:val="00F808A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CA9"/>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4246075">
    <w:name w:val="SP.14.246075"/>
    <w:basedOn w:val="Normal"/>
    <w:next w:val="Normal"/>
    <w:uiPriority w:val="99"/>
    <w:rsid w:val="00423C96"/>
    <w:pPr>
      <w:widowControl/>
      <w:autoSpaceDE w:val="0"/>
      <w:autoSpaceDN w:val="0"/>
      <w:adjustRightInd w:val="0"/>
      <w:jc w:val="left"/>
    </w:pPr>
    <w:rPr>
      <w:sz w:val="24"/>
      <w:lang w:val="en-US"/>
    </w:rPr>
  </w:style>
  <w:style w:type="paragraph" w:customStyle="1" w:styleId="SP14245910">
    <w:name w:val="SP.14.245910"/>
    <w:basedOn w:val="Normal"/>
    <w:next w:val="Normal"/>
    <w:uiPriority w:val="99"/>
    <w:rsid w:val="00423C96"/>
    <w:pPr>
      <w:widowControl/>
      <w:autoSpaceDE w:val="0"/>
      <w:autoSpaceDN w:val="0"/>
      <w:adjustRightInd w:val="0"/>
      <w:jc w:val="left"/>
    </w:pPr>
    <w:rPr>
      <w:sz w:val="24"/>
      <w:lang w:val="en-US"/>
    </w:rPr>
  </w:style>
  <w:style w:type="paragraph" w:customStyle="1" w:styleId="SP14245911">
    <w:name w:val="SP.14.245911"/>
    <w:basedOn w:val="Normal"/>
    <w:next w:val="Normal"/>
    <w:uiPriority w:val="99"/>
    <w:rsid w:val="00423C96"/>
    <w:pPr>
      <w:widowControl/>
      <w:autoSpaceDE w:val="0"/>
      <w:autoSpaceDN w:val="0"/>
      <w:adjustRightInd w:val="0"/>
      <w:jc w:val="left"/>
    </w:pPr>
    <w:rPr>
      <w:sz w:val="24"/>
      <w:lang w:val="en-US"/>
    </w:rPr>
  </w:style>
  <w:style w:type="paragraph" w:customStyle="1" w:styleId="SP14245888">
    <w:name w:val="SP.14.245888"/>
    <w:basedOn w:val="Normal"/>
    <w:next w:val="Normal"/>
    <w:uiPriority w:val="99"/>
    <w:rsid w:val="00423C96"/>
    <w:pPr>
      <w:widowControl/>
      <w:autoSpaceDE w:val="0"/>
      <w:autoSpaceDN w:val="0"/>
      <w:adjustRightInd w:val="0"/>
      <w:jc w:val="left"/>
    </w:pPr>
    <w:rPr>
      <w:sz w:val="24"/>
      <w:lang w:val="en-US"/>
    </w:rPr>
  </w:style>
  <w:style w:type="character" w:customStyle="1" w:styleId="SC144070">
    <w:name w:val="SC.14.4070"/>
    <w:uiPriority w:val="99"/>
    <w:rsid w:val="00423C96"/>
    <w:rPr>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2508087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0898949">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0196017">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16207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6851285">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37825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60082313">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60999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68822977">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47999866">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3080-6605-4A16-BC7C-8213A660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6461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2015-01-13T21:39:00Z</dcterms:created>
  <dcterms:modified xsi:type="dcterms:W3CDTF">2015-01-13T21:42:00Z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