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96FF2" w:rsidP="00831913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Comment Resolutions for </w:t>
            </w:r>
            <w:r w:rsidR="002C147C">
              <w:rPr>
                <w:b w:val="0"/>
                <w:bCs/>
              </w:rPr>
              <w:t xml:space="preserve">Clause </w:t>
            </w:r>
            <w:r w:rsidR="00464E9A">
              <w:rPr>
                <w:b w:val="0"/>
                <w:bCs/>
              </w:rPr>
              <w:t>9.2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D40BDF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D40BDF">
              <w:rPr>
                <w:b w:val="0"/>
                <w:bCs/>
                <w:sz w:val="20"/>
              </w:rPr>
              <w:t>12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296FF2">
        <w:rPr>
          <w:lang w:eastAsia="ko-KR"/>
        </w:rPr>
        <w:t>subclauses</w:t>
      </w:r>
      <w:proofErr w:type="spellEnd"/>
      <w:r w:rsidR="00296FF2">
        <w:rPr>
          <w:lang w:eastAsia="ko-KR"/>
        </w:rPr>
        <w:t xml:space="preserve"> </w:t>
      </w:r>
      <w:r w:rsidR="00464E9A">
        <w:rPr>
          <w:lang w:eastAsia="ko-KR"/>
        </w:rPr>
        <w:t>9.2</w:t>
      </w:r>
      <w:r w:rsidR="00B55E03">
        <w:rPr>
          <w:lang w:eastAsia="ko-KR"/>
        </w:rPr>
        <w:t>:</w:t>
      </w:r>
    </w:p>
    <w:p w:rsidR="0019575B" w:rsidRPr="003E0896" w:rsidRDefault="00981723" w:rsidP="0019575B">
      <w:pPr>
        <w:rPr>
          <w:lang w:eastAsia="ko-KR"/>
        </w:rPr>
      </w:pPr>
      <w:r>
        <w:rPr>
          <w:lang w:eastAsia="ko-KR"/>
        </w:rPr>
        <w:t>5112, 5134, 5138, 5139, 5283</w:t>
      </w:r>
      <w:r w:rsidR="001D6E84" w:rsidRPr="003E0896">
        <w:rPr>
          <w:lang w:eastAsia="ko-KR"/>
        </w:rPr>
        <w:t>.</w:t>
      </w:r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464E9A" w:rsidRPr="00820CAC" w:rsidTr="008167E7">
        <w:trPr>
          <w:trHeight w:val="1530"/>
        </w:trPr>
        <w:tc>
          <w:tcPr>
            <w:tcW w:w="630" w:type="dxa"/>
            <w:hideMark/>
          </w:tcPr>
          <w:p w:rsidR="00464E9A" w:rsidRDefault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5112</w:t>
            </w: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229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Figure 9-1, where does the Relay function fit in this picture?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clarify</w:t>
            </w:r>
            <w:proofErr w:type="gramEnd"/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430" w:type="dxa"/>
            <w:hideMark/>
          </w:tcPr>
          <w:p w:rsidR="00464E9A" w:rsidRDefault="00A01868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A01868" w:rsidRDefault="00A01868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464E9A" w:rsidRPr="00B65B35" w:rsidRDefault="00A01868" w:rsidP="00A01868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Relay doesn’t have specific medium access function.</w:t>
            </w:r>
          </w:p>
        </w:tc>
      </w:tr>
      <w:tr w:rsidR="00464E9A" w:rsidRPr="00820CAC" w:rsidTr="008167E7">
        <w:trPr>
          <w:trHeight w:val="1530"/>
        </w:trPr>
        <w:tc>
          <w:tcPr>
            <w:tcW w:w="630" w:type="dxa"/>
            <w:hideMark/>
          </w:tcPr>
          <w:p w:rsidR="00464E9A" w:rsidRDefault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5134</w:t>
            </w: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229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Not sure what the floating text "Used for </w:t>
            </w:r>
            <w:proofErr w:type="spellStart"/>
            <w:r>
              <w:rPr>
                <w:rFonts w:ascii="Arial" w:hAnsi="Arial" w:cs="Arial"/>
                <w:szCs w:val="20"/>
              </w:rPr>
              <w:t>beamforming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with the PCP/AP" is supposed to describe.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Add a line linking the text "Used for </w:t>
            </w:r>
            <w:proofErr w:type="spellStart"/>
            <w:r>
              <w:rPr>
                <w:rFonts w:ascii="Arial" w:hAnsi="Arial" w:cs="Arial"/>
                <w:szCs w:val="20"/>
              </w:rPr>
              <w:t>beamforming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with the PCP/AP" with one of the boxes</w:t>
            </w:r>
          </w:p>
        </w:tc>
        <w:tc>
          <w:tcPr>
            <w:tcW w:w="2430" w:type="dxa"/>
            <w:hideMark/>
          </w:tcPr>
          <w:p w:rsidR="00464E9A" w:rsidRDefault="00464E9A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464E9A" w:rsidRDefault="00464E9A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464E9A" w:rsidRDefault="00464E9A" w:rsidP="00A01868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A01868">
              <w:rPr>
                <w:rFonts w:asciiTheme="majorBidi" w:hAnsiTheme="majorBidi" w:cstheme="majorBidi"/>
                <w:szCs w:val="20"/>
                <w:lang w:val="en-US"/>
              </w:rPr>
              <w:t>This is introduced by 11ad. The commenter should raise the issue to 11mc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</w:tc>
      </w:tr>
      <w:tr w:rsidR="00464E9A" w:rsidRPr="00820CAC" w:rsidTr="008167E7">
        <w:trPr>
          <w:trHeight w:val="1530"/>
        </w:trPr>
        <w:tc>
          <w:tcPr>
            <w:tcW w:w="630" w:type="dxa"/>
            <w:hideMark/>
          </w:tcPr>
          <w:p w:rsidR="00464E9A" w:rsidRDefault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5138</w:t>
            </w: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229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Why is a bracketed "S1G Function" placed above the EDCA box? This is confusing to the reader. EDCA may be S1G or non-S1G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the bracketed "S1G Function" above the EDCA box.</w:t>
            </w:r>
          </w:p>
        </w:tc>
        <w:tc>
          <w:tcPr>
            <w:tcW w:w="2430" w:type="dxa"/>
            <w:hideMark/>
          </w:tcPr>
          <w:p w:rsidR="00464E9A" w:rsidRDefault="0095242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9C4099" w:rsidRDefault="009C4099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C4099" w:rsidRDefault="009C4099" w:rsidP="0095242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952426">
              <w:rPr>
                <w:rFonts w:asciiTheme="majorBidi" w:hAnsiTheme="majorBidi" w:cstheme="majorBidi"/>
                <w:szCs w:val="20"/>
                <w:lang w:val="en-US"/>
              </w:rPr>
              <w:t>Generally agree with the commenter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952426" w:rsidRDefault="00952426" w:rsidP="0095242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952426" w:rsidRDefault="007F5D77" w:rsidP="0095242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513</w:t>
            </w:r>
            <w:r w:rsidR="00C40B05">
              <w:rPr>
                <w:rFonts w:asciiTheme="majorBidi" w:hAnsiTheme="majorBidi" w:cstheme="majorBidi"/>
                <w:szCs w:val="20"/>
                <w:lang w:val="en-US"/>
              </w:rPr>
              <w:t>9</w:t>
            </w:r>
          </w:p>
        </w:tc>
      </w:tr>
      <w:tr w:rsidR="00464E9A" w:rsidRPr="00820CAC" w:rsidTr="008167E7">
        <w:trPr>
          <w:trHeight w:val="1530"/>
        </w:trPr>
        <w:tc>
          <w:tcPr>
            <w:tcW w:w="630" w:type="dxa"/>
            <w:hideMark/>
          </w:tcPr>
          <w:p w:rsidR="00464E9A" w:rsidRDefault="00464E9A" w:rsidP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5139</w:t>
            </w:r>
          </w:p>
          <w:p w:rsidR="00464E9A" w:rsidRDefault="00464E9A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9.2.1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229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Looking at figure 9-1 I see an "S1G Function". This is not defined anywhere else in the spec, and in particular as a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of 9.2.x. The other functions shown (Hybrid Coordination Function and Mesh Coordination Function) are actual functions that are defined. Please remove this undefined "S1G Function" from the diagram. Or if it is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intended that "S1G Function" is an actual thing, create a new </w:t>
            </w:r>
            <w:proofErr w:type="spellStart"/>
            <w:r>
              <w:rPr>
                <w:rFonts w:ascii="Arial" w:hAnsi="Arial" w:cs="Arial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of 9.2.x defining it)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Remove both instances of "S1G Function" and brackets from figure 9-1</w:t>
            </w:r>
          </w:p>
        </w:tc>
        <w:tc>
          <w:tcPr>
            <w:tcW w:w="2430" w:type="dxa"/>
            <w:hideMark/>
          </w:tcPr>
          <w:p w:rsidR="00464E9A" w:rsidRDefault="00ED7C52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ED7C52" w:rsidRDefault="00ED7C52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D7C52" w:rsidRDefault="00ED7C52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952426">
              <w:rPr>
                <w:rFonts w:asciiTheme="majorBidi" w:hAnsiTheme="majorBidi" w:cstheme="majorBidi"/>
                <w:szCs w:val="20"/>
                <w:lang w:val="en-US"/>
              </w:rPr>
              <w:t>Generally agree with the commenter.</w:t>
            </w:r>
          </w:p>
          <w:p w:rsidR="00981723" w:rsidRDefault="00981723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F5D77" w:rsidRDefault="007F5D77" w:rsidP="007F5D7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editor: </w:t>
            </w:r>
          </w:p>
          <w:p w:rsidR="00981723" w:rsidRDefault="007F5D77" w:rsidP="007F5D7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Change “S1G Function” in Figure 9-1 to “only for S1G STA”</w:t>
            </w:r>
          </w:p>
        </w:tc>
      </w:tr>
    </w:tbl>
    <w:p w:rsidR="004A14BF" w:rsidRDefault="004A14BF" w:rsidP="004A14BF">
      <w:pPr>
        <w:rPr>
          <w:lang w:val="en-US"/>
        </w:rPr>
      </w:pPr>
    </w:p>
    <w:p w:rsidR="00ED7C52" w:rsidRDefault="00ED7C52" w:rsidP="004A14BF">
      <w:pPr>
        <w:rPr>
          <w:lang w:val="en-US"/>
        </w:rPr>
      </w:pPr>
    </w:p>
    <w:p w:rsidR="00ED7C52" w:rsidRDefault="00ED7C52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3E0896" w:rsidRPr="0089687F" w:rsidTr="00DE6AFF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464E9A" w:rsidRPr="00820CAC" w:rsidTr="00237BFC">
        <w:trPr>
          <w:trHeight w:val="1530"/>
        </w:trPr>
        <w:tc>
          <w:tcPr>
            <w:tcW w:w="630" w:type="dxa"/>
            <w:hideMark/>
          </w:tcPr>
          <w:p w:rsidR="00464E9A" w:rsidRDefault="00464E9A" w:rsidP="00464E9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5283</w:t>
            </w:r>
          </w:p>
          <w:p w:rsidR="00464E9A" w:rsidRDefault="00464E9A" w:rsidP="00237BFC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9.2.4.2</w:t>
            </w:r>
          </w:p>
        </w:tc>
        <w:tc>
          <w:tcPr>
            <w:tcW w:w="54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231</w:t>
            </w:r>
          </w:p>
        </w:tc>
        <w:tc>
          <w:tcPr>
            <w:tcW w:w="45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64</w:t>
            </w:r>
          </w:p>
        </w:tc>
        <w:tc>
          <w:tcPr>
            <w:tcW w:w="216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An S1G STA that receives an EDCA Parameter set element from its AP shall transmit </w:t>
            </w:r>
            <w:proofErr w:type="spellStart"/>
            <w:r>
              <w:rPr>
                <w:rFonts w:ascii="Arial" w:hAnsi="Arial" w:cs="Arial"/>
                <w:szCs w:val="20"/>
              </w:rPr>
              <w:t>ps</w:t>
            </w:r>
            <w:proofErr w:type="spellEnd"/>
            <w:r>
              <w:rPr>
                <w:rFonts w:ascii="Arial" w:hAnsi="Arial" w:cs="Arial"/>
                <w:szCs w:val="20"/>
              </w:rPr>
              <w:t>-polls using the access category indicated in the PS-Poll ACI subfield. I think this used to depend on the type of the STA as specified in the received element (see 8.4.2.28 (EDCA Parameter Set element).</w:t>
            </w:r>
          </w:p>
        </w:tc>
        <w:tc>
          <w:tcPr>
            <w:tcW w:w="2430" w:type="dxa"/>
            <w:hideMark/>
          </w:tcPr>
          <w:p w:rsidR="00464E9A" w:rsidRDefault="00464E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Insert "if the value of the element's STA Type subfield includes the STA's type (see 10.44c.7 (S1G BSS type and STA type))".</w:t>
            </w:r>
          </w:p>
        </w:tc>
        <w:tc>
          <w:tcPr>
            <w:tcW w:w="2430" w:type="dxa"/>
            <w:hideMark/>
          </w:tcPr>
          <w:p w:rsidR="00464E9A" w:rsidRDefault="00937892" w:rsidP="007A2B0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464E9A" w:rsidRDefault="00464E9A" w:rsidP="004920D9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464E9A" w:rsidRDefault="00464E9A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464E9A" w:rsidRPr="00B65B35" w:rsidRDefault="00464E9A" w:rsidP="00237BFC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3E0896" w:rsidRDefault="003E0896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sectPr w:rsidR="003E0896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58" w:rsidRDefault="00825358">
      <w:r>
        <w:separator/>
      </w:r>
    </w:p>
  </w:endnote>
  <w:endnote w:type="continuationSeparator" w:id="0">
    <w:p w:rsidR="00825358" w:rsidRDefault="0082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80667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5D7929">
      <w:rPr>
        <w:noProof/>
      </w:rPr>
      <w:t>1</w:t>
    </w:r>
    <w:r>
      <w:fldChar w:fldCharType="end"/>
    </w:r>
    <w:r w:rsidR="0032795B">
      <w:tab/>
    </w:r>
    <w:r w:rsidR="00424741">
      <w:t xml:space="preserve">Marvell 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58" w:rsidRDefault="00825358">
      <w:r>
        <w:separator/>
      </w:r>
    </w:p>
  </w:footnote>
  <w:footnote w:type="continuationSeparator" w:id="0">
    <w:p w:rsidR="00825358" w:rsidRDefault="0082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80667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96FF2">
        <w:t>September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5D7929">
        <w:t>1605</w:t>
      </w:r>
      <w:r w:rsidR="0032795B">
        <w:t>r</w:t>
      </w:r>
    </w:fldSimple>
    <w:r w:rsidR="00FD7E64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17DF6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404A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559C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5D60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742EA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50DC"/>
    <w:rsid w:val="002F163A"/>
    <w:rsid w:val="002F1985"/>
    <w:rsid w:val="002F1DE0"/>
    <w:rsid w:val="002F320D"/>
    <w:rsid w:val="002F667C"/>
    <w:rsid w:val="0030091A"/>
    <w:rsid w:val="003020F3"/>
    <w:rsid w:val="00304350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01E9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62D9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4E9A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0D9"/>
    <w:rsid w:val="00492C14"/>
    <w:rsid w:val="00494469"/>
    <w:rsid w:val="00494716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53F33"/>
    <w:rsid w:val="005546AF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519"/>
    <w:rsid w:val="005D77E3"/>
    <w:rsid w:val="005D7929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1CD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49B8"/>
    <w:rsid w:val="0069582E"/>
    <w:rsid w:val="00696306"/>
    <w:rsid w:val="006967F4"/>
    <w:rsid w:val="006A22C3"/>
    <w:rsid w:val="006A3C96"/>
    <w:rsid w:val="006A6F1F"/>
    <w:rsid w:val="006B041A"/>
    <w:rsid w:val="006B34BB"/>
    <w:rsid w:val="006B3944"/>
    <w:rsid w:val="006B437A"/>
    <w:rsid w:val="006B43ED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E518D"/>
    <w:rsid w:val="006F0D8A"/>
    <w:rsid w:val="006F745F"/>
    <w:rsid w:val="006F7665"/>
    <w:rsid w:val="006F7670"/>
    <w:rsid w:val="006F788F"/>
    <w:rsid w:val="0070005B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2680F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2B06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47AD"/>
    <w:rsid w:val="007D6BE9"/>
    <w:rsid w:val="007D7C8A"/>
    <w:rsid w:val="007D7CAC"/>
    <w:rsid w:val="007E30E7"/>
    <w:rsid w:val="007E523F"/>
    <w:rsid w:val="007E6CA4"/>
    <w:rsid w:val="007E6DE9"/>
    <w:rsid w:val="007F007D"/>
    <w:rsid w:val="007F1836"/>
    <w:rsid w:val="007F4DCB"/>
    <w:rsid w:val="007F5D77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534"/>
    <w:rsid w:val="00817CDC"/>
    <w:rsid w:val="00820CAC"/>
    <w:rsid w:val="008226B5"/>
    <w:rsid w:val="008231AC"/>
    <w:rsid w:val="00825358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0667"/>
    <w:rsid w:val="0088178B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0283"/>
    <w:rsid w:val="00901594"/>
    <w:rsid w:val="00901E0D"/>
    <w:rsid w:val="00902AB4"/>
    <w:rsid w:val="00902ABC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37892"/>
    <w:rsid w:val="009400A2"/>
    <w:rsid w:val="0094255B"/>
    <w:rsid w:val="009446DF"/>
    <w:rsid w:val="00944983"/>
    <w:rsid w:val="00946252"/>
    <w:rsid w:val="00946A42"/>
    <w:rsid w:val="009505B3"/>
    <w:rsid w:val="00952426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5A32"/>
    <w:rsid w:val="00976E84"/>
    <w:rsid w:val="009778AB"/>
    <w:rsid w:val="00981672"/>
    <w:rsid w:val="00981723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C13B7"/>
    <w:rsid w:val="009C4099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2CFA"/>
    <w:rsid w:val="009E4FB1"/>
    <w:rsid w:val="009E5D8D"/>
    <w:rsid w:val="009F2F82"/>
    <w:rsid w:val="009F2FBC"/>
    <w:rsid w:val="009F410F"/>
    <w:rsid w:val="00A0015A"/>
    <w:rsid w:val="00A012E7"/>
    <w:rsid w:val="00A01868"/>
    <w:rsid w:val="00A02D85"/>
    <w:rsid w:val="00A03288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FF7"/>
    <w:rsid w:val="00A348A1"/>
    <w:rsid w:val="00A354C4"/>
    <w:rsid w:val="00A36E74"/>
    <w:rsid w:val="00A40B98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261F"/>
    <w:rsid w:val="00A74ECA"/>
    <w:rsid w:val="00A8384B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4BD5"/>
    <w:rsid w:val="00AE5F5F"/>
    <w:rsid w:val="00AE64F5"/>
    <w:rsid w:val="00AF00AF"/>
    <w:rsid w:val="00AF11BF"/>
    <w:rsid w:val="00AF643A"/>
    <w:rsid w:val="00B01EA4"/>
    <w:rsid w:val="00B03FD8"/>
    <w:rsid w:val="00B0477B"/>
    <w:rsid w:val="00B048C3"/>
    <w:rsid w:val="00B054EA"/>
    <w:rsid w:val="00B0704D"/>
    <w:rsid w:val="00B07BD1"/>
    <w:rsid w:val="00B138F6"/>
    <w:rsid w:val="00B13F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1462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5A1E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0B05"/>
    <w:rsid w:val="00C41B13"/>
    <w:rsid w:val="00C42EBD"/>
    <w:rsid w:val="00C45066"/>
    <w:rsid w:val="00C46844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0FA2"/>
    <w:rsid w:val="00CC2B56"/>
    <w:rsid w:val="00CC44C0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51019"/>
    <w:rsid w:val="00D53E59"/>
    <w:rsid w:val="00D540CE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28ED"/>
    <w:rsid w:val="00D7618F"/>
    <w:rsid w:val="00D82E4B"/>
    <w:rsid w:val="00D835EF"/>
    <w:rsid w:val="00D843B7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359A"/>
    <w:rsid w:val="00DE46E0"/>
    <w:rsid w:val="00DE5798"/>
    <w:rsid w:val="00DE6AFF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6ACC"/>
    <w:rsid w:val="00E37EF3"/>
    <w:rsid w:val="00E40F41"/>
    <w:rsid w:val="00E41365"/>
    <w:rsid w:val="00E43171"/>
    <w:rsid w:val="00E44BF9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C52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3002A"/>
    <w:rsid w:val="00F30ED7"/>
    <w:rsid w:val="00F32EE7"/>
    <w:rsid w:val="00F35142"/>
    <w:rsid w:val="00F35975"/>
    <w:rsid w:val="00F36695"/>
    <w:rsid w:val="00F443DE"/>
    <w:rsid w:val="00F458A5"/>
    <w:rsid w:val="00F4593C"/>
    <w:rsid w:val="00F46AFB"/>
    <w:rsid w:val="00F508C8"/>
    <w:rsid w:val="00F5190F"/>
    <w:rsid w:val="00F5222D"/>
    <w:rsid w:val="00F53767"/>
    <w:rsid w:val="00F54386"/>
    <w:rsid w:val="00F55885"/>
    <w:rsid w:val="00F5621A"/>
    <w:rsid w:val="00F567F3"/>
    <w:rsid w:val="00F56A58"/>
    <w:rsid w:val="00F570A7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4576"/>
    <w:rsid w:val="00F85E66"/>
    <w:rsid w:val="00F865C3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65F9"/>
    <w:rsid w:val="00FC0A89"/>
    <w:rsid w:val="00FC4EAB"/>
    <w:rsid w:val="00FC602D"/>
    <w:rsid w:val="00FD012D"/>
    <w:rsid w:val="00FD12D7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23">
    <w:name w:val="SP.11.20892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3">
    <w:name w:val="SC.11.274443"/>
    <w:uiPriority w:val="99"/>
    <w:rsid w:val="0072680F"/>
    <w:rPr>
      <w:b/>
      <w:bCs/>
      <w:color w:val="000000"/>
      <w:sz w:val="22"/>
      <w:szCs w:val="22"/>
    </w:rPr>
  </w:style>
  <w:style w:type="paragraph" w:customStyle="1" w:styleId="SP11208924">
    <w:name w:val="SP.11.208924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3">
    <w:name w:val="SP.11.208903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1208907">
    <w:name w:val="SP.11.208907"/>
    <w:basedOn w:val="Normal"/>
    <w:next w:val="Normal"/>
    <w:uiPriority w:val="99"/>
    <w:rsid w:val="0072680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1274446">
    <w:name w:val="SC.11.274446"/>
    <w:uiPriority w:val="99"/>
    <w:rsid w:val="0072680F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7C11-31F1-425B-80BB-CD8DE20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2928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2</cp:revision>
  <dcterms:created xsi:type="dcterms:W3CDTF">2014-12-15T18:52:00Z</dcterms:created>
  <dcterms:modified xsi:type="dcterms:W3CDTF">2014-12-15T18:52:00Z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