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831913">
            <w:pPr>
              <w:pStyle w:val="T2"/>
              <w:rPr>
                <w:b w:val="0"/>
                <w:bCs/>
              </w:rPr>
            </w:pPr>
            <w:r>
              <w:rPr>
                <w:b w:val="0"/>
                <w:bCs/>
              </w:rPr>
              <w:t xml:space="preserve">Comment Resolutions for </w:t>
            </w:r>
            <w:r w:rsidR="002C147C">
              <w:rPr>
                <w:b w:val="0"/>
                <w:bCs/>
              </w:rPr>
              <w:t xml:space="preserve">Clause </w:t>
            </w:r>
            <w:r w:rsidR="00831913">
              <w:rPr>
                <w:b w:val="0"/>
                <w:bCs/>
              </w:rPr>
              <w:t>8.2.4</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B219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B2197C">
              <w:rPr>
                <w:b w:val="0"/>
                <w:bCs/>
                <w:sz w:val="20"/>
              </w:rPr>
              <w:t>12</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under </w:t>
      </w:r>
      <w:r w:rsidR="00831913">
        <w:rPr>
          <w:lang w:eastAsia="ko-KR"/>
        </w:rPr>
        <w:t>8.2.4</w:t>
      </w:r>
      <w:r w:rsidR="00B55E03">
        <w:rPr>
          <w:lang w:eastAsia="ko-KR"/>
        </w:rPr>
        <w:t>:</w:t>
      </w:r>
    </w:p>
    <w:p w:rsidR="0019575B" w:rsidRPr="00296FF2" w:rsidRDefault="008507C0" w:rsidP="0019575B">
      <w:pPr>
        <w:rPr>
          <w:b/>
          <w:i/>
          <w:lang w:eastAsia="ko-KR"/>
        </w:rPr>
      </w:pPr>
      <w:r>
        <w:rPr>
          <w:rStyle w:val="SC8278544"/>
          <w:b w:val="0"/>
          <w:i w:val="0"/>
        </w:rPr>
        <w:t>5130, 5131, 5132, 5242</w:t>
      </w:r>
      <w:r w:rsidR="00CC0C50">
        <w:rPr>
          <w:rStyle w:val="SC8278544"/>
          <w:b w:val="0"/>
          <w:i w:val="0"/>
        </w:rPr>
        <w:t>, 5243, and 5061</w:t>
      </w:r>
      <w:r w:rsidR="001D6E84" w:rsidRPr="00296FF2">
        <w:rPr>
          <w:b/>
          <w:i/>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4A14BF" w:rsidRPr="0089687F" w:rsidTr="008167E7">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07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831913" w:rsidRPr="00820CAC" w:rsidTr="008167E7">
        <w:trPr>
          <w:trHeight w:val="1530"/>
        </w:trPr>
        <w:tc>
          <w:tcPr>
            <w:tcW w:w="630" w:type="dxa"/>
            <w:hideMark/>
          </w:tcPr>
          <w:p w:rsidR="00831913" w:rsidRDefault="00831913">
            <w:pPr>
              <w:jc w:val="right"/>
              <w:rPr>
                <w:rFonts w:ascii="Arial" w:hAnsi="Arial" w:cs="Arial"/>
                <w:szCs w:val="20"/>
              </w:rPr>
            </w:pPr>
            <w:r>
              <w:rPr>
                <w:rFonts w:ascii="Arial" w:hAnsi="Arial" w:cs="Arial"/>
                <w:szCs w:val="20"/>
              </w:rPr>
              <w:t>5130</w:t>
            </w:r>
          </w:p>
        </w:tc>
        <w:tc>
          <w:tcPr>
            <w:tcW w:w="900" w:type="dxa"/>
            <w:hideMark/>
          </w:tcPr>
          <w:p w:rsidR="00831913" w:rsidRDefault="00831913">
            <w:pPr>
              <w:rPr>
                <w:rFonts w:ascii="Arial" w:hAnsi="Arial" w:cs="Arial"/>
                <w:szCs w:val="20"/>
              </w:rPr>
            </w:pPr>
            <w:r>
              <w:rPr>
                <w:rFonts w:ascii="Arial" w:hAnsi="Arial" w:cs="Arial"/>
                <w:szCs w:val="20"/>
              </w:rPr>
              <w:t>8.2.4.1.1</w:t>
            </w:r>
          </w:p>
        </w:tc>
        <w:tc>
          <w:tcPr>
            <w:tcW w:w="540" w:type="dxa"/>
            <w:hideMark/>
          </w:tcPr>
          <w:p w:rsidR="00831913" w:rsidRDefault="00831913">
            <w:pPr>
              <w:rPr>
                <w:rFonts w:ascii="Arial" w:hAnsi="Arial" w:cs="Arial"/>
                <w:szCs w:val="20"/>
              </w:rPr>
            </w:pPr>
            <w:r>
              <w:rPr>
                <w:rFonts w:ascii="Arial" w:hAnsi="Arial" w:cs="Arial"/>
                <w:szCs w:val="20"/>
              </w:rPr>
              <w:t>72</w:t>
            </w:r>
          </w:p>
        </w:tc>
        <w:tc>
          <w:tcPr>
            <w:tcW w:w="450" w:type="dxa"/>
            <w:hideMark/>
          </w:tcPr>
          <w:p w:rsidR="00831913" w:rsidRDefault="00831913">
            <w:pPr>
              <w:rPr>
                <w:rFonts w:ascii="Arial" w:hAnsi="Arial" w:cs="Arial"/>
                <w:szCs w:val="20"/>
              </w:rPr>
            </w:pPr>
            <w:r>
              <w:rPr>
                <w:rFonts w:ascii="Arial" w:hAnsi="Arial" w:cs="Arial"/>
                <w:szCs w:val="20"/>
              </w:rPr>
              <w:t>19</w:t>
            </w:r>
          </w:p>
        </w:tc>
        <w:tc>
          <w:tcPr>
            <w:tcW w:w="2160" w:type="dxa"/>
            <w:gridSpan w:val="2"/>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933306" w:rsidRDefault="00810293" w:rsidP="008167E7">
            <w:pPr>
              <w:rPr>
                <w:rFonts w:asciiTheme="majorBidi" w:hAnsiTheme="majorBidi" w:cstheme="majorBidi"/>
                <w:szCs w:val="20"/>
                <w:lang w:val="en-US"/>
              </w:rPr>
            </w:pPr>
            <w:r>
              <w:rPr>
                <w:rFonts w:asciiTheme="majorBidi" w:hAnsiTheme="majorBidi" w:cstheme="majorBidi"/>
                <w:szCs w:val="20"/>
                <w:lang w:val="en-US"/>
              </w:rPr>
              <w:t>Accept</w:t>
            </w:r>
          </w:p>
          <w:p w:rsidR="00831913" w:rsidRDefault="00831913" w:rsidP="008167E7">
            <w:pPr>
              <w:rPr>
                <w:rFonts w:asciiTheme="majorBidi" w:hAnsiTheme="majorBidi" w:cstheme="majorBidi"/>
                <w:szCs w:val="20"/>
                <w:lang w:val="en-US"/>
              </w:rPr>
            </w:pPr>
          </w:p>
          <w:p w:rsidR="00831913" w:rsidRPr="00B65B35" w:rsidRDefault="00831913" w:rsidP="00F84576">
            <w:pPr>
              <w:pStyle w:val="SP8245798"/>
              <w:spacing w:before="480" w:after="240"/>
              <w:rPr>
                <w:rFonts w:asciiTheme="majorBidi" w:hAnsiTheme="majorBidi" w:cstheme="majorBidi"/>
                <w:szCs w:val="20"/>
              </w:rPr>
            </w:pPr>
          </w:p>
        </w:tc>
      </w:tr>
      <w:tr w:rsidR="00831913" w:rsidRPr="00820CAC" w:rsidTr="008167E7">
        <w:trPr>
          <w:trHeight w:val="1530"/>
        </w:trPr>
        <w:tc>
          <w:tcPr>
            <w:tcW w:w="630" w:type="dxa"/>
            <w:hideMark/>
          </w:tcPr>
          <w:p w:rsidR="00831913" w:rsidRDefault="00831913">
            <w:pPr>
              <w:jc w:val="right"/>
              <w:rPr>
                <w:rFonts w:ascii="Arial" w:hAnsi="Arial" w:cs="Arial"/>
                <w:szCs w:val="20"/>
              </w:rPr>
            </w:pPr>
            <w:r>
              <w:rPr>
                <w:rFonts w:ascii="Arial" w:hAnsi="Arial" w:cs="Arial"/>
                <w:szCs w:val="20"/>
              </w:rPr>
              <w:t>5131</w:t>
            </w:r>
          </w:p>
        </w:tc>
        <w:tc>
          <w:tcPr>
            <w:tcW w:w="900" w:type="dxa"/>
            <w:hideMark/>
          </w:tcPr>
          <w:p w:rsidR="00831913" w:rsidRDefault="00831913">
            <w:pPr>
              <w:rPr>
                <w:rFonts w:ascii="Arial" w:hAnsi="Arial" w:cs="Arial"/>
                <w:szCs w:val="20"/>
              </w:rPr>
            </w:pPr>
            <w:r>
              <w:rPr>
                <w:rFonts w:ascii="Arial" w:hAnsi="Arial" w:cs="Arial"/>
                <w:szCs w:val="20"/>
              </w:rPr>
              <w:t>8.2.4.1.1</w:t>
            </w:r>
          </w:p>
        </w:tc>
        <w:tc>
          <w:tcPr>
            <w:tcW w:w="540" w:type="dxa"/>
            <w:hideMark/>
          </w:tcPr>
          <w:p w:rsidR="00831913" w:rsidRDefault="00831913">
            <w:pPr>
              <w:rPr>
                <w:rFonts w:ascii="Arial" w:hAnsi="Arial" w:cs="Arial"/>
                <w:szCs w:val="20"/>
              </w:rPr>
            </w:pPr>
            <w:r>
              <w:rPr>
                <w:rFonts w:ascii="Arial" w:hAnsi="Arial" w:cs="Arial"/>
                <w:szCs w:val="20"/>
              </w:rPr>
              <w:t>72</w:t>
            </w:r>
          </w:p>
        </w:tc>
        <w:tc>
          <w:tcPr>
            <w:tcW w:w="450" w:type="dxa"/>
            <w:hideMark/>
          </w:tcPr>
          <w:p w:rsidR="00831913" w:rsidRDefault="00831913">
            <w:pPr>
              <w:rPr>
                <w:rFonts w:ascii="Arial" w:hAnsi="Arial" w:cs="Arial"/>
                <w:szCs w:val="20"/>
              </w:rPr>
            </w:pPr>
            <w:r>
              <w:rPr>
                <w:rFonts w:ascii="Arial" w:hAnsi="Arial" w:cs="Arial"/>
                <w:szCs w:val="20"/>
              </w:rPr>
              <w:t>38</w:t>
            </w:r>
          </w:p>
        </w:tc>
        <w:tc>
          <w:tcPr>
            <w:tcW w:w="2160" w:type="dxa"/>
            <w:gridSpan w:val="2"/>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933306" w:rsidRDefault="00810293" w:rsidP="00933306">
            <w:pPr>
              <w:rPr>
                <w:rFonts w:asciiTheme="majorBidi" w:hAnsiTheme="majorBidi" w:cstheme="majorBidi"/>
                <w:szCs w:val="20"/>
                <w:lang w:val="en-US"/>
              </w:rPr>
            </w:pPr>
            <w:r>
              <w:rPr>
                <w:rFonts w:asciiTheme="majorBidi" w:hAnsiTheme="majorBidi" w:cstheme="majorBidi"/>
                <w:szCs w:val="20"/>
                <w:lang w:val="en-US"/>
              </w:rPr>
              <w:t>Accept</w:t>
            </w:r>
          </w:p>
          <w:p w:rsidR="00831913" w:rsidRDefault="00831913" w:rsidP="008167E7">
            <w:pPr>
              <w:rPr>
                <w:rFonts w:asciiTheme="majorBidi" w:hAnsiTheme="majorBidi" w:cstheme="majorBidi"/>
                <w:szCs w:val="20"/>
                <w:lang w:val="en-US"/>
              </w:rPr>
            </w:pPr>
          </w:p>
        </w:tc>
      </w:tr>
      <w:tr w:rsidR="00831913" w:rsidRPr="00820CAC" w:rsidTr="008167E7">
        <w:trPr>
          <w:trHeight w:val="1530"/>
        </w:trPr>
        <w:tc>
          <w:tcPr>
            <w:tcW w:w="630" w:type="dxa"/>
            <w:hideMark/>
          </w:tcPr>
          <w:p w:rsidR="00831913" w:rsidRDefault="00831913">
            <w:pPr>
              <w:jc w:val="right"/>
              <w:rPr>
                <w:rFonts w:ascii="Arial" w:hAnsi="Arial" w:cs="Arial"/>
                <w:szCs w:val="20"/>
              </w:rPr>
            </w:pPr>
            <w:r>
              <w:rPr>
                <w:rFonts w:ascii="Arial" w:hAnsi="Arial" w:cs="Arial"/>
                <w:szCs w:val="20"/>
              </w:rPr>
              <w:t>5132</w:t>
            </w:r>
          </w:p>
        </w:tc>
        <w:tc>
          <w:tcPr>
            <w:tcW w:w="900" w:type="dxa"/>
            <w:hideMark/>
          </w:tcPr>
          <w:p w:rsidR="00831913" w:rsidRDefault="00831913">
            <w:pPr>
              <w:rPr>
                <w:rFonts w:ascii="Arial" w:hAnsi="Arial" w:cs="Arial"/>
                <w:szCs w:val="20"/>
              </w:rPr>
            </w:pPr>
            <w:r>
              <w:rPr>
                <w:rFonts w:ascii="Arial" w:hAnsi="Arial" w:cs="Arial"/>
                <w:szCs w:val="20"/>
              </w:rPr>
              <w:t>8.2.4.1.1</w:t>
            </w:r>
          </w:p>
        </w:tc>
        <w:tc>
          <w:tcPr>
            <w:tcW w:w="540" w:type="dxa"/>
            <w:hideMark/>
          </w:tcPr>
          <w:p w:rsidR="00831913" w:rsidRDefault="00831913">
            <w:pPr>
              <w:rPr>
                <w:rFonts w:ascii="Arial" w:hAnsi="Arial" w:cs="Arial"/>
                <w:szCs w:val="20"/>
              </w:rPr>
            </w:pPr>
            <w:r>
              <w:rPr>
                <w:rFonts w:ascii="Arial" w:hAnsi="Arial" w:cs="Arial"/>
                <w:szCs w:val="20"/>
              </w:rPr>
              <w:t>72</w:t>
            </w:r>
          </w:p>
        </w:tc>
        <w:tc>
          <w:tcPr>
            <w:tcW w:w="450" w:type="dxa"/>
            <w:hideMark/>
          </w:tcPr>
          <w:p w:rsidR="00831913" w:rsidRDefault="00831913">
            <w:pPr>
              <w:rPr>
                <w:rFonts w:ascii="Arial" w:hAnsi="Arial" w:cs="Arial"/>
                <w:szCs w:val="20"/>
              </w:rPr>
            </w:pPr>
            <w:r>
              <w:rPr>
                <w:rFonts w:ascii="Arial" w:hAnsi="Arial" w:cs="Arial"/>
                <w:szCs w:val="20"/>
              </w:rPr>
              <w:t>56</w:t>
            </w:r>
          </w:p>
        </w:tc>
        <w:tc>
          <w:tcPr>
            <w:tcW w:w="2160" w:type="dxa"/>
            <w:gridSpan w:val="2"/>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831913" w:rsidRDefault="00831913">
            <w:pPr>
              <w:rPr>
                <w:rFonts w:ascii="Arial" w:hAnsi="Arial" w:cs="Arial"/>
                <w:szCs w:val="20"/>
              </w:rPr>
            </w:pPr>
            <w:r>
              <w:rPr>
                <w:rFonts w:ascii="Arial" w:hAnsi="Arial" w:cs="Arial"/>
                <w:szCs w:val="20"/>
              </w:rPr>
              <w:t>"</w:t>
            </w:r>
            <w:proofErr w:type="spellStart"/>
            <w:r>
              <w:rPr>
                <w:rFonts w:ascii="Arial" w:hAnsi="Arial" w:cs="Arial"/>
                <w:szCs w:val="20"/>
              </w:rPr>
              <w:t>a</w:t>
            </w:r>
            <w:proofErr w:type="spellEnd"/>
            <w:r>
              <w:rPr>
                <w:rFonts w:ascii="Arial" w:hAnsi="Arial" w:cs="Arial"/>
                <w:szCs w:val="20"/>
              </w:rPr>
              <w:t xml:space="preserve"> S1G" should be "an S1G"</w:t>
            </w:r>
          </w:p>
        </w:tc>
        <w:tc>
          <w:tcPr>
            <w:tcW w:w="2430" w:type="dxa"/>
            <w:hideMark/>
          </w:tcPr>
          <w:p w:rsidR="00933306" w:rsidRDefault="00810293" w:rsidP="00933306">
            <w:pPr>
              <w:rPr>
                <w:rFonts w:asciiTheme="majorBidi" w:hAnsiTheme="majorBidi" w:cstheme="majorBidi"/>
                <w:szCs w:val="20"/>
                <w:lang w:val="en-US"/>
              </w:rPr>
            </w:pPr>
            <w:r>
              <w:rPr>
                <w:rFonts w:asciiTheme="majorBidi" w:hAnsiTheme="majorBidi" w:cstheme="majorBidi"/>
                <w:szCs w:val="20"/>
                <w:lang w:val="en-US"/>
              </w:rPr>
              <w:t>Accept</w:t>
            </w:r>
          </w:p>
          <w:p w:rsidR="00831913" w:rsidRDefault="00831913" w:rsidP="008167E7">
            <w:pPr>
              <w:rPr>
                <w:rFonts w:asciiTheme="majorBidi" w:hAnsiTheme="majorBidi" w:cstheme="majorBidi"/>
                <w:szCs w:val="20"/>
                <w:lang w:val="en-US"/>
              </w:rPr>
            </w:pPr>
          </w:p>
        </w:tc>
      </w:tr>
      <w:tr w:rsidR="00831913" w:rsidRPr="00820CAC" w:rsidTr="008167E7">
        <w:trPr>
          <w:trHeight w:val="1530"/>
        </w:trPr>
        <w:tc>
          <w:tcPr>
            <w:tcW w:w="630" w:type="dxa"/>
            <w:hideMark/>
          </w:tcPr>
          <w:p w:rsidR="00831913" w:rsidRDefault="00831913">
            <w:pPr>
              <w:jc w:val="right"/>
              <w:rPr>
                <w:rFonts w:ascii="Arial" w:hAnsi="Arial" w:cs="Arial"/>
                <w:szCs w:val="20"/>
              </w:rPr>
            </w:pPr>
            <w:r>
              <w:rPr>
                <w:rFonts w:ascii="Arial" w:hAnsi="Arial" w:cs="Arial"/>
                <w:szCs w:val="20"/>
              </w:rPr>
              <w:t>5242</w:t>
            </w:r>
          </w:p>
        </w:tc>
        <w:tc>
          <w:tcPr>
            <w:tcW w:w="900" w:type="dxa"/>
            <w:hideMark/>
          </w:tcPr>
          <w:p w:rsidR="00831913" w:rsidRDefault="00831913">
            <w:pPr>
              <w:rPr>
                <w:rFonts w:ascii="Arial" w:hAnsi="Arial" w:cs="Arial"/>
                <w:szCs w:val="20"/>
              </w:rPr>
            </w:pPr>
            <w:r>
              <w:rPr>
                <w:rFonts w:ascii="Arial" w:hAnsi="Arial" w:cs="Arial"/>
                <w:szCs w:val="20"/>
              </w:rPr>
              <w:t>8.2.4.1.1</w:t>
            </w:r>
          </w:p>
        </w:tc>
        <w:tc>
          <w:tcPr>
            <w:tcW w:w="540" w:type="dxa"/>
            <w:hideMark/>
          </w:tcPr>
          <w:p w:rsidR="00831913" w:rsidRDefault="00831913">
            <w:pPr>
              <w:rPr>
                <w:rFonts w:ascii="Arial" w:hAnsi="Arial" w:cs="Arial"/>
                <w:szCs w:val="20"/>
              </w:rPr>
            </w:pPr>
            <w:r>
              <w:rPr>
                <w:rFonts w:ascii="Arial" w:hAnsi="Arial" w:cs="Arial"/>
                <w:szCs w:val="20"/>
              </w:rPr>
              <w:t>73</w:t>
            </w:r>
          </w:p>
        </w:tc>
        <w:tc>
          <w:tcPr>
            <w:tcW w:w="450" w:type="dxa"/>
            <w:hideMark/>
          </w:tcPr>
          <w:p w:rsidR="00831913" w:rsidRDefault="00831913">
            <w:pPr>
              <w:rPr>
                <w:rFonts w:ascii="Arial" w:hAnsi="Arial" w:cs="Arial"/>
                <w:szCs w:val="20"/>
              </w:rPr>
            </w:pPr>
            <w:r>
              <w:rPr>
                <w:rFonts w:ascii="Arial" w:hAnsi="Arial" w:cs="Arial"/>
                <w:szCs w:val="20"/>
              </w:rPr>
              <w:t>30</w:t>
            </w:r>
          </w:p>
        </w:tc>
        <w:tc>
          <w:tcPr>
            <w:tcW w:w="2160" w:type="dxa"/>
            <w:gridSpan w:val="2"/>
            <w:hideMark/>
          </w:tcPr>
          <w:p w:rsidR="00831913" w:rsidRDefault="00831913">
            <w:pPr>
              <w:rPr>
                <w:rFonts w:ascii="Arial" w:hAnsi="Arial" w:cs="Arial"/>
                <w:szCs w:val="20"/>
              </w:rPr>
            </w:pPr>
            <w:r>
              <w:rPr>
                <w:rFonts w:ascii="Arial" w:hAnsi="Arial" w:cs="Arial"/>
                <w:szCs w:val="20"/>
              </w:rPr>
              <w:t xml:space="preserve">The fields contained in the frame control field should be described in independent </w:t>
            </w:r>
            <w:proofErr w:type="spellStart"/>
            <w:r>
              <w:rPr>
                <w:rFonts w:ascii="Arial" w:hAnsi="Arial" w:cs="Arial"/>
                <w:szCs w:val="20"/>
              </w:rPr>
              <w:t>subclauses</w:t>
            </w:r>
            <w:proofErr w:type="spellEnd"/>
            <w:r>
              <w:rPr>
                <w:rFonts w:ascii="Arial" w:hAnsi="Arial" w:cs="Arial"/>
                <w:szCs w:val="20"/>
              </w:rPr>
              <w:t xml:space="preserve"> of 8.2.4.1 to be </w:t>
            </w:r>
            <w:proofErr w:type="spellStart"/>
            <w:r>
              <w:rPr>
                <w:rFonts w:ascii="Arial" w:hAnsi="Arial" w:cs="Arial"/>
                <w:szCs w:val="20"/>
              </w:rPr>
              <w:t>inline</w:t>
            </w:r>
            <w:proofErr w:type="spellEnd"/>
            <w:r>
              <w:rPr>
                <w:rFonts w:ascii="Arial" w:hAnsi="Arial" w:cs="Arial"/>
                <w:szCs w:val="20"/>
              </w:rPr>
              <w:t xml:space="preserve"> with the baseline.</w:t>
            </w:r>
          </w:p>
        </w:tc>
        <w:tc>
          <w:tcPr>
            <w:tcW w:w="2430" w:type="dxa"/>
            <w:hideMark/>
          </w:tcPr>
          <w:p w:rsidR="00831913" w:rsidRDefault="00831913">
            <w:pPr>
              <w:rPr>
                <w:rFonts w:ascii="Arial" w:hAnsi="Arial" w:cs="Arial"/>
                <w:szCs w:val="20"/>
              </w:rPr>
            </w:pPr>
            <w:r>
              <w:rPr>
                <w:rFonts w:ascii="Arial" w:hAnsi="Arial" w:cs="Arial"/>
                <w:szCs w:val="20"/>
              </w:rPr>
              <w:t xml:space="preserve">Add new </w:t>
            </w:r>
            <w:proofErr w:type="spellStart"/>
            <w:r>
              <w:rPr>
                <w:rFonts w:ascii="Arial" w:hAnsi="Arial" w:cs="Arial"/>
                <w:szCs w:val="20"/>
              </w:rPr>
              <w:t>subclauses</w:t>
            </w:r>
            <w:proofErr w:type="spellEnd"/>
            <w:r>
              <w:rPr>
                <w:rFonts w:ascii="Arial" w:hAnsi="Arial" w:cs="Arial"/>
                <w:szCs w:val="20"/>
              </w:rPr>
              <w:t xml:space="preserve"> 8.2.4.1.15 (Next TBTT Present field)</w:t>
            </w:r>
            <w:proofErr w:type="gramStart"/>
            <w:r>
              <w:rPr>
                <w:rFonts w:ascii="Arial" w:hAnsi="Arial" w:cs="Arial"/>
                <w:szCs w:val="20"/>
              </w:rPr>
              <w:t>,  8.2.4.1.16</w:t>
            </w:r>
            <w:proofErr w:type="gramEnd"/>
            <w:r>
              <w:rPr>
                <w:rFonts w:ascii="Arial" w:hAnsi="Arial" w:cs="Arial"/>
                <w:szCs w:val="20"/>
              </w:rPr>
              <w:t xml:space="preserve"> (Compressed SSID Present field),  8.2.4.1.17 (ANO Present field),  8.2.4.1.18 (BSS BW field),  8.2.4.1.19 (Security field), and  8.2.4.1.20 (AP PM field). Move each of the sentence descriptions of these fields (starting from P73L30 till P74L19) to their corresponding </w:t>
            </w:r>
            <w:proofErr w:type="spellStart"/>
            <w:r>
              <w:rPr>
                <w:rFonts w:ascii="Arial" w:hAnsi="Arial" w:cs="Arial"/>
                <w:szCs w:val="20"/>
              </w:rPr>
              <w:t>subclause</w:t>
            </w:r>
            <w:proofErr w:type="spellEnd"/>
            <w:r>
              <w:rPr>
                <w:rFonts w:ascii="Arial" w:hAnsi="Arial" w:cs="Arial"/>
                <w:szCs w:val="20"/>
              </w:rPr>
              <w:t xml:space="preserve"> that is newly created.</w:t>
            </w:r>
          </w:p>
        </w:tc>
        <w:tc>
          <w:tcPr>
            <w:tcW w:w="2430" w:type="dxa"/>
            <w:hideMark/>
          </w:tcPr>
          <w:p w:rsidR="00933306" w:rsidRDefault="00810293" w:rsidP="008167E7">
            <w:pPr>
              <w:rPr>
                <w:rFonts w:asciiTheme="majorBidi" w:hAnsiTheme="majorBidi" w:cstheme="majorBidi"/>
                <w:szCs w:val="20"/>
                <w:lang w:val="en-US"/>
              </w:rPr>
            </w:pPr>
            <w:r>
              <w:rPr>
                <w:rFonts w:asciiTheme="majorBidi" w:hAnsiTheme="majorBidi" w:cstheme="majorBidi"/>
                <w:szCs w:val="20"/>
                <w:lang w:val="en-US"/>
              </w:rPr>
              <w:t>Accept</w:t>
            </w:r>
          </w:p>
        </w:tc>
      </w:tr>
    </w:tbl>
    <w:p w:rsidR="004A14BF" w:rsidRDefault="004A14BF" w:rsidP="004A14BF">
      <w:pPr>
        <w:rPr>
          <w:lang w:val="en-US"/>
        </w:rPr>
      </w:pPr>
    </w:p>
    <w:p w:rsidR="00CC44C0" w:rsidRDefault="00CC44C0" w:rsidP="00CC44C0">
      <w:pPr>
        <w:rPr>
          <w:rFonts w:ascii="Arial" w:hAnsi="Arial" w:cs="Arial"/>
          <w:szCs w:val="20"/>
        </w:rPr>
      </w:pPr>
    </w:p>
    <w:p w:rsidR="00CC44C0" w:rsidRDefault="00CC44C0" w:rsidP="00CC44C0">
      <w:pPr>
        <w:rPr>
          <w:rFonts w:ascii="Arial" w:hAnsi="Arial" w:cs="Arial"/>
          <w:szCs w:val="20"/>
        </w:rPr>
      </w:pPr>
    </w:p>
    <w:p w:rsidR="00CC44C0" w:rsidRPr="00C54A81" w:rsidRDefault="00CC44C0" w:rsidP="00CC44C0">
      <w:pPr>
        <w:rPr>
          <w:rFonts w:ascii="Arial" w:hAnsi="Arial" w:cs="Arial"/>
          <w:szCs w:val="20"/>
        </w:rPr>
      </w:pPr>
    </w:p>
    <w:p w:rsidR="0014591E" w:rsidRDefault="0014591E" w:rsidP="004A14BF">
      <w:pPr>
        <w:rPr>
          <w:lang w:val="en-US"/>
        </w:rPr>
      </w:pPr>
    </w:p>
    <w:p w:rsidR="0014591E" w:rsidRDefault="0014591E"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14591E" w:rsidRPr="0031460A" w:rsidTr="00162D3F">
        <w:trPr>
          <w:trHeight w:val="476"/>
        </w:trPr>
        <w:tc>
          <w:tcPr>
            <w:tcW w:w="6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CID</w:t>
            </w:r>
          </w:p>
        </w:tc>
        <w:tc>
          <w:tcPr>
            <w:tcW w:w="900" w:type="dxa"/>
            <w:shd w:val="clear" w:color="auto" w:fill="D9D9D9" w:themeFill="background1" w:themeFillShade="D9"/>
          </w:tcPr>
          <w:p w:rsidR="0014591E" w:rsidRPr="0031460A" w:rsidRDefault="0014591E" w:rsidP="008167E7">
            <w:pPr>
              <w:jc w:val="center"/>
              <w:rPr>
                <w:b/>
                <w:sz w:val="16"/>
                <w:szCs w:val="16"/>
              </w:rPr>
            </w:pPr>
            <w:r>
              <w:rPr>
                <w:b/>
                <w:sz w:val="16"/>
                <w:szCs w:val="16"/>
              </w:rPr>
              <w:t>Clause Num</w:t>
            </w:r>
          </w:p>
        </w:tc>
        <w:tc>
          <w:tcPr>
            <w:tcW w:w="54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w:t>
            </w:r>
          </w:p>
        </w:tc>
        <w:tc>
          <w:tcPr>
            <w:tcW w:w="45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L</w:t>
            </w:r>
          </w:p>
        </w:tc>
        <w:tc>
          <w:tcPr>
            <w:tcW w:w="216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Resolution</w:t>
            </w:r>
          </w:p>
        </w:tc>
      </w:tr>
      <w:tr w:rsidR="00FE7A09" w:rsidRPr="00820CAC" w:rsidTr="008167E7">
        <w:trPr>
          <w:trHeight w:val="510"/>
        </w:trPr>
        <w:tc>
          <w:tcPr>
            <w:tcW w:w="630" w:type="dxa"/>
            <w:hideMark/>
          </w:tcPr>
          <w:p w:rsidR="00FE7A09" w:rsidRDefault="00FE7A09" w:rsidP="00FE7A09">
            <w:pPr>
              <w:jc w:val="right"/>
              <w:rPr>
                <w:rFonts w:ascii="Arial" w:hAnsi="Arial" w:cs="Arial"/>
                <w:szCs w:val="20"/>
              </w:rPr>
            </w:pPr>
            <w:r>
              <w:rPr>
                <w:rFonts w:ascii="Arial" w:hAnsi="Arial" w:cs="Arial"/>
                <w:szCs w:val="20"/>
              </w:rPr>
              <w:t>5243</w:t>
            </w:r>
          </w:p>
          <w:p w:rsidR="00FE7A09" w:rsidRDefault="00FE7A09">
            <w:pPr>
              <w:jc w:val="right"/>
              <w:rPr>
                <w:rFonts w:ascii="Arial" w:hAnsi="Arial" w:cs="Arial"/>
                <w:szCs w:val="20"/>
              </w:rPr>
            </w:pPr>
          </w:p>
        </w:tc>
        <w:tc>
          <w:tcPr>
            <w:tcW w:w="900" w:type="dxa"/>
            <w:hideMark/>
          </w:tcPr>
          <w:p w:rsidR="00FE7A09" w:rsidRDefault="00FE7A09">
            <w:pPr>
              <w:rPr>
                <w:rFonts w:ascii="Arial" w:hAnsi="Arial" w:cs="Arial"/>
                <w:szCs w:val="20"/>
              </w:rPr>
            </w:pPr>
            <w:r>
              <w:rPr>
                <w:rFonts w:ascii="Arial" w:hAnsi="Arial" w:cs="Arial"/>
                <w:szCs w:val="20"/>
              </w:rPr>
              <w:t>8.2.4.1.8</w:t>
            </w:r>
          </w:p>
        </w:tc>
        <w:tc>
          <w:tcPr>
            <w:tcW w:w="540" w:type="dxa"/>
            <w:hideMark/>
          </w:tcPr>
          <w:p w:rsidR="00FE7A09" w:rsidRDefault="00FE7A09">
            <w:pPr>
              <w:rPr>
                <w:rFonts w:ascii="Arial" w:hAnsi="Arial" w:cs="Arial"/>
                <w:szCs w:val="20"/>
              </w:rPr>
            </w:pPr>
            <w:r>
              <w:rPr>
                <w:rFonts w:ascii="Arial" w:hAnsi="Arial" w:cs="Arial"/>
                <w:szCs w:val="20"/>
              </w:rPr>
              <w:t>76</w:t>
            </w:r>
          </w:p>
        </w:tc>
        <w:tc>
          <w:tcPr>
            <w:tcW w:w="450" w:type="dxa"/>
            <w:hideMark/>
          </w:tcPr>
          <w:p w:rsidR="00FE7A09" w:rsidRDefault="00FE7A09">
            <w:pPr>
              <w:rPr>
                <w:rFonts w:ascii="Arial" w:hAnsi="Arial" w:cs="Arial"/>
                <w:szCs w:val="20"/>
              </w:rPr>
            </w:pPr>
            <w:r>
              <w:rPr>
                <w:rFonts w:ascii="Arial" w:hAnsi="Arial" w:cs="Arial"/>
                <w:szCs w:val="20"/>
              </w:rPr>
              <w:t>31</w:t>
            </w:r>
          </w:p>
        </w:tc>
        <w:tc>
          <w:tcPr>
            <w:tcW w:w="2160" w:type="dxa"/>
            <w:hideMark/>
          </w:tcPr>
          <w:p w:rsidR="00FE7A09" w:rsidRDefault="00FE7A09">
            <w:pPr>
              <w:rPr>
                <w:rFonts w:ascii="Arial" w:hAnsi="Arial" w:cs="Arial"/>
                <w:szCs w:val="20"/>
              </w:rPr>
            </w:pPr>
            <w:r>
              <w:rPr>
                <w:rFonts w:ascii="Arial" w:hAnsi="Arial" w:cs="Arial"/>
                <w:szCs w:val="20"/>
              </w:rPr>
              <w:t>Any relation between the More Data field and the eventually present EOSP field of the frame, or say the type of frame carrying this field? For sure it needs to be clear that this paragraph refers to individually addressed frames while the paragraph below for the case of the MD setting for group addressed frames (by the way the case of non-AP STA is missing).</w:t>
            </w:r>
          </w:p>
        </w:tc>
        <w:tc>
          <w:tcPr>
            <w:tcW w:w="2430" w:type="dxa"/>
            <w:hideMark/>
          </w:tcPr>
          <w:p w:rsidR="00FE7A09" w:rsidRDefault="00FE7A09">
            <w:pPr>
              <w:rPr>
                <w:rFonts w:ascii="Arial" w:hAnsi="Arial" w:cs="Arial"/>
                <w:szCs w:val="20"/>
              </w:rPr>
            </w:pPr>
            <w:r>
              <w:rPr>
                <w:rFonts w:ascii="Arial" w:hAnsi="Arial" w:cs="Arial"/>
                <w:szCs w:val="20"/>
              </w:rPr>
              <w:t>As in comment and</w:t>
            </w:r>
            <w:proofErr w:type="gramStart"/>
            <w:r>
              <w:rPr>
                <w:rFonts w:ascii="Arial" w:hAnsi="Arial" w:cs="Arial"/>
                <w:szCs w:val="20"/>
              </w:rPr>
              <w:t>:</w:t>
            </w:r>
            <w:proofErr w:type="gramEnd"/>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Insert "in individually addressed frames" immediately after "More Data field to 1" (twice) in this paragraph.</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Insert " An S1G non-AP STA sets the More Data field to 0 in group addressed frames it transmits." at the end of the last paragraph.</w:t>
            </w:r>
          </w:p>
        </w:tc>
        <w:tc>
          <w:tcPr>
            <w:tcW w:w="2430" w:type="dxa"/>
            <w:hideMark/>
          </w:tcPr>
          <w:p w:rsidR="00FE7A09" w:rsidRDefault="00F25A99"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FE7A09" w:rsidRDefault="00FE7A09" w:rsidP="008167E7">
            <w:pPr>
              <w:widowControl/>
              <w:jc w:val="left"/>
              <w:rPr>
                <w:rFonts w:asciiTheme="majorBidi" w:hAnsiTheme="majorBidi" w:cstheme="majorBidi"/>
                <w:szCs w:val="20"/>
                <w:lang w:val="en-US"/>
              </w:rPr>
            </w:pPr>
          </w:p>
          <w:p w:rsidR="00F25A99" w:rsidRDefault="00F25A99" w:rsidP="008167E7">
            <w:pPr>
              <w:widowControl/>
              <w:jc w:val="left"/>
              <w:rPr>
                <w:rFonts w:asciiTheme="majorBidi" w:hAnsiTheme="majorBidi" w:cstheme="majorBidi"/>
                <w:szCs w:val="20"/>
                <w:lang w:val="en-US"/>
              </w:rPr>
            </w:pPr>
          </w:p>
          <w:p w:rsidR="00FD3A0D" w:rsidRDefault="00F25A99" w:rsidP="008167E7">
            <w:pPr>
              <w:widowControl/>
              <w:jc w:val="left"/>
              <w:rPr>
                <w:rFonts w:ascii="Arial" w:hAnsi="Arial" w:cs="Arial"/>
                <w:szCs w:val="20"/>
              </w:rPr>
            </w:pPr>
            <w:r>
              <w:rPr>
                <w:rFonts w:asciiTheme="majorBidi" w:hAnsiTheme="majorBidi" w:cstheme="majorBidi"/>
                <w:szCs w:val="20"/>
                <w:lang w:val="en-US"/>
              </w:rPr>
              <w:t xml:space="preserve">Discussion: </w:t>
            </w:r>
            <w:r w:rsidR="00FD3A0D">
              <w:rPr>
                <w:rFonts w:asciiTheme="majorBidi" w:hAnsiTheme="majorBidi" w:cstheme="majorBidi"/>
                <w:szCs w:val="20"/>
                <w:lang w:val="en-US"/>
              </w:rPr>
              <w:t xml:space="preserve">Adding “in individually addressed frames” in P76L31 paragraph makes sense. However It is not necessary to insert </w:t>
            </w:r>
            <w:r w:rsidR="00FD3A0D">
              <w:rPr>
                <w:rFonts w:ascii="Arial" w:hAnsi="Arial" w:cs="Arial"/>
                <w:szCs w:val="20"/>
              </w:rPr>
              <w:t>" An S1G non-AP STA sets the More Data field to 0 in group addressed frames it transmits." at the end of the last paragraph since an S1G non-AP STA will never transmit group addressed frames</w:t>
            </w:r>
            <w:r w:rsidR="000C7126">
              <w:rPr>
                <w:rFonts w:ascii="Arial" w:hAnsi="Arial" w:cs="Arial"/>
                <w:szCs w:val="20"/>
              </w:rPr>
              <w:t xml:space="preserve"> (for frames with multicast/broadcast destination MAC address, a non-AP STA use </w:t>
            </w:r>
            <w:proofErr w:type="spellStart"/>
            <w:r w:rsidR="000C7126">
              <w:rPr>
                <w:rFonts w:ascii="Arial" w:hAnsi="Arial" w:cs="Arial"/>
                <w:szCs w:val="20"/>
              </w:rPr>
              <w:t>unicast</w:t>
            </w:r>
            <w:proofErr w:type="spellEnd"/>
            <w:r w:rsidR="000C7126">
              <w:rPr>
                <w:rFonts w:ascii="Arial" w:hAnsi="Arial" w:cs="Arial"/>
                <w:szCs w:val="20"/>
              </w:rPr>
              <w:t xml:space="preserve"> MAC address as R1 address)</w:t>
            </w:r>
            <w:r w:rsidR="00FD3A0D">
              <w:rPr>
                <w:rFonts w:ascii="Arial" w:hAnsi="Arial" w:cs="Arial"/>
                <w:szCs w:val="20"/>
              </w:rPr>
              <w:t>.</w:t>
            </w:r>
          </w:p>
          <w:p w:rsidR="00FD3A0D" w:rsidRDefault="00FD3A0D" w:rsidP="008167E7">
            <w:pPr>
              <w:widowControl/>
              <w:jc w:val="left"/>
              <w:rPr>
                <w:rFonts w:ascii="Arial" w:hAnsi="Arial" w:cs="Arial"/>
                <w:szCs w:val="20"/>
              </w:rPr>
            </w:pPr>
          </w:p>
          <w:p w:rsidR="00F25A99" w:rsidRPr="00820CAC" w:rsidRDefault="00FD3A0D" w:rsidP="00FD3A0D">
            <w:pPr>
              <w:widowControl/>
              <w:jc w:val="left"/>
              <w:rPr>
                <w:rFonts w:asciiTheme="majorBidi" w:hAnsiTheme="majorBidi" w:cstheme="majorBidi"/>
                <w:szCs w:val="20"/>
                <w:lang w:val="en-US"/>
              </w:rPr>
            </w:pPr>
            <w:proofErr w:type="spellStart"/>
            <w:r>
              <w:rPr>
                <w:rFonts w:ascii="Arial" w:hAnsi="Arial" w:cs="Arial"/>
                <w:szCs w:val="20"/>
              </w:rPr>
              <w:t>TGah</w:t>
            </w:r>
            <w:proofErr w:type="spellEnd"/>
            <w:r>
              <w:rPr>
                <w:rFonts w:ascii="Arial" w:hAnsi="Arial" w:cs="Arial"/>
                <w:szCs w:val="20"/>
              </w:rPr>
              <w:t xml:space="preserve"> editor </w:t>
            </w:r>
            <w:r w:rsidR="00DC67A3">
              <w:rPr>
                <w:rFonts w:ascii="Arial" w:hAnsi="Arial" w:cs="Arial"/>
                <w:szCs w:val="20"/>
              </w:rPr>
              <w:t>inserts "in individually addressed frames" immediately after "More Data field to 1" (twice) in this paragraph.</w:t>
            </w:r>
          </w:p>
        </w:tc>
      </w:tr>
    </w:tbl>
    <w:p w:rsidR="0014591E" w:rsidRDefault="0014591E" w:rsidP="004A14BF">
      <w:pPr>
        <w:rPr>
          <w:lang w:val="en-US"/>
        </w:rPr>
      </w:pPr>
    </w:p>
    <w:p w:rsidR="005F1776" w:rsidRDefault="005F1776" w:rsidP="005F1776">
      <w:pPr>
        <w:rPr>
          <w:lang w:val="en-US"/>
        </w:rPr>
      </w:pPr>
    </w:p>
    <w:p w:rsidR="00412F43" w:rsidRDefault="00412F43" w:rsidP="005F1776">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12F43" w:rsidRPr="0031460A" w:rsidTr="00237BFC">
        <w:trPr>
          <w:trHeight w:val="476"/>
        </w:trPr>
        <w:tc>
          <w:tcPr>
            <w:tcW w:w="63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CID</w:t>
            </w:r>
          </w:p>
        </w:tc>
        <w:tc>
          <w:tcPr>
            <w:tcW w:w="900" w:type="dxa"/>
            <w:shd w:val="clear" w:color="auto" w:fill="D9D9D9" w:themeFill="background1" w:themeFillShade="D9"/>
          </w:tcPr>
          <w:p w:rsidR="00412F43" w:rsidRPr="0031460A" w:rsidRDefault="00412F43" w:rsidP="00237BFC">
            <w:pPr>
              <w:jc w:val="center"/>
              <w:rPr>
                <w:b/>
                <w:sz w:val="16"/>
                <w:szCs w:val="16"/>
              </w:rPr>
            </w:pPr>
            <w:r>
              <w:rPr>
                <w:b/>
                <w:sz w:val="16"/>
                <w:szCs w:val="16"/>
              </w:rPr>
              <w:t>Clause Num</w:t>
            </w:r>
          </w:p>
        </w:tc>
        <w:tc>
          <w:tcPr>
            <w:tcW w:w="54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P</w:t>
            </w:r>
          </w:p>
        </w:tc>
        <w:tc>
          <w:tcPr>
            <w:tcW w:w="45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L</w:t>
            </w:r>
          </w:p>
        </w:tc>
        <w:tc>
          <w:tcPr>
            <w:tcW w:w="216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Comment</w:t>
            </w:r>
          </w:p>
        </w:tc>
        <w:tc>
          <w:tcPr>
            <w:tcW w:w="243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Propose Change</w:t>
            </w:r>
          </w:p>
        </w:tc>
        <w:tc>
          <w:tcPr>
            <w:tcW w:w="2430" w:type="dxa"/>
            <w:shd w:val="clear" w:color="auto" w:fill="D9D9D9" w:themeFill="background1" w:themeFillShade="D9"/>
          </w:tcPr>
          <w:p w:rsidR="00412F43" w:rsidRPr="0031460A" w:rsidRDefault="00412F43" w:rsidP="00237BFC">
            <w:pPr>
              <w:jc w:val="center"/>
              <w:rPr>
                <w:b/>
                <w:sz w:val="16"/>
                <w:szCs w:val="16"/>
              </w:rPr>
            </w:pPr>
            <w:r w:rsidRPr="0031460A">
              <w:rPr>
                <w:b/>
                <w:sz w:val="16"/>
                <w:szCs w:val="16"/>
              </w:rPr>
              <w:t>Resolution</w:t>
            </w:r>
          </w:p>
        </w:tc>
      </w:tr>
      <w:tr w:rsidR="00412F43" w:rsidRPr="00820CAC" w:rsidTr="00237BFC">
        <w:trPr>
          <w:trHeight w:val="510"/>
        </w:trPr>
        <w:tc>
          <w:tcPr>
            <w:tcW w:w="630" w:type="dxa"/>
            <w:hideMark/>
          </w:tcPr>
          <w:p w:rsidR="00412F43" w:rsidRDefault="00412F43" w:rsidP="00412F43">
            <w:pPr>
              <w:jc w:val="right"/>
              <w:rPr>
                <w:rFonts w:ascii="Arial" w:hAnsi="Arial" w:cs="Arial"/>
                <w:szCs w:val="20"/>
              </w:rPr>
            </w:pPr>
            <w:r>
              <w:rPr>
                <w:rFonts w:ascii="Arial" w:hAnsi="Arial" w:cs="Arial"/>
                <w:szCs w:val="20"/>
              </w:rPr>
              <w:t>5061</w:t>
            </w:r>
          </w:p>
          <w:p w:rsidR="00412F43" w:rsidRDefault="00412F43" w:rsidP="00237BFC">
            <w:pPr>
              <w:jc w:val="right"/>
              <w:rPr>
                <w:rFonts w:ascii="Arial" w:hAnsi="Arial" w:cs="Arial"/>
                <w:szCs w:val="20"/>
              </w:rPr>
            </w:pPr>
          </w:p>
          <w:p w:rsidR="00412F43" w:rsidRDefault="00412F43" w:rsidP="00237BFC">
            <w:pPr>
              <w:jc w:val="right"/>
              <w:rPr>
                <w:rFonts w:ascii="Arial" w:hAnsi="Arial" w:cs="Arial"/>
                <w:szCs w:val="20"/>
              </w:rPr>
            </w:pPr>
          </w:p>
        </w:tc>
        <w:tc>
          <w:tcPr>
            <w:tcW w:w="900" w:type="dxa"/>
            <w:hideMark/>
          </w:tcPr>
          <w:p w:rsidR="00412F43" w:rsidRDefault="00412F43">
            <w:pPr>
              <w:rPr>
                <w:rFonts w:ascii="Arial" w:hAnsi="Arial" w:cs="Arial"/>
                <w:szCs w:val="20"/>
              </w:rPr>
            </w:pPr>
            <w:r>
              <w:rPr>
                <w:rFonts w:ascii="Arial" w:hAnsi="Arial" w:cs="Arial"/>
                <w:szCs w:val="20"/>
              </w:rPr>
              <w:t>8.2.4.6.3</w:t>
            </w:r>
          </w:p>
        </w:tc>
        <w:tc>
          <w:tcPr>
            <w:tcW w:w="540" w:type="dxa"/>
            <w:hideMark/>
          </w:tcPr>
          <w:p w:rsidR="00412F43" w:rsidRDefault="00412F43">
            <w:pPr>
              <w:rPr>
                <w:rFonts w:ascii="Arial" w:hAnsi="Arial" w:cs="Arial"/>
                <w:szCs w:val="20"/>
              </w:rPr>
            </w:pPr>
            <w:r>
              <w:rPr>
                <w:rFonts w:ascii="Arial" w:hAnsi="Arial" w:cs="Arial"/>
                <w:szCs w:val="20"/>
              </w:rPr>
              <w:t>79</w:t>
            </w:r>
          </w:p>
        </w:tc>
        <w:tc>
          <w:tcPr>
            <w:tcW w:w="450" w:type="dxa"/>
            <w:hideMark/>
          </w:tcPr>
          <w:p w:rsidR="00412F43" w:rsidRDefault="00412F43">
            <w:pPr>
              <w:rPr>
                <w:rFonts w:ascii="Arial" w:hAnsi="Arial" w:cs="Arial"/>
                <w:szCs w:val="20"/>
              </w:rPr>
            </w:pPr>
            <w:r>
              <w:rPr>
                <w:rFonts w:ascii="Arial" w:hAnsi="Arial" w:cs="Arial"/>
                <w:szCs w:val="20"/>
              </w:rPr>
              <w:t>54</w:t>
            </w:r>
          </w:p>
        </w:tc>
        <w:tc>
          <w:tcPr>
            <w:tcW w:w="2160" w:type="dxa"/>
            <w:hideMark/>
          </w:tcPr>
          <w:p w:rsidR="00412F43" w:rsidRDefault="00412F43">
            <w:pPr>
              <w:rPr>
                <w:rFonts w:ascii="Arial" w:hAnsi="Arial" w:cs="Arial"/>
                <w:szCs w:val="20"/>
              </w:rPr>
            </w:pPr>
            <w:r>
              <w:rPr>
                <w:rFonts w:ascii="Arial" w:hAnsi="Arial" w:cs="Arial"/>
                <w:szCs w:val="20"/>
              </w:rPr>
              <w:t xml:space="preserve">"The S1G subfield is set to 1 by an S1G STA and is set to 0 by a non-S1G STA" --- "is set to" is usually only used to emphasize the act of changing / setting the field from one value to another.  Here, the statement describes the value of the S1G subfield if the frame is </w:t>
            </w:r>
            <w:proofErr w:type="spellStart"/>
            <w:r>
              <w:rPr>
                <w:rFonts w:ascii="Arial" w:hAnsi="Arial" w:cs="Arial"/>
                <w:szCs w:val="20"/>
              </w:rPr>
              <w:t>transmissted</w:t>
            </w:r>
            <w:proofErr w:type="spellEnd"/>
            <w:r>
              <w:rPr>
                <w:rFonts w:ascii="Arial" w:hAnsi="Arial" w:cs="Arial"/>
                <w:szCs w:val="20"/>
              </w:rPr>
              <w:t xml:space="preserve"> by S1G STAs.</w:t>
            </w:r>
          </w:p>
        </w:tc>
        <w:tc>
          <w:tcPr>
            <w:tcW w:w="2430" w:type="dxa"/>
            <w:hideMark/>
          </w:tcPr>
          <w:p w:rsidR="00412F43" w:rsidRDefault="00412F43">
            <w:pPr>
              <w:rPr>
                <w:rFonts w:ascii="Arial" w:hAnsi="Arial" w:cs="Arial"/>
                <w:szCs w:val="20"/>
              </w:rPr>
            </w:pPr>
            <w:r>
              <w:rPr>
                <w:rFonts w:ascii="Arial" w:hAnsi="Arial" w:cs="Arial"/>
                <w:szCs w:val="20"/>
              </w:rPr>
              <w:t>Change "The S1G subfield is set to 1 by an S1G STA and is set to 0 by a non-S1G STA"     to   "For S1G STAs, the S1G subfield equals 1.  For non-S1G STAs, the S1G subfield equals 0."</w:t>
            </w:r>
          </w:p>
        </w:tc>
        <w:tc>
          <w:tcPr>
            <w:tcW w:w="2430" w:type="dxa"/>
            <w:hideMark/>
          </w:tcPr>
          <w:p w:rsidR="00412F43" w:rsidRDefault="00412F43" w:rsidP="00237BFC">
            <w:pPr>
              <w:widowControl/>
              <w:jc w:val="left"/>
              <w:rPr>
                <w:rFonts w:asciiTheme="majorBidi" w:hAnsiTheme="majorBidi" w:cstheme="majorBidi"/>
                <w:szCs w:val="20"/>
                <w:lang w:val="en-US"/>
              </w:rPr>
            </w:pPr>
          </w:p>
          <w:p w:rsidR="00412F43" w:rsidRDefault="00412F43" w:rsidP="00237BFC">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412F43" w:rsidRDefault="00412F43" w:rsidP="00237BFC">
            <w:pPr>
              <w:widowControl/>
              <w:jc w:val="left"/>
              <w:rPr>
                <w:rFonts w:asciiTheme="majorBidi" w:hAnsiTheme="majorBidi" w:cstheme="majorBidi"/>
                <w:szCs w:val="20"/>
                <w:lang w:val="en-US"/>
              </w:rPr>
            </w:pPr>
          </w:p>
          <w:p w:rsidR="00412F43" w:rsidRDefault="00412F43" w:rsidP="00237BFC">
            <w:pPr>
              <w:widowControl/>
              <w:jc w:val="left"/>
              <w:rPr>
                <w:rFonts w:asciiTheme="majorBidi" w:hAnsiTheme="majorBidi" w:cstheme="majorBidi"/>
                <w:szCs w:val="20"/>
                <w:lang w:val="en-US"/>
              </w:rPr>
            </w:pPr>
          </w:p>
          <w:p w:rsidR="00412F43" w:rsidRDefault="00412F43" w:rsidP="00237BFC">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B57F60">
              <w:rPr>
                <w:rFonts w:asciiTheme="majorBidi" w:hAnsiTheme="majorBidi" w:cstheme="majorBidi"/>
                <w:szCs w:val="20"/>
                <w:lang w:val="en-US"/>
              </w:rPr>
              <w:t>“</w:t>
            </w:r>
            <w:r>
              <w:rPr>
                <w:rFonts w:asciiTheme="majorBidi" w:hAnsiTheme="majorBidi" w:cstheme="majorBidi"/>
                <w:szCs w:val="20"/>
                <w:lang w:val="en-US"/>
              </w:rPr>
              <w:t xml:space="preserve">xxx field is set to </w:t>
            </w:r>
            <w:proofErr w:type="spellStart"/>
            <w:r w:rsidR="00B57F60">
              <w:rPr>
                <w:rFonts w:asciiTheme="majorBidi" w:hAnsiTheme="majorBidi" w:cstheme="majorBidi"/>
                <w:szCs w:val="20"/>
                <w:lang w:val="en-US"/>
              </w:rPr>
              <w:t>yy</w:t>
            </w:r>
            <w:r w:rsidR="00FD3A0D">
              <w:rPr>
                <w:rFonts w:asciiTheme="majorBidi" w:hAnsiTheme="majorBidi" w:cstheme="majorBidi"/>
                <w:szCs w:val="20"/>
                <w:lang w:val="en-US"/>
              </w:rPr>
              <w:t>y</w:t>
            </w:r>
            <w:proofErr w:type="spellEnd"/>
            <w:r w:rsidR="00B57F60">
              <w:rPr>
                <w:rFonts w:asciiTheme="majorBidi" w:hAnsiTheme="majorBidi" w:cstheme="majorBidi"/>
                <w:szCs w:val="20"/>
                <w:lang w:val="en-US"/>
              </w:rPr>
              <w:t>” is widely used in clause 8 of 11mc draft.</w:t>
            </w:r>
          </w:p>
          <w:p w:rsidR="00412F43" w:rsidRPr="00820CAC" w:rsidRDefault="00412F43" w:rsidP="00237BFC">
            <w:pPr>
              <w:widowControl/>
              <w:jc w:val="left"/>
              <w:rPr>
                <w:rFonts w:asciiTheme="majorBidi" w:hAnsiTheme="majorBidi" w:cstheme="majorBidi"/>
                <w:szCs w:val="20"/>
                <w:lang w:val="en-US"/>
              </w:rPr>
            </w:pPr>
          </w:p>
        </w:tc>
      </w:tr>
    </w:tbl>
    <w:p w:rsidR="00412F43" w:rsidRDefault="00412F43" w:rsidP="005F1776">
      <w:pPr>
        <w:rPr>
          <w:lang w:val="en-US"/>
        </w:rPr>
      </w:pPr>
    </w:p>
    <w:sectPr w:rsidR="00412F43"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CB2" w:rsidRDefault="00F94CB2">
      <w:r>
        <w:separator/>
      </w:r>
    </w:p>
  </w:endnote>
  <w:endnote w:type="continuationSeparator" w:id="0">
    <w:p w:rsidR="00F94CB2" w:rsidRDefault="00F94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4417B6"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DC67A3">
      <w:rPr>
        <w:noProof/>
      </w:rPr>
      <w:t>3</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CB2" w:rsidRDefault="00F94CB2">
      <w:r>
        <w:separator/>
      </w:r>
    </w:p>
  </w:footnote>
  <w:footnote w:type="continuationSeparator" w:id="0">
    <w:p w:rsidR="00F94CB2" w:rsidRDefault="00F94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4417B6"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857286">
        <w:t>1601</w:t>
      </w:r>
      <w:r w:rsidR="0032795B">
        <w:t>r</w:t>
      </w:r>
    </w:fldSimple>
    <w:r w:rsidR="00DC67A3">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1 "/>
        <w:legacy w:legacy="1" w:legacySpace="0" w:legacyIndent="0"/>
        <w:lvlJc w:val="left"/>
        <w:pPr>
          <w:ind w:left="54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0290"/>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2D3F"/>
    <w:rsid w:val="00165B9E"/>
    <w:rsid w:val="00166B8A"/>
    <w:rsid w:val="00166BED"/>
    <w:rsid w:val="001718EA"/>
    <w:rsid w:val="00171F79"/>
    <w:rsid w:val="0017334C"/>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D9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7B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975A1"/>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D9"/>
    <w:rsid w:val="005E6337"/>
    <w:rsid w:val="005F0BB8"/>
    <w:rsid w:val="005F0BE9"/>
    <w:rsid w:val="005F16A5"/>
    <w:rsid w:val="005F1776"/>
    <w:rsid w:val="005F2760"/>
    <w:rsid w:val="005F2A35"/>
    <w:rsid w:val="005F3D71"/>
    <w:rsid w:val="005F6236"/>
    <w:rsid w:val="005F6E92"/>
    <w:rsid w:val="0060104A"/>
    <w:rsid w:val="0060140A"/>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2318"/>
    <w:rsid w:val="00685272"/>
    <w:rsid w:val="00690E9C"/>
    <w:rsid w:val="006949B8"/>
    <w:rsid w:val="0069582E"/>
    <w:rsid w:val="00696306"/>
    <w:rsid w:val="006967F4"/>
    <w:rsid w:val="006A3C96"/>
    <w:rsid w:val="006A6F1F"/>
    <w:rsid w:val="006B041A"/>
    <w:rsid w:val="006B34BB"/>
    <w:rsid w:val="006B3944"/>
    <w:rsid w:val="006B437A"/>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029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46A8"/>
    <w:rsid w:val="0084483B"/>
    <w:rsid w:val="00844869"/>
    <w:rsid w:val="00844887"/>
    <w:rsid w:val="008457BC"/>
    <w:rsid w:val="008504EE"/>
    <w:rsid w:val="008507C0"/>
    <w:rsid w:val="008521A1"/>
    <w:rsid w:val="008536B7"/>
    <w:rsid w:val="00853E67"/>
    <w:rsid w:val="0085577F"/>
    <w:rsid w:val="00857286"/>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8D"/>
    <w:rsid w:val="009A76EF"/>
    <w:rsid w:val="009B1A07"/>
    <w:rsid w:val="009B1BA8"/>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171B1"/>
    <w:rsid w:val="00A20138"/>
    <w:rsid w:val="00A2210C"/>
    <w:rsid w:val="00A2262E"/>
    <w:rsid w:val="00A23291"/>
    <w:rsid w:val="00A26C82"/>
    <w:rsid w:val="00A302A3"/>
    <w:rsid w:val="00A32CA0"/>
    <w:rsid w:val="00A33FF7"/>
    <w:rsid w:val="00A348A1"/>
    <w:rsid w:val="00A36E74"/>
    <w:rsid w:val="00A40B98"/>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5C3"/>
    <w:rsid w:val="00AE4B2C"/>
    <w:rsid w:val="00AE5F5F"/>
    <w:rsid w:val="00AE64F5"/>
    <w:rsid w:val="00AF00AF"/>
    <w:rsid w:val="00AF11BF"/>
    <w:rsid w:val="00AF643A"/>
    <w:rsid w:val="00B01EA4"/>
    <w:rsid w:val="00B0477B"/>
    <w:rsid w:val="00B048C3"/>
    <w:rsid w:val="00B054EA"/>
    <w:rsid w:val="00B0704D"/>
    <w:rsid w:val="00B07BD1"/>
    <w:rsid w:val="00B138F6"/>
    <w:rsid w:val="00B13FF6"/>
    <w:rsid w:val="00B1719E"/>
    <w:rsid w:val="00B2197C"/>
    <w:rsid w:val="00B21DBC"/>
    <w:rsid w:val="00B23CCC"/>
    <w:rsid w:val="00B25F3F"/>
    <w:rsid w:val="00B26E2C"/>
    <w:rsid w:val="00B31675"/>
    <w:rsid w:val="00B317A8"/>
    <w:rsid w:val="00B35E9E"/>
    <w:rsid w:val="00B37300"/>
    <w:rsid w:val="00B37EED"/>
    <w:rsid w:val="00B42124"/>
    <w:rsid w:val="00B42238"/>
    <w:rsid w:val="00B42E1C"/>
    <w:rsid w:val="00B431BE"/>
    <w:rsid w:val="00B43F75"/>
    <w:rsid w:val="00B442FD"/>
    <w:rsid w:val="00B44DEF"/>
    <w:rsid w:val="00B5158D"/>
    <w:rsid w:val="00B51C20"/>
    <w:rsid w:val="00B52A3C"/>
    <w:rsid w:val="00B54915"/>
    <w:rsid w:val="00B55E03"/>
    <w:rsid w:val="00B56C8D"/>
    <w:rsid w:val="00B56EFB"/>
    <w:rsid w:val="00B57F60"/>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7A3"/>
    <w:rsid w:val="00DC6858"/>
    <w:rsid w:val="00DC68DC"/>
    <w:rsid w:val="00DC6E01"/>
    <w:rsid w:val="00DD0FF2"/>
    <w:rsid w:val="00DD2214"/>
    <w:rsid w:val="00DD4557"/>
    <w:rsid w:val="00DD7BD5"/>
    <w:rsid w:val="00DD7C70"/>
    <w:rsid w:val="00DE0BF4"/>
    <w:rsid w:val="00DE46E0"/>
    <w:rsid w:val="00DE5798"/>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6FAE"/>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4576"/>
    <w:rsid w:val="00F85E66"/>
    <w:rsid w:val="00F93626"/>
    <w:rsid w:val="00F93C0E"/>
    <w:rsid w:val="00F94CB2"/>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2682-FFF0-4E4A-921A-2EA6DC9C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3783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2014-12-17T01:59:00Z</dcterms:created>
  <dcterms:modified xsi:type="dcterms:W3CDTF">2014-12-17T02:01:00Z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