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BE" w:rsidRDefault="001A36B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634"/>
        <w:gridCol w:w="1728"/>
      </w:tblGrid>
      <w:tr w:rsidR="001A36B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A36BE" w:rsidRDefault="001A36BE">
            <w:pPr>
              <w:pStyle w:val="T2"/>
            </w:pPr>
            <w:r>
              <w:t>LPD to EPD in 5.9GHz</w:t>
            </w:r>
          </w:p>
        </w:tc>
      </w:tr>
      <w:tr w:rsidR="001A36B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A36BE" w:rsidRPr="003C12A9" w:rsidRDefault="001A36BE" w:rsidP="003C12A9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2014-11-5</w:t>
            </w:r>
          </w:p>
        </w:tc>
      </w:tr>
      <w:tr w:rsidR="001A36B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A36BE" w:rsidRDefault="001A36B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A36BE" w:rsidTr="005449AC">
        <w:trPr>
          <w:jc w:val="center"/>
        </w:trPr>
        <w:tc>
          <w:tcPr>
            <w:tcW w:w="1336" w:type="dxa"/>
            <w:vAlign w:val="center"/>
          </w:tcPr>
          <w:p w:rsidR="001A36BE" w:rsidRDefault="001A36BE" w:rsidP="005449A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A36BE" w:rsidRDefault="001A36BE" w:rsidP="005449A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A36BE" w:rsidRDefault="001A36BE" w:rsidP="005449A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1A36BE" w:rsidRDefault="001A36BE" w:rsidP="005449A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1A36BE" w:rsidRDefault="001A36BE" w:rsidP="005449A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A36BE" w:rsidTr="005449AC">
        <w:trPr>
          <w:jc w:val="center"/>
        </w:trPr>
        <w:tc>
          <w:tcPr>
            <w:tcW w:w="1336" w:type="dxa"/>
            <w:vAlign w:val="center"/>
          </w:tcPr>
          <w:p w:rsidR="001A36BE" w:rsidRDefault="001A36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Dick Roy</w:t>
            </w:r>
          </w:p>
        </w:tc>
        <w:tc>
          <w:tcPr>
            <w:tcW w:w="2064" w:type="dxa"/>
            <w:vAlign w:val="center"/>
          </w:tcPr>
          <w:p w:rsidR="001A36BE" w:rsidRDefault="001A36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SRA</w:t>
            </w:r>
          </w:p>
        </w:tc>
        <w:tc>
          <w:tcPr>
            <w:tcW w:w="2814" w:type="dxa"/>
            <w:vAlign w:val="center"/>
          </w:tcPr>
          <w:p w:rsidR="001A36BE" w:rsidRDefault="001A36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1A36BE" w:rsidRDefault="001A36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+1-650-861-3351</w:t>
            </w:r>
          </w:p>
        </w:tc>
        <w:tc>
          <w:tcPr>
            <w:tcW w:w="1728" w:type="dxa"/>
            <w:vAlign w:val="center"/>
          </w:tcPr>
          <w:p w:rsidR="001A36BE" w:rsidRDefault="001A36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smartTag w:uri="urn:schemas-microsoft-com:office:smarttags" w:element="PersonName">
              <w:r>
                <w:rPr>
                  <w:b w:val="0"/>
                  <w:sz w:val="16"/>
                </w:rPr>
                <w:t>dickroy@alum.mit.edu</w:t>
              </w:r>
            </w:smartTag>
          </w:p>
        </w:tc>
      </w:tr>
      <w:tr w:rsidR="001A36BE" w:rsidTr="005449AC">
        <w:trPr>
          <w:jc w:val="center"/>
        </w:trPr>
        <w:tc>
          <w:tcPr>
            <w:tcW w:w="1336" w:type="dxa"/>
            <w:vAlign w:val="center"/>
          </w:tcPr>
          <w:p w:rsidR="001A36BE" w:rsidRDefault="001A36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1A36BE" w:rsidRDefault="001A36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1A36BE" w:rsidRDefault="001A36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1A36BE" w:rsidRDefault="001A36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1A36BE" w:rsidRDefault="001A36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1A36BE" w:rsidRDefault="001A36BE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1A36BE" w:rsidRDefault="001A36B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A36BE" w:rsidRPr="00C17DB1" w:rsidRDefault="001A36BE">
                  <w:pPr>
                    <w:jc w:val="both"/>
                  </w:pPr>
                  <w:r>
                    <w:t>This document proposes changes to Draft P802.11REV mc_D3.0 to affect a change from LPD to EPD in 5.9 GHz bands (see also 11-14/</w:t>
                  </w:r>
                  <w:r w:rsidRPr="00C17DB1">
                    <w:t>1521</w:t>
                  </w:r>
                  <w:r>
                    <w:t>r0).</w:t>
                  </w:r>
                </w:p>
              </w:txbxContent>
            </v:textbox>
          </v:shape>
        </w:pict>
      </w:r>
    </w:p>
    <w:p w:rsidR="001A36BE" w:rsidRDefault="001A36BE" w:rsidP="003C12A9"/>
    <w:p w:rsidR="001A36BE" w:rsidRDefault="001A36BE" w:rsidP="00E81781">
      <w:pPr>
        <w:pStyle w:val="Heading1"/>
      </w:pPr>
      <w:r>
        <w:br w:type="page"/>
      </w:r>
      <w:bookmarkStart w:id="0" w:name="_Toc276501870"/>
      <w:r>
        <w:t>Normative References</w:t>
      </w:r>
      <w:bookmarkEnd w:id="0"/>
    </w:p>
    <w:p w:rsidR="001A36BE" w:rsidRPr="00E81781" w:rsidRDefault="001A36BE" w:rsidP="00E81781"/>
    <w:p w:rsidR="001A36BE" w:rsidRDefault="001A36BE" w:rsidP="00E81781">
      <w:pPr>
        <w:rPr>
          <w:b/>
          <w:i/>
        </w:rPr>
      </w:pPr>
      <w:r w:rsidRPr="00CE545E">
        <w:rPr>
          <w:b/>
          <w:i/>
        </w:rPr>
        <w:t>Insert the following reference (maintaining alphabetic order):</w:t>
      </w:r>
    </w:p>
    <w:p w:rsidR="001A36BE" w:rsidRDefault="001A36BE" w:rsidP="00E81781">
      <w:pPr>
        <w:rPr>
          <w:b/>
          <w:i/>
        </w:rPr>
      </w:pPr>
    </w:p>
    <w:p w:rsidR="001A36BE" w:rsidRDefault="001A36BE" w:rsidP="00386708">
      <w:pPr>
        <w:rPr>
          <w:lang w:val="en-US"/>
        </w:rPr>
      </w:pPr>
      <w:r w:rsidRPr="00386708">
        <w:rPr>
          <w:lang w:val="en-US"/>
        </w:rPr>
        <w:t>IEEE Std 802</w:t>
      </w:r>
      <w:r>
        <w:rPr>
          <w:lang w:val="en-US"/>
        </w:rPr>
        <w:t>.3</w:t>
      </w:r>
      <w:r w:rsidRPr="00386708">
        <w:rPr>
          <w:lang w:val="en-US"/>
        </w:rPr>
        <w:t>®</w:t>
      </w:r>
      <w:r>
        <w:rPr>
          <w:lang w:val="en-US"/>
        </w:rPr>
        <w:t>-2012</w:t>
      </w:r>
      <w:r w:rsidRPr="00386708">
        <w:rPr>
          <w:lang w:val="en-US"/>
        </w:rPr>
        <w:t>, IEEE Standard</w:t>
      </w:r>
      <w:r>
        <w:rPr>
          <w:lang w:val="en-US"/>
        </w:rPr>
        <w:t xml:space="preserve"> for Ethernet</w:t>
      </w:r>
    </w:p>
    <w:p w:rsidR="001A36BE" w:rsidRDefault="001A36BE" w:rsidP="00386708">
      <w:pPr>
        <w:rPr>
          <w:lang w:val="en-US"/>
        </w:rPr>
      </w:pPr>
    </w:p>
    <w:p w:rsidR="001A36BE" w:rsidRPr="00386708" w:rsidRDefault="001A36BE" w:rsidP="00386708">
      <w:pPr>
        <w:rPr>
          <w:lang w:val="en-US"/>
        </w:rPr>
      </w:pPr>
      <w:r>
        <w:rPr>
          <w:b/>
          <w:i/>
        </w:rPr>
        <w:t>Change</w:t>
      </w:r>
      <w:r w:rsidRPr="00CE545E">
        <w:rPr>
          <w:b/>
          <w:i/>
        </w:rPr>
        <w:t xml:space="preserve"> the following reference</w:t>
      </w:r>
      <w:r>
        <w:rPr>
          <w:b/>
          <w:i/>
        </w:rPr>
        <w:t xml:space="preserve"> as shown:</w:t>
      </w:r>
    </w:p>
    <w:p w:rsidR="001A36BE" w:rsidRDefault="001A36BE" w:rsidP="00386708">
      <w:pPr>
        <w:rPr>
          <w:lang w:val="en-US"/>
        </w:rPr>
      </w:pPr>
    </w:p>
    <w:p w:rsidR="001A36BE" w:rsidRDefault="001A36BE" w:rsidP="00386708">
      <w:pPr>
        <w:rPr>
          <w:lang w:val="en-US"/>
        </w:rPr>
      </w:pPr>
      <w:r w:rsidRPr="00386708">
        <w:rPr>
          <w:lang w:val="en-US"/>
        </w:rPr>
        <w:t>IEEE Std 802®-20</w:t>
      </w:r>
      <w:r w:rsidRPr="00386708">
        <w:rPr>
          <w:u w:val="single"/>
          <w:lang w:val="en-US"/>
        </w:rPr>
        <w:t>14</w:t>
      </w:r>
      <w:r w:rsidRPr="00386708">
        <w:rPr>
          <w:strike/>
          <w:lang w:val="en-US"/>
        </w:rPr>
        <w:t>01</w:t>
      </w:r>
      <w:r w:rsidRPr="00386708">
        <w:rPr>
          <w:lang w:val="en-US"/>
        </w:rPr>
        <w:t>, IEEE Standards for Local and Metropolitan Area Networks: Overview and</w:t>
      </w:r>
      <w:r>
        <w:rPr>
          <w:lang w:val="en-US"/>
        </w:rPr>
        <w:t xml:space="preserve"> </w:t>
      </w:r>
      <w:r w:rsidRPr="00386708">
        <w:rPr>
          <w:lang w:val="en-US"/>
        </w:rPr>
        <w:t>Architecture</w:t>
      </w:r>
    </w:p>
    <w:p w:rsidR="001A36BE" w:rsidRDefault="001A36BE" w:rsidP="00E81781"/>
    <w:p w:rsidR="001A36BE" w:rsidRPr="00386708" w:rsidRDefault="001A36BE" w:rsidP="00504759">
      <w:pPr>
        <w:rPr>
          <w:lang w:val="en-US"/>
        </w:rPr>
      </w:pPr>
      <w:r>
        <w:rPr>
          <w:b/>
          <w:i/>
        </w:rPr>
        <w:t>and change</w:t>
      </w:r>
      <w:r w:rsidRPr="00CE545E">
        <w:rPr>
          <w:b/>
          <w:i/>
        </w:rPr>
        <w:t xml:space="preserve"> </w:t>
      </w:r>
      <w:r>
        <w:rPr>
          <w:b/>
          <w:i/>
        </w:rPr>
        <w:t xml:space="preserve">all occurrences of  </w:t>
      </w:r>
      <w:r w:rsidRPr="00504759">
        <w:t>“</w:t>
      </w:r>
      <w:r w:rsidRPr="00504759">
        <w:rPr>
          <w:lang w:val="en-US"/>
        </w:rPr>
        <w:t xml:space="preserve">IEEE Std 802-2001” </w:t>
      </w:r>
      <w:r w:rsidRPr="00504759">
        <w:rPr>
          <w:b/>
          <w:i/>
        </w:rPr>
        <w:t>to</w:t>
      </w:r>
      <w:r w:rsidRPr="00504759">
        <w:rPr>
          <w:lang w:val="en-US"/>
        </w:rPr>
        <w:t xml:space="preserve"> “IEEE Std 802-2014”.</w:t>
      </w:r>
    </w:p>
    <w:p w:rsidR="001A36BE" w:rsidRPr="00495A4A" w:rsidRDefault="001A36BE" w:rsidP="00E81781"/>
    <w:p w:rsidR="001A36BE" w:rsidRDefault="001A36BE" w:rsidP="009A0AD1">
      <w:pPr>
        <w:pStyle w:val="Heading1"/>
        <w:tabs>
          <w:tab w:val="clear" w:pos="0"/>
          <w:tab w:val="left" w:pos="1080"/>
        </w:tabs>
        <w:suppressAutoHyphens/>
        <w:spacing w:before="0" w:after="240" w:line="480" w:lineRule="auto"/>
      </w:pPr>
      <w:bookmarkStart w:id="1" w:name="_Toc256900515"/>
      <w:bookmarkStart w:id="2" w:name="_Toc276501871"/>
      <w:r w:rsidRPr="00C05808">
        <w:t>Definitions</w:t>
      </w:r>
      <w:r w:rsidRPr="003D29E1">
        <w:t>, acronyms, and abbreviations</w:t>
      </w:r>
      <w:bookmarkEnd w:id="1"/>
      <w:bookmarkEnd w:id="2"/>
    </w:p>
    <w:p w:rsidR="001A36BE" w:rsidRDefault="001A36BE" w:rsidP="00EB4027">
      <w:pPr>
        <w:pStyle w:val="Heading2"/>
        <w:tabs>
          <w:tab w:val="clear" w:pos="0"/>
          <w:tab w:val="left" w:pos="1080"/>
        </w:tabs>
        <w:suppressAutoHyphens/>
        <w:spacing w:before="240" w:after="240"/>
      </w:pPr>
      <w:bookmarkStart w:id="3" w:name="_Toc256900518"/>
      <w:bookmarkStart w:id="4" w:name="_Toc276501875"/>
      <w:r>
        <w:t>Abbreviations and acronyms</w:t>
      </w:r>
      <w:bookmarkEnd w:id="3"/>
      <w:bookmarkEnd w:id="4"/>
    </w:p>
    <w:p w:rsidR="001A36BE" w:rsidRDefault="001A36BE" w:rsidP="00EB4027">
      <w:pPr>
        <w:rPr>
          <w:b/>
          <w:i/>
          <w:color w:val="000000"/>
        </w:rPr>
      </w:pPr>
      <w:r w:rsidRPr="00B10352">
        <w:rPr>
          <w:b/>
          <w:i/>
          <w:color w:val="000000"/>
        </w:rPr>
        <w:t>Insert the following acronyms (maintaining alphabetical order):</w:t>
      </w:r>
    </w:p>
    <w:p w:rsidR="001A36BE" w:rsidRPr="00B10352" w:rsidRDefault="001A36BE" w:rsidP="00EB4027">
      <w:pPr>
        <w:rPr>
          <w:b/>
          <w:i/>
          <w:color w:val="000000"/>
        </w:rPr>
      </w:pPr>
    </w:p>
    <w:p w:rsidR="001A36BE" w:rsidRPr="00B10352" w:rsidRDefault="001A36BE" w:rsidP="00EB4027">
      <w:pPr>
        <w:rPr>
          <w:color w:val="000000"/>
        </w:rPr>
      </w:pPr>
      <w:r>
        <w:rPr>
          <w:color w:val="000000"/>
        </w:rPr>
        <w:t>EPD</w:t>
      </w:r>
      <w:r>
        <w:rPr>
          <w:color w:val="000000"/>
        </w:rPr>
        <w:tab/>
      </w:r>
      <w:r w:rsidRPr="00B10352">
        <w:rPr>
          <w:color w:val="000000"/>
        </w:rPr>
        <w:tab/>
      </w:r>
      <w:r>
        <w:rPr>
          <w:color w:val="000000"/>
        </w:rPr>
        <w:tab/>
      </w:r>
      <w:r w:rsidRPr="00B10352">
        <w:rPr>
          <w:color w:val="000000"/>
        </w:rPr>
        <w:t>EtherType Protocol Discrimination</w:t>
      </w:r>
      <w:r>
        <w:rPr>
          <w:color w:val="000000"/>
        </w:rPr>
        <w:t xml:space="preserve"> (IEEE Std 802-2014)</w:t>
      </w:r>
    </w:p>
    <w:p w:rsidR="001A36BE" w:rsidRDefault="001A36BE" w:rsidP="00EB4027">
      <w:r>
        <w:t>LPD</w:t>
      </w:r>
      <w:r>
        <w:tab/>
      </w:r>
      <w:r>
        <w:tab/>
      </w:r>
      <w:r>
        <w:tab/>
        <w:t>LLC Protocol Discrimination (IEEE Std 802-2014)</w:t>
      </w:r>
    </w:p>
    <w:p w:rsidR="001A36BE" w:rsidRPr="00F91D22" w:rsidRDefault="001A36BE" w:rsidP="00F91D22">
      <w:pPr>
        <w:pStyle w:val="EditorNote"/>
        <w:rPr>
          <w:b w:val="0"/>
          <w:i w:val="0"/>
          <w:color w:val="auto"/>
        </w:rPr>
      </w:pPr>
    </w:p>
    <w:p w:rsidR="001A36BE" w:rsidRDefault="001A36BE" w:rsidP="00E81781">
      <w:pPr>
        <w:pStyle w:val="Heading1"/>
        <w:numPr>
          <w:ilvl w:val="0"/>
          <w:numId w:val="4"/>
        </w:numPr>
      </w:pPr>
      <w:bookmarkStart w:id="5" w:name="_Toc256900585"/>
      <w:bookmarkStart w:id="6" w:name="_Toc264533598"/>
      <w:bookmarkStart w:id="7" w:name="_Toc272490406"/>
      <w:r>
        <w:t xml:space="preserve">MAC </w:t>
      </w:r>
      <w:r w:rsidRPr="00C05808">
        <w:t>service</w:t>
      </w:r>
      <w:r>
        <w:t xml:space="preserve"> definition</w:t>
      </w:r>
      <w:bookmarkEnd w:id="5"/>
      <w:bookmarkEnd w:id="6"/>
      <w:bookmarkEnd w:id="7"/>
    </w:p>
    <w:p w:rsidR="001A36BE" w:rsidRDefault="001A36BE" w:rsidP="00857C9C">
      <w:pPr>
        <w:pStyle w:val="Heading2"/>
        <w:numPr>
          <w:ilvl w:val="1"/>
          <w:numId w:val="3"/>
        </w:numPr>
      </w:pPr>
      <w:bookmarkStart w:id="8" w:name="_Toc272490407"/>
      <w:r>
        <w:t>Overview of MAC services</w:t>
      </w:r>
      <w:bookmarkEnd w:id="8"/>
    </w:p>
    <w:p w:rsidR="001A36BE" w:rsidRDefault="001A36BE" w:rsidP="00DF18F9">
      <w:pPr>
        <w:pStyle w:val="Heading3"/>
        <w:numPr>
          <w:ilvl w:val="2"/>
          <w:numId w:val="2"/>
        </w:numPr>
      </w:pPr>
      <w:bookmarkStart w:id="9" w:name="_Toc256900591"/>
      <w:bookmarkStart w:id="10" w:name="_Toc264533606"/>
      <w:bookmarkStart w:id="11" w:name="_Toc272490408"/>
      <w:r>
        <w:t xml:space="preserve"> MSDU format</w:t>
      </w:r>
      <w:bookmarkEnd w:id="9"/>
      <w:bookmarkEnd w:id="10"/>
      <w:bookmarkEnd w:id="11"/>
    </w:p>
    <w:p w:rsidR="001A36BE" w:rsidRPr="00CC148B" w:rsidRDefault="001A36BE" w:rsidP="00CC148B"/>
    <w:p w:rsidR="001A36BE" w:rsidRDefault="001A36BE" w:rsidP="00086DD8">
      <w:pPr>
        <w:rPr>
          <w:b/>
          <w:i/>
        </w:rPr>
      </w:pPr>
      <w:r>
        <w:rPr>
          <w:b/>
          <w:i/>
        </w:rPr>
        <w:t>Change the text of clause 5.1.4 as follows:</w:t>
      </w:r>
    </w:p>
    <w:p w:rsidR="001A36BE" w:rsidRPr="0094267B" w:rsidRDefault="001A36BE" w:rsidP="00086DD8">
      <w:pPr>
        <w:rPr>
          <w:b/>
          <w:i/>
        </w:rPr>
      </w:pPr>
    </w:p>
    <w:p w:rsidR="001A36BE" w:rsidRDefault="001A36BE" w:rsidP="00550CBF">
      <w:pPr>
        <w:rPr>
          <w:color w:val="000000"/>
          <w:u w:val="single"/>
        </w:rPr>
      </w:pPr>
      <w:r w:rsidRPr="00550CBF">
        <w:rPr>
          <w:strike/>
          <w:color w:val="000000"/>
          <w:lang w:val="en-US"/>
        </w:rPr>
        <w:t>This standard is part of the IEEE 802 family of LAN standards, and as such all MSDUs are LLC PDUs as defined in ISO/IEC 8802-2: 1998.</w:t>
      </w:r>
      <w:r w:rsidRPr="00550CBF">
        <w:rPr>
          <w:color w:val="000000"/>
          <w:lang w:val="en-US"/>
        </w:rPr>
        <w:t xml:space="preserve"> </w:t>
      </w:r>
      <w:r w:rsidRPr="00D755F9">
        <w:rPr>
          <w:color w:val="000000"/>
          <w:u w:val="single"/>
          <w:lang w:val="en-US"/>
        </w:rPr>
        <w:t>Logical Link Control (LLC) sublayer entities use the MAC su</w:t>
      </w:r>
      <w:r>
        <w:rPr>
          <w:color w:val="000000"/>
          <w:u w:val="single"/>
          <w:lang w:val="en-US"/>
        </w:rPr>
        <w:t xml:space="preserve">blayer service to exchange </w:t>
      </w:r>
      <w:r w:rsidRPr="00D755F9">
        <w:rPr>
          <w:color w:val="000000"/>
          <w:u w:val="single"/>
          <w:lang w:val="en-US"/>
        </w:rPr>
        <w:t xml:space="preserve">PDUs with peer LLC sublayer entities.  </w:t>
      </w:r>
      <w:r>
        <w:rPr>
          <w:color w:val="000000"/>
          <w:u w:val="single"/>
          <w:lang w:val="en-US"/>
        </w:rPr>
        <w:t>These</w:t>
      </w:r>
      <w:r w:rsidRPr="00D755F9">
        <w:rPr>
          <w:color w:val="000000"/>
          <w:u w:val="single"/>
          <w:lang w:val="en-US"/>
        </w:rPr>
        <w:t xml:space="preserve"> PDUs are termed MAC sublayer SDUs (MSDUs) when sent to the MAC sublayer. There are two LLC sublayer protocols used </w:t>
      </w:r>
      <w:r w:rsidRPr="00D755F9">
        <w:rPr>
          <w:color w:val="000000"/>
          <w:u w:val="single"/>
        </w:rPr>
        <w:t>(see IEEE Std 802-2014 (Overview and Architecture))</w:t>
      </w:r>
      <w:r w:rsidRPr="00D755F9">
        <w:rPr>
          <w:color w:val="000000"/>
          <w:u w:val="single"/>
          <w:lang w:val="en-US"/>
        </w:rPr>
        <w:t xml:space="preserve">; LLC Protocol Discrimination (LPD) (see ISO/IEC 8802-2:1998) and EtherType Protocol Discrimination (EPD) (see IEEE Std </w:t>
      </w:r>
      <w:r>
        <w:rPr>
          <w:color w:val="000000"/>
          <w:u w:val="single"/>
          <w:lang w:val="en-US"/>
        </w:rPr>
        <w:t>802.3-2012</w:t>
      </w:r>
      <w:r w:rsidRPr="00D755F9">
        <w:rPr>
          <w:color w:val="000000"/>
          <w:u w:val="single"/>
          <w:lang w:val="en-US"/>
        </w:rPr>
        <w:t>)</w:t>
      </w:r>
      <w:r w:rsidRPr="00D755F9">
        <w:rPr>
          <w:color w:val="000000"/>
          <w:u w:val="single"/>
        </w:rPr>
        <w:t xml:space="preserve">.  </w:t>
      </w:r>
      <w:r>
        <w:rPr>
          <w:color w:val="000000"/>
          <w:u w:val="single"/>
        </w:rPr>
        <w:t xml:space="preserve">LPD is used for </w:t>
      </w:r>
      <w:r w:rsidRPr="00D755F9">
        <w:rPr>
          <w:color w:val="000000"/>
          <w:u w:val="single"/>
        </w:rPr>
        <w:t>transmissi</w:t>
      </w:r>
      <w:r>
        <w:rPr>
          <w:color w:val="000000"/>
          <w:u w:val="single"/>
        </w:rPr>
        <w:t>on</w:t>
      </w:r>
      <w:r w:rsidRPr="00D755F9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of all IEEE Std 802.11 MSDUs </w:t>
      </w:r>
      <w:r w:rsidRPr="00D755F9">
        <w:rPr>
          <w:color w:val="000000"/>
          <w:u w:val="single"/>
        </w:rPr>
        <w:t>with the exception of the 5.9 GHz bands where EPD is used (see Annex E.2.3 and Annex E.2.4).</w:t>
      </w:r>
      <w:r w:rsidRPr="00550CBF">
        <w:rPr>
          <w:color w:val="000000"/>
          <w:u w:val="single"/>
        </w:rPr>
        <w:t xml:space="preserve">  </w:t>
      </w:r>
    </w:p>
    <w:p w:rsidR="001A36BE" w:rsidRDefault="001A36BE" w:rsidP="00550CBF">
      <w:pPr>
        <w:rPr>
          <w:color w:val="000000"/>
          <w:u w:val="single"/>
        </w:rPr>
      </w:pPr>
    </w:p>
    <w:p w:rsidR="001A36BE" w:rsidRDefault="001A36BE" w:rsidP="00550CBF">
      <w:pPr>
        <w:rPr>
          <w:color w:val="000000"/>
        </w:rPr>
      </w:pPr>
      <w:r w:rsidRPr="00550CBF">
        <w:rPr>
          <w:color w:val="000000"/>
          <w:u w:val="single"/>
        </w:rPr>
        <w:t>When LPD is used, i</w:t>
      </w:r>
      <w:r w:rsidRPr="00550CBF">
        <w:rPr>
          <w:color w:val="000000"/>
          <w:lang w:val="en-US"/>
        </w:rPr>
        <w:t>n order to achieve interoperability, implementers are recommended to</w:t>
      </w:r>
      <w:r>
        <w:rPr>
          <w:color w:val="000000"/>
          <w:lang w:val="en-US"/>
        </w:rPr>
        <w:t xml:space="preserve"> </w:t>
      </w:r>
      <w:r w:rsidRPr="00550CBF">
        <w:rPr>
          <w:color w:val="000000"/>
          <w:lang w:val="en-US"/>
        </w:rPr>
        <w:t>apply the procedures described in ISO/IEC Technical Report 11802-5:1997(E) (previously known as IEEE</w:t>
      </w:r>
      <w:r w:rsidRPr="00550CBF">
        <w:rPr>
          <w:color w:val="000000"/>
        </w:rPr>
        <w:t xml:space="preserve"> </w:t>
      </w:r>
      <w:r w:rsidRPr="00550CBF">
        <w:rPr>
          <w:color w:val="000000"/>
          <w:lang w:val="en-US"/>
        </w:rPr>
        <w:t>Std 802.1H-1997 [B21]), along with a selective translation table (STT) that handles a few specific network</w:t>
      </w:r>
      <w:r>
        <w:rPr>
          <w:color w:val="000000"/>
          <w:lang w:val="en-US"/>
        </w:rPr>
        <w:t xml:space="preserve"> </w:t>
      </w:r>
      <w:r w:rsidRPr="00550CBF">
        <w:rPr>
          <w:color w:val="000000"/>
          <w:lang w:val="en-US"/>
        </w:rPr>
        <w:t>protocols, with specific attention to the operations required when passing MSDUs to or from LANs or</w:t>
      </w:r>
      <w:r>
        <w:rPr>
          <w:color w:val="000000"/>
          <w:lang w:val="en-US"/>
        </w:rPr>
        <w:t xml:space="preserve"> </w:t>
      </w:r>
      <w:r w:rsidRPr="00550CBF">
        <w:rPr>
          <w:color w:val="000000"/>
          <w:lang w:val="en-US"/>
        </w:rPr>
        <w:t>operating system components that use the Ethernet frame format</w:t>
      </w:r>
      <w:r>
        <w:rPr>
          <w:color w:val="000000"/>
          <w:lang w:val="en-US"/>
        </w:rPr>
        <w:t xml:space="preserve"> </w:t>
      </w:r>
      <w:r w:rsidRPr="00FE109E">
        <w:rPr>
          <w:color w:val="000000"/>
          <w:u w:val="single"/>
          <w:lang w:val="en-US"/>
        </w:rPr>
        <w:t>(EPD)</w:t>
      </w:r>
      <w:r w:rsidRPr="00550CBF">
        <w:rPr>
          <w:color w:val="000000"/>
          <w:lang w:val="en-US"/>
        </w:rPr>
        <w:t>. Note that such translations might be</w:t>
      </w:r>
      <w:r>
        <w:rPr>
          <w:color w:val="000000"/>
          <w:lang w:val="en-US"/>
        </w:rPr>
        <w:t xml:space="preserve"> </w:t>
      </w:r>
      <w:r w:rsidRPr="00550CBF">
        <w:rPr>
          <w:color w:val="000000"/>
          <w:lang w:val="en-US"/>
        </w:rPr>
        <w:t>required in a STA.</w:t>
      </w:r>
    </w:p>
    <w:p w:rsidR="001A36BE" w:rsidRDefault="001A36BE" w:rsidP="00CC148B">
      <w:pPr>
        <w:widowControl w:val="0"/>
        <w:autoSpaceDE w:val="0"/>
        <w:autoSpaceDN w:val="0"/>
        <w:adjustRightInd w:val="0"/>
        <w:rPr>
          <w:color w:val="000000"/>
        </w:rPr>
      </w:pPr>
    </w:p>
    <w:p w:rsidR="001A36BE" w:rsidRDefault="001A36BE" w:rsidP="001405C2">
      <w:pPr>
        <w:rPr>
          <w:b/>
          <w:i/>
        </w:rPr>
      </w:pPr>
    </w:p>
    <w:p w:rsidR="001A36BE" w:rsidRDefault="001A36BE" w:rsidP="001405C2">
      <w:pPr>
        <w:rPr>
          <w:b/>
          <w:i/>
        </w:rPr>
      </w:pPr>
      <w:r>
        <w:rPr>
          <w:b/>
          <w:i/>
        </w:rPr>
        <w:t xml:space="preserve">Change the text in the LLC sublayer boxes in Figures 5.1 and 5.2 from “LLC/SNAP” to </w:t>
      </w:r>
    </w:p>
    <w:p w:rsidR="001A36BE" w:rsidRDefault="001A36BE" w:rsidP="001405C2">
      <w:pPr>
        <w:rPr>
          <w:b/>
          <w:i/>
        </w:rPr>
      </w:pPr>
      <w:r>
        <w:rPr>
          <w:b/>
          <w:i/>
        </w:rPr>
        <w:t>“LPD / EPD”. There are 4 such changes.</w:t>
      </w:r>
    </w:p>
    <w:p w:rsidR="001A36BE" w:rsidRDefault="001A36BE" w:rsidP="001405C2">
      <w:pPr>
        <w:rPr>
          <w:b/>
          <w:i/>
        </w:rPr>
      </w:pPr>
    </w:p>
    <w:p w:rsidR="001A36BE" w:rsidRDefault="001A36BE" w:rsidP="001405C2">
      <w:pPr>
        <w:rPr>
          <w:b/>
          <w:bCs/>
          <w:lang w:val="en-US"/>
        </w:rPr>
      </w:pPr>
      <w:r>
        <w:rPr>
          <w:b/>
          <w:i/>
        </w:rPr>
        <w:t>Change the text of Annexes E.2.3 and E.2.4 as follows:</w:t>
      </w:r>
    </w:p>
    <w:p w:rsidR="001A36BE" w:rsidRDefault="001A36BE" w:rsidP="001405C2">
      <w:pPr>
        <w:rPr>
          <w:b/>
          <w:bCs/>
          <w:lang w:val="en-US"/>
        </w:rPr>
      </w:pPr>
    </w:p>
    <w:p w:rsidR="001A36BE" w:rsidRDefault="001A36BE" w:rsidP="001405C2">
      <w:pPr>
        <w:rPr>
          <w:b/>
          <w:bCs/>
          <w:lang w:val="en-US"/>
        </w:rPr>
      </w:pPr>
      <w:r w:rsidRPr="001405C2">
        <w:rPr>
          <w:b/>
          <w:bCs/>
          <w:lang w:val="en-US"/>
        </w:rPr>
        <w:t xml:space="preserve">E.2.3 5.9 GHz band in the </w:t>
      </w:r>
      <w:smartTag w:uri="urn:schemas-microsoft-com:office:smarttags" w:element="country-region">
        <w:smartTag w:uri="urn:schemas-microsoft-com:office:smarttags" w:element="place">
          <w:r w:rsidRPr="001405C2">
            <w:rPr>
              <w:b/>
              <w:bCs/>
              <w:lang w:val="en-US"/>
            </w:rPr>
            <w:t>United States</w:t>
          </w:r>
        </w:smartTag>
      </w:smartTag>
      <w:r w:rsidRPr="001405C2">
        <w:rPr>
          <w:b/>
          <w:bCs/>
          <w:lang w:val="en-US"/>
        </w:rPr>
        <w:t xml:space="preserve"> (5.850–5.925 GHz)</w:t>
      </w:r>
    </w:p>
    <w:p w:rsidR="001A36BE" w:rsidRPr="001405C2" w:rsidRDefault="001A36BE" w:rsidP="001405C2">
      <w:pPr>
        <w:rPr>
          <w:b/>
          <w:bCs/>
          <w:lang w:val="en-US"/>
        </w:rPr>
      </w:pPr>
    </w:p>
    <w:p w:rsidR="001A36BE" w:rsidRPr="001405C2" w:rsidRDefault="001A36BE" w:rsidP="001405C2">
      <w:pPr>
        <w:rPr>
          <w:lang w:val="en-US"/>
        </w:rPr>
      </w:pPr>
      <w:r w:rsidRPr="001405C2">
        <w:rPr>
          <w:lang w:val="en-US"/>
        </w:rPr>
        <w:t>STAs operating under the behavior limits set 17 in Table D-2 (Behavior limits sets) are required to be</w:t>
      </w:r>
      <w:r>
        <w:rPr>
          <w:lang w:val="en-US"/>
        </w:rPr>
        <w:t xml:space="preserve"> </w:t>
      </w:r>
      <w:r w:rsidRPr="001405C2">
        <w:rPr>
          <w:lang w:val="en-US"/>
        </w:rPr>
        <w:t>registered with the FCC ULS. The registration includes the following:</w:t>
      </w:r>
    </w:p>
    <w:p w:rsidR="001A36BE" w:rsidRPr="001405C2" w:rsidRDefault="001A36BE" w:rsidP="001405C2">
      <w:pPr>
        <w:rPr>
          <w:lang w:val="en-US"/>
        </w:rPr>
      </w:pPr>
      <w:r w:rsidRPr="001405C2">
        <w:rPr>
          <w:lang w:val="en-US"/>
        </w:rPr>
        <w:t>— Classification by coverage size, which is defined by EIRP, and</w:t>
      </w:r>
    </w:p>
    <w:p w:rsidR="001A36BE" w:rsidRPr="001405C2" w:rsidRDefault="001A36BE" w:rsidP="001405C2">
      <w:pPr>
        <w:rPr>
          <w:lang w:val="en-US"/>
        </w:rPr>
      </w:pPr>
      <w:r w:rsidRPr="001405C2">
        <w:rPr>
          <w:lang w:val="en-US"/>
        </w:rPr>
        <w:t>— Identification of channels the STA is permitted to use.</w:t>
      </w:r>
    </w:p>
    <w:p w:rsidR="001A36BE" w:rsidRPr="001405C2" w:rsidRDefault="001A36BE" w:rsidP="001405C2">
      <w:pPr>
        <w:rPr>
          <w:lang w:val="en-US"/>
        </w:rPr>
      </w:pPr>
      <w:r w:rsidRPr="001405C2">
        <w:rPr>
          <w:lang w:val="en-US"/>
        </w:rPr>
        <w:t>A STA shall be classified for operation in this band by their maximum transmit power capability, as listed in</w:t>
      </w:r>
      <w:r>
        <w:rPr>
          <w:lang w:val="en-US"/>
        </w:rPr>
        <w:t xml:space="preserve"> </w:t>
      </w:r>
      <w:r w:rsidRPr="001405C2">
        <w:rPr>
          <w:lang w:val="en-US"/>
        </w:rPr>
        <w:t>Table D-3 (Maximum STA transmit power classification for the 5.85–5.925 GHz band in the United States)</w:t>
      </w:r>
      <w:r>
        <w:rPr>
          <w:lang w:val="en-US"/>
        </w:rPr>
        <w:t xml:space="preserve"> </w:t>
      </w:r>
      <w:r w:rsidRPr="001405C2">
        <w:rPr>
          <w:lang w:val="en-US"/>
        </w:rPr>
        <w:t>in D.2.2 (Transmit power levels). A STA shall be compliant with the spectral emission requirements for</w:t>
      </w:r>
      <w:r>
        <w:rPr>
          <w:lang w:val="en-US"/>
        </w:rPr>
        <w:t xml:space="preserve"> </w:t>
      </w:r>
      <w:r w:rsidRPr="001405C2">
        <w:rPr>
          <w:lang w:val="en-US"/>
        </w:rPr>
        <w:t>their class listed in D.2.3 (Transmit spectrum mask).</w:t>
      </w:r>
    </w:p>
    <w:p w:rsidR="001A36BE" w:rsidRDefault="001A36BE" w:rsidP="001405C2">
      <w:pPr>
        <w:rPr>
          <w:lang w:val="en-US"/>
        </w:rPr>
      </w:pPr>
    </w:p>
    <w:p w:rsidR="001A36BE" w:rsidRDefault="001A36BE" w:rsidP="001405C2">
      <w:pPr>
        <w:rPr>
          <w:lang w:val="en-US"/>
        </w:rPr>
      </w:pPr>
      <w:r w:rsidRPr="001405C2">
        <w:rPr>
          <w:lang w:val="en-US"/>
        </w:rPr>
        <w:t>A STA shall have dot11OCBActivated set to true.</w:t>
      </w:r>
    </w:p>
    <w:p w:rsidR="001A36BE" w:rsidRDefault="001A36BE" w:rsidP="001405C2">
      <w:pPr>
        <w:rPr>
          <w:lang w:val="en-US"/>
        </w:rPr>
      </w:pPr>
    </w:p>
    <w:p w:rsidR="001A36BE" w:rsidRPr="00B116A8" w:rsidRDefault="001A36BE" w:rsidP="001405C2">
      <w:pPr>
        <w:rPr>
          <w:u w:val="single"/>
          <w:lang w:val="en-US"/>
        </w:rPr>
      </w:pPr>
      <w:r>
        <w:rPr>
          <w:u w:val="single"/>
        </w:rPr>
        <w:t xml:space="preserve">EPD </w:t>
      </w:r>
      <w:r w:rsidRPr="00B116A8">
        <w:rPr>
          <w:u w:val="single"/>
        </w:rPr>
        <w:t xml:space="preserve">as defined in IEEE Std 802-2014 (Overview and Architecture) </w:t>
      </w:r>
      <w:r>
        <w:rPr>
          <w:u w:val="single"/>
        </w:rPr>
        <w:t xml:space="preserve">shall be used </w:t>
      </w:r>
      <w:r w:rsidRPr="00B116A8">
        <w:rPr>
          <w:u w:val="single"/>
        </w:rPr>
        <w:t xml:space="preserve">for </w:t>
      </w:r>
      <w:r>
        <w:rPr>
          <w:u w:val="single"/>
        </w:rPr>
        <w:t>t</w:t>
      </w:r>
      <w:r w:rsidRPr="00B116A8">
        <w:rPr>
          <w:u w:val="single"/>
        </w:rPr>
        <w:t>ransmission</w:t>
      </w:r>
      <w:r>
        <w:rPr>
          <w:u w:val="single"/>
        </w:rPr>
        <w:t xml:space="preserve"> of all MSDU</w:t>
      </w:r>
      <w:r w:rsidRPr="00B116A8">
        <w:rPr>
          <w:u w:val="single"/>
        </w:rPr>
        <w:t>s.</w:t>
      </w:r>
    </w:p>
    <w:p w:rsidR="001A36BE" w:rsidRDefault="001A36BE" w:rsidP="001405C2">
      <w:pPr>
        <w:rPr>
          <w:lang w:val="en-US"/>
        </w:rPr>
      </w:pPr>
    </w:p>
    <w:p w:rsidR="001A36BE" w:rsidRDefault="001A36BE" w:rsidP="001405C2">
      <w:pPr>
        <w:rPr>
          <w:b/>
          <w:bCs/>
          <w:lang w:val="en-US"/>
        </w:rPr>
      </w:pPr>
    </w:p>
    <w:p w:rsidR="001A36BE" w:rsidRPr="001405C2" w:rsidRDefault="001A36BE" w:rsidP="001405C2">
      <w:pPr>
        <w:rPr>
          <w:b/>
          <w:bCs/>
          <w:lang w:val="en-US"/>
        </w:rPr>
      </w:pPr>
      <w:r w:rsidRPr="001405C2">
        <w:rPr>
          <w:b/>
          <w:bCs/>
          <w:lang w:val="en-US"/>
        </w:rPr>
        <w:t xml:space="preserve">E.2.4 5.9 GHz band in </w:t>
      </w:r>
      <w:smartTag w:uri="urn:schemas-microsoft-com:office:smarttags" w:element="place">
        <w:r w:rsidRPr="001405C2">
          <w:rPr>
            <w:b/>
            <w:bCs/>
            <w:lang w:val="en-US"/>
          </w:rPr>
          <w:t>Europe</w:t>
        </w:r>
      </w:smartTag>
      <w:r w:rsidRPr="001405C2">
        <w:rPr>
          <w:b/>
          <w:bCs/>
          <w:lang w:val="en-US"/>
        </w:rPr>
        <w:t xml:space="preserve"> (5.855–5.925 GHz)</w:t>
      </w:r>
    </w:p>
    <w:p w:rsidR="001A36BE" w:rsidRDefault="001A36BE" w:rsidP="001405C2">
      <w:pPr>
        <w:rPr>
          <w:lang w:val="en-US"/>
        </w:rPr>
      </w:pPr>
      <w:r w:rsidRPr="001405C2">
        <w:rPr>
          <w:lang w:val="en-US"/>
        </w:rPr>
        <w:t>A STA shall have dot11OCBActivated set to true.</w:t>
      </w:r>
    </w:p>
    <w:p w:rsidR="001A36BE" w:rsidRDefault="001A36BE" w:rsidP="001405C2">
      <w:pPr>
        <w:rPr>
          <w:lang w:val="en-US"/>
        </w:rPr>
      </w:pPr>
    </w:p>
    <w:p w:rsidR="001A36BE" w:rsidRPr="00B116A8" w:rsidRDefault="001A36BE" w:rsidP="00B1209B">
      <w:pPr>
        <w:rPr>
          <w:u w:val="single"/>
          <w:lang w:val="en-US"/>
        </w:rPr>
      </w:pPr>
      <w:r>
        <w:rPr>
          <w:u w:val="single"/>
        </w:rPr>
        <w:t xml:space="preserve">EPD </w:t>
      </w:r>
      <w:r w:rsidRPr="00B116A8">
        <w:rPr>
          <w:u w:val="single"/>
        </w:rPr>
        <w:t xml:space="preserve">as defined in IEEE Std 802-2014 (Overview and Architecture) </w:t>
      </w:r>
      <w:r>
        <w:rPr>
          <w:u w:val="single"/>
        </w:rPr>
        <w:t xml:space="preserve">shall be used </w:t>
      </w:r>
      <w:r w:rsidRPr="00B116A8">
        <w:rPr>
          <w:u w:val="single"/>
        </w:rPr>
        <w:t xml:space="preserve">for </w:t>
      </w:r>
      <w:r>
        <w:rPr>
          <w:u w:val="single"/>
        </w:rPr>
        <w:t>t</w:t>
      </w:r>
      <w:r w:rsidRPr="00B116A8">
        <w:rPr>
          <w:u w:val="single"/>
        </w:rPr>
        <w:t>ransmission</w:t>
      </w:r>
      <w:r>
        <w:rPr>
          <w:u w:val="single"/>
        </w:rPr>
        <w:t xml:space="preserve"> of all MSDU</w:t>
      </w:r>
      <w:r w:rsidRPr="00B116A8">
        <w:rPr>
          <w:u w:val="single"/>
        </w:rPr>
        <w:t>s.</w:t>
      </w:r>
    </w:p>
    <w:p w:rsidR="001A36BE" w:rsidRPr="007C0E24" w:rsidRDefault="001A36BE" w:rsidP="001405C2"/>
    <w:sectPr w:rsidR="001A36BE" w:rsidRPr="007C0E24" w:rsidSect="00E0039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6BE" w:rsidRDefault="001A36BE">
      <w:r>
        <w:separator/>
      </w:r>
    </w:p>
  </w:endnote>
  <w:endnote w:type="continuationSeparator" w:id="0">
    <w:p w:rsidR="001A36BE" w:rsidRDefault="001A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BE" w:rsidRDefault="001A36B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>
        <w:rPr>
          <w:noProof/>
        </w:rPr>
        <w:t>1</w:t>
      </w:r>
    </w:fldSimple>
    <w:r>
      <w:tab/>
    </w:r>
    <w:fldSimple w:instr=" AUTHOR ">
      <w:r>
        <w:rPr>
          <w:noProof/>
        </w:rPr>
        <w:t>Dick Roy (SRA)</w:t>
      </w:r>
    </w:fldSimple>
    <w:r>
      <w:tab/>
      <w:t xml:space="preserve">Page </w:t>
    </w:r>
    <w:fldSimple w:instr=" PAGE ">
      <w:r>
        <w:rPr>
          <w:noProof/>
        </w:rPr>
        <w:t>1</w:t>
      </w:r>
    </w:fldSimple>
    <w:r>
      <w:tab/>
    </w:r>
    <w:fldSimple w:instr=" DATE \@ &quot;dd/MM/yyyy&quot; ">
      <w:r>
        <w:rPr>
          <w:noProof/>
        </w:rPr>
        <w:t>06/11/2014</w:t>
      </w:r>
    </w:fldSimple>
    <w:r>
      <w:fldChar w:fldCharType="begin"/>
    </w:r>
    <w:r>
      <w:instrText xml:space="preserve"> COMMENTS  \* MERGEFORMAT </w:instrText>
    </w:r>
    <w:r>
      <w:fldChar w:fldCharType="end"/>
    </w:r>
  </w:p>
  <w:p w:rsidR="001A36BE" w:rsidRDefault="001A36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6BE" w:rsidRDefault="001A36BE">
      <w:r>
        <w:separator/>
      </w:r>
    </w:p>
  </w:footnote>
  <w:footnote w:type="continuationSeparator" w:id="0">
    <w:p w:rsidR="001A36BE" w:rsidRDefault="001A3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BE" w:rsidRDefault="001A36B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November 2014</w:t>
      </w:r>
    </w:fldSimple>
    <w:r>
      <w:tab/>
    </w:r>
    <w:r>
      <w:tab/>
    </w:r>
    <w:fldSimple w:instr=" TITLE  \* MERGEFORMAT ">
      <w:r>
        <w:t>doc.: IEEE 802.11-14/1522r2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E7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5DF6A87"/>
    <w:multiLevelType w:val="multilevel"/>
    <w:tmpl w:val="767A9188"/>
    <w:lvl w:ilvl="0">
      <w:start w:val="2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4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2A9"/>
    <w:rsid w:val="0001757E"/>
    <w:rsid w:val="00024946"/>
    <w:rsid w:val="000257AF"/>
    <w:rsid w:val="00034945"/>
    <w:rsid w:val="000412E1"/>
    <w:rsid w:val="00053949"/>
    <w:rsid w:val="00056E3F"/>
    <w:rsid w:val="000641E0"/>
    <w:rsid w:val="00064213"/>
    <w:rsid w:val="00073EB6"/>
    <w:rsid w:val="00086DD8"/>
    <w:rsid w:val="000B47B6"/>
    <w:rsid w:val="000C4F1A"/>
    <w:rsid w:val="000D22B1"/>
    <w:rsid w:val="000D6311"/>
    <w:rsid w:val="001104F4"/>
    <w:rsid w:val="0011493D"/>
    <w:rsid w:val="001405C2"/>
    <w:rsid w:val="00141705"/>
    <w:rsid w:val="00146892"/>
    <w:rsid w:val="00186C2A"/>
    <w:rsid w:val="001A1790"/>
    <w:rsid w:val="001A36BE"/>
    <w:rsid w:val="001D723B"/>
    <w:rsid w:val="001F3683"/>
    <w:rsid w:val="00212EE0"/>
    <w:rsid w:val="0022723B"/>
    <w:rsid w:val="002477A9"/>
    <w:rsid w:val="002523F7"/>
    <w:rsid w:val="0029020B"/>
    <w:rsid w:val="00295C19"/>
    <w:rsid w:val="002B0ADE"/>
    <w:rsid w:val="002D44BE"/>
    <w:rsid w:val="002D4DE9"/>
    <w:rsid w:val="002D6D0F"/>
    <w:rsid w:val="002D754C"/>
    <w:rsid w:val="002D7628"/>
    <w:rsid w:val="002E42AC"/>
    <w:rsid w:val="002F7565"/>
    <w:rsid w:val="00327317"/>
    <w:rsid w:val="0033352C"/>
    <w:rsid w:val="00333955"/>
    <w:rsid w:val="0033604A"/>
    <w:rsid w:val="00354689"/>
    <w:rsid w:val="003605FB"/>
    <w:rsid w:val="00372BB2"/>
    <w:rsid w:val="003763CD"/>
    <w:rsid w:val="00382245"/>
    <w:rsid w:val="00386708"/>
    <w:rsid w:val="00386AD3"/>
    <w:rsid w:val="00386BE7"/>
    <w:rsid w:val="003B0E4C"/>
    <w:rsid w:val="003B19DA"/>
    <w:rsid w:val="003B41C4"/>
    <w:rsid w:val="003C12A9"/>
    <w:rsid w:val="003D29E1"/>
    <w:rsid w:val="003F264E"/>
    <w:rsid w:val="00405F39"/>
    <w:rsid w:val="00423A8D"/>
    <w:rsid w:val="00425E17"/>
    <w:rsid w:val="00442037"/>
    <w:rsid w:val="00465E9C"/>
    <w:rsid w:val="00473F04"/>
    <w:rsid w:val="004919D9"/>
    <w:rsid w:val="00495A4A"/>
    <w:rsid w:val="004A0FBB"/>
    <w:rsid w:val="004B2989"/>
    <w:rsid w:val="004C3151"/>
    <w:rsid w:val="004C5FD4"/>
    <w:rsid w:val="004D0FD9"/>
    <w:rsid w:val="004E054A"/>
    <w:rsid w:val="004E624E"/>
    <w:rsid w:val="00504759"/>
    <w:rsid w:val="005050EF"/>
    <w:rsid w:val="00506752"/>
    <w:rsid w:val="00515B64"/>
    <w:rsid w:val="005178D6"/>
    <w:rsid w:val="00524BED"/>
    <w:rsid w:val="00532474"/>
    <w:rsid w:val="005449AC"/>
    <w:rsid w:val="0054584E"/>
    <w:rsid w:val="00550CBF"/>
    <w:rsid w:val="00550FB5"/>
    <w:rsid w:val="005957C8"/>
    <w:rsid w:val="005C05F3"/>
    <w:rsid w:val="005C1503"/>
    <w:rsid w:val="00605E8A"/>
    <w:rsid w:val="0061206A"/>
    <w:rsid w:val="00621F4E"/>
    <w:rsid w:val="006231D6"/>
    <w:rsid w:val="0062418A"/>
    <w:rsid w:val="0062440B"/>
    <w:rsid w:val="006258D3"/>
    <w:rsid w:val="00625C36"/>
    <w:rsid w:val="00634B68"/>
    <w:rsid w:val="00657B61"/>
    <w:rsid w:val="00664422"/>
    <w:rsid w:val="00680F75"/>
    <w:rsid w:val="00693597"/>
    <w:rsid w:val="006A2559"/>
    <w:rsid w:val="006C0727"/>
    <w:rsid w:val="006D283C"/>
    <w:rsid w:val="006E05CB"/>
    <w:rsid w:val="006E0BD3"/>
    <w:rsid w:val="006E145F"/>
    <w:rsid w:val="006E281F"/>
    <w:rsid w:val="00703622"/>
    <w:rsid w:val="0070724C"/>
    <w:rsid w:val="00733815"/>
    <w:rsid w:val="00740C99"/>
    <w:rsid w:val="007468D2"/>
    <w:rsid w:val="00746C24"/>
    <w:rsid w:val="00760632"/>
    <w:rsid w:val="00760CEA"/>
    <w:rsid w:val="0076206D"/>
    <w:rsid w:val="00770572"/>
    <w:rsid w:val="00794B6B"/>
    <w:rsid w:val="00796B2E"/>
    <w:rsid w:val="00797094"/>
    <w:rsid w:val="007A25FE"/>
    <w:rsid w:val="007B26B3"/>
    <w:rsid w:val="007C0E24"/>
    <w:rsid w:val="007D3766"/>
    <w:rsid w:val="00803F8F"/>
    <w:rsid w:val="00805587"/>
    <w:rsid w:val="00805B9C"/>
    <w:rsid w:val="0081077D"/>
    <w:rsid w:val="008233C1"/>
    <w:rsid w:val="00843D0E"/>
    <w:rsid w:val="00856C13"/>
    <w:rsid w:val="00857C9C"/>
    <w:rsid w:val="00872AE6"/>
    <w:rsid w:val="00884CC0"/>
    <w:rsid w:val="0088643C"/>
    <w:rsid w:val="008A7AB3"/>
    <w:rsid w:val="008B5360"/>
    <w:rsid w:val="008C15B5"/>
    <w:rsid w:val="008D025A"/>
    <w:rsid w:val="008D0974"/>
    <w:rsid w:val="008E2431"/>
    <w:rsid w:val="008E7CDA"/>
    <w:rsid w:val="00901714"/>
    <w:rsid w:val="00917820"/>
    <w:rsid w:val="0093486C"/>
    <w:rsid w:val="0094267B"/>
    <w:rsid w:val="00971797"/>
    <w:rsid w:val="00972F8E"/>
    <w:rsid w:val="009A0AD1"/>
    <w:rsid w:val="009A3E6D"/>
    <w:rsid w:val="009B5690"/>
    <w:rsid w:val="009B66D6"/>
    <w:rsid w:val="009C0A71"/>
    <w:rsid w:val="009C472C"/>
    <w:rsid w:val="009D228B"/>
    <w:rsid w:val="009D6651"/>
    <w:rsid w:val="009E3D86"/>
    <w:rsid w:val="00A06DF8"/>
    <w:rsid w:val="00A07572"/>
    <w:rsid w:val="00A3439F"/>
    <w:rsid w:val="00A34DE0"/>
    <w:rsid w:val="00A36B9C"/>
    <w:rsid w:val="00A47E14"/>
    <w:rsid w:val="00A52262"/>
    <w:rsid w:val="00A529A3"/>
    <w:rsid w:val="00A85139"/>
    <w:rsid w:val="00AA1683"/>
    <w:rsid w:val="00AA427C"/>
    <w:rsid w:val="00AB4F2B"/>
    <w:rsid w:val="00AD730E"/>
    <w:rsid w:val="00B10352"/>
    <w:rsid w:val="00B116A8"/>
    <w:rsid w:val="00B1209B"/>
    <w:rsid w:val="00B43516"/>
    <w:rsid w:val="00B54424"/>
    <w:rsid w:val="00B934B4"/>
    <w:rsid w:val="00B9488A"/>
    <w:rsid w:val="00BA686A"/>
    <w:rsid w:val="00BE158D"/>
    <w:rsid w:val="00BE68C2"/>
    <w:rsid w:val="00BE6E74"/>
    <w:rsid w:val="00C01591"/>
    <w:rsid w:val="00C05808"/>
    <w:rsid w:val="00C0747C"/>
    <w:rsid w:val="00C117E5"/>
    <w:rsid w:val="00C14364"/>
    <w:rsid w:val="00C17DB1"/>
    <w:rsid w:val="00C32265"/>
    <w:rsid w:val="00C37C88"/>
    <w:rsid w:val="00C54371"/>
    <w:rsid w:val="00CA09B2"/>
    <w:rsid w:val="00CA4B88"/>
    <w:rsid w:val="00CB23FB"/>
    <w:rsid w:val="00CC148B"/>
    <w:rsid w:val="00CE4A8C"/>
    <w:rsid w:val="00CE545E"/>
    <w:rsid w:val="00CF3E6C"/>
    <w:rsid w:val="00D028A3"/>
    <w:rsid w:val="00D12D06"/>
    <w:rsid w:val="00D15FDF"/>
    <w:rsid w:val="00D20543"/>
    <w:rsid w:val="00D50BD3"/>
    <w:rsid w:val="00D57105"/>
    <w:rsid w:val="00D6506D"/>
    <w:rsid w:val="00D700C7"/>
    <w:rsid w:val="00D755F9"/>
    <w:rsid w:val="00D8568E"/>
    <w:rsid w:val="00DA088D"/>
    <w:rsid w:val="00DB22EB"/>
    <w:rsid w:val="00DC5A7B"/>
    <w:rsid w:val="00DD28E9"/>
    <w:rsid w:val="00DF18F9"/>
    <w:rsid w:val="00E0039B"/>
    <w:rsid w:val="00E03BCE"/>
    <w:rsid w:val="00E264B8"/>
    <w:rsid w:val="00E655A0"/>
    <w:rsid w:val="00E665B6"/>
    <w:rsid w:val="00E81781"/>
    <w:rsid w:val="00EA3194"/>
    <w:rsid w:val="00EB4027"/>
    <w:rsid w:val="00EE48F1"/>
    <w:rsid w:val="00F22AA5"/>
    <w:rsid w:val="00F3269A"/>
    <w:rsid w:val="00F52F59"/>
    <w:rsid w:val="00F57FAD"/>
    <w:rsid w:val="00F74802"/>
    <w:rsid w:val="00F90986"/>
    <w:rsid w:val="00F91D22"/>
    <w:rsid w:val="00F936D4"/>
    <w:rsid w:val="00F94008"/>
    <w:rsid w:val="00FA4F63"/>
    <w:rsid w:val="00FB3349"/>
    <w:rsid w:val="00FC3D2C"/>
    <w:rsid w:val="00FC3FC2"/>
    <w:rsid w:val="00FC52F3"/>
    <w:rsid w:val="00FE109E"/>
    <w:rsid w:val="00FF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53949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8F9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18F9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18F9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18F9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????" w:hAnsi="Calibr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18F9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????" w:hAnsi="Calibri"/>
      <w:i/>
      <w:color w:val="243F60"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18F9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????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18F9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????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18F9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????" w:hAnsi="Calibr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F18F9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????" w:hAnsi="Calibri"/>
      <w:i/>
      <w:iCs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68D2"/>
    <w:rPr>
      <w:rFonts w:ascii="Arial" w:hAnsi="Arial" w:cs="Times New Roman"/>
      <w:b/>
      <w:sz w:val="24"/>
      <w:szCs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468D2"/>
    <w:rPr>
      <w:rFonts w:ascii="Arial" w:hAnsi="Arial" w:cs="Times New Roman"/>
      <w:b/>
      <w:sz w:val="24"/>
      <w:szCs w:val="24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468D2"/>
    <w:rPr>
      <w:rFonts w:ascii="Arial" w:hAnsi="Arial" w:cs="Times New Roman"/>
      <w:b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18F9"/>
    <w:rPr>
      <w:rFonts w:ascii="Calibri" w:eastAsia="MS ????" w:hAnsi="Calibri" w:cs="Times New Roman"/>
      <w:b/>
      <w:bCs/>
      <w:iCs/>
      <w:sz w:val="24"/>
      <w:szCs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18F9"/>
    <w:rPr>
      <w:rFonts w:ascii="Calibri" w:eastAsia="MS ????" w:hAnsi="Calibri" w:cs="Times New Roman"/>
      <w:i/>
      <w:color w:val="243F60"/>
      <w:sz w:val="24"/>
      <w:szCs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18F9"/>
    <w:rPr>
      <w:rFonts w:ascii="Calibri" w:eastAsia="MS ????" w:hAnsi="Calibri" w:cs="Times New Roman"/>
      <w:i/>
      <w:iCs/>
      <w:color w:val="243F60"/>
      <w:sz w:val="24"/>
      <w:szCs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18F9"/>
    <w:rPr>
      <w:rFonts w:ascii="Calibri" w:eastAsia="MS ????" w:hAnsi="Calibri" w:cs="Times New Roman"/>
      <w:i/>
      <w:iCs/>
      <w:color w:val="404040"/>
      <w:sz w:val="24"/>
      <w:szCs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F18F9"/>
    <w:rPr>
      <w:rFonts w:ascii="Calibri" w:eastAsia="MS ????" w:hAnsi="Calibri" w:cs="Times New Roman"/>
      <w:color w:val="404040"/>
      <w:sz w:val="24"/>
      <w:szCs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F18F9"/>
    <w:rPr>
      <w:rFonts w:ascii="Calibri" w:eastAsia="MS ????" w:hAnsi="Calibri" w:cs="Times New Roman"/>
      <w:i/>
      <w:iCs/>
      <w:color w:val="404040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rsid w:val="000D22B1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68D2"/>
    <w:rPr>
      <w:rFonts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0D22B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68D2"/>
    <w:rPr>
      <w:rFonts w:cs="Times New Roman"/>
      <w:sz w:val="24"/>
      <w:szCs w:val="24"/>
      <w:lang w:val="en-GB"/>
    </w:rPr>
  </w:style>
  <w:style w:type="paragraph" w:customStyle="1" w:styleId="T1">
    <w:name w:val="T1"/>
    <w:basedOn w:val="Normal"/>
    <w:uiPriority w:val="99"/>
    <w:rsid w:val="000D22B1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0D22B1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0D22B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0D22B1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68D2"/>
    <w:rPr>
      <w:rFonts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0D22B1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664422"/>
    <w:pPr>
      <w:spacing w:before="240" w:after="60"/>
      <w:jc w:val="center"/>
      <w:outlineLvl w:val="0"/>
    </w:pPr>
    <w:rPr>
      <w:rFonts w:ascii="Calibri" w:eastAsia="MS ????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64422"/>
    <w:rPr>
      <w:rFonts w:ascii="Calibri" w:eastAsia="MS ????" w:hAnsi="Calibri" w:cs="Times New Roman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99"/>
    <w:rsid w:val="00664422"/>
  </w:style>
  <w:style w:type="paragraph" w:styleId="TOC2">
    <w:name w:val="toc 2"/>
    <w:basedOn w:val="Normal"/>
    <w:next w:val="Normal"/>
    <w:autoRedefine/>
    <w:uiPriority w:val="9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9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9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99"/>
    <w:rsid w:val="00664422"/>
    <w:pPr>
      <w:ind w:left="880"/>
    </w:pPr>
  </w:style>
  <w:style w:type="paragraph" w:styleId="TOC6">
    <w:name w:val="toc 6"/>
    <w:basedOn w:val="Normal"/>
    <w:next w:val="Normal"/>
    <w:autoRedefine/>
    <w:uiPriority w:val="99"/>
    <w:rsid w:val="00664422"/>
    <w:pPr>
      <w:ind w:left="1100"/>
    </w:pPr>
  </w:style>
  <w:style w:type="paragraph" w:styleId="TOC7">
    <w:name w:val="toc 7"/>
    <w:basedOn w:val="Normal"/>
    <w:next w:val="Normal"/>
    <w:autoRedefine/>
    <w:uiPriority w:val="99"/>
    <w:rsid w:val="00664422"/>
    <w:pPr>
      <w:ind w:left="1320"/>
    </w:pPr>
  </w:style>
  <w:style w:type="paragraph" w:styleId="TOC8">
    <w:name w:val="toc 8"/>
    <w:basedOn w:val="Normal"/>
    <w:next w:val="Normal"/>
    <w:autoRedefine/>
    <w:uiPriority w:val="99"/>
    <w:rsid w:val="00664422"/>
    <w:pPr>
      <w:ind w:left="1540"/>
    </w:pPr>
  </w:style>
  <w:style w:type="paragraph" w:styleId="TOC9">
    <w:name w:val="toc 9"/>
    <w:basedOn w:val="Normal"/>
    <w:next w:val="Normal"/>
    <w:autoRedefine/>
    <w:uiPriority w:val="99"/>
    <w:rsid w:val="00664422"/>
    <w:pPr>
      <w:ind w:left="1760"/>
    </w:pPr>
  </w:style>
  <w:style w:type="paragraph" w:styleId="ListParagraph">
    <w:name w:val="List Paragraph"/>
    <w:basedOn w:val="Normal"/>
    <w:uiPriority w:val="99"/>
    <w:qFormat/>
    <w:rsid w:val="00664422"/>
    <w:pPr>
      <w:ind w:left="720"/>
      <w:contextualSpacing/>
    </w:pPr>
  </w:style>
  <w:style w:type="character" w:styleId="LineNumber">
    <w:name w:val="line number"/>
    <w:basedOn w:val="DefaultParagraphFont"/>
    <w:uiPriority w:val="99"/>
    <w:rsid w:val="00E0039B"/>
    <w:rPr>
      <w:rFonts w:cs="Times New Roman"/>
    </w:rPr>
  </w:style>
  <w:style w:type="paragraph" w:customStyle="1" w:styleId="EditorNote">
    <w:name w:val="EditorNote"/>
    <w:basedOn w:val="Normal"/>
    <w:uiPriority w:val="99"/>
    <w:rsid w:val="00634B68"/>
    <w:rPr>
      <w:b/>
      <w:i/>
      <w:color w:val="FF0000"/>
    </w:rPr>
  </w:style>
  <w:style w:type="paragraph" w:styleId="NormalWeb">
    <w:name w:val="Normal (Web)"/>
    <w:basedOn w:val="Normal"/>
    <w:uiPriority w:val="99"/>
    <w:rsid w:val="00C37C88"/>
    <w:pPr>
      <w:spacing w:before="100" w:beforeAutospacing="1" w:after="100" w:afterAutospacing="1"/>
    </w:pPr>
    <w:rPr>
      <w:rFonts w:ascii="Times" w:eastAsia="MS ??" w:hAnsi="Times"/>
      <w:sz w:val="20"/>
      <w:lang w:val="en-US"/>
    </w:rPr>
  </w:style>
  <w:style w:type="paragraph" w:customStyle="1" w:styleId="IEEEStdsLevel1frontmatter">
    <w:name w:val="IEEEStds Level 1 (front matter)"/>
    <w:basedOn w:val="Normal"/>
    <w:next w:val="Normal"/>
    <w:uiPriority w:val="99"/>
    <w:rsid w:val="00EB4027"/>
    <w:pPr>
      <w:keepNext/>
      <w:keepLines/>
      <w:numPr>
        <w:numId w:val="5"/>
      </w:numPr>
      <w:suppressAutoHyphens/>
      <w:spacing w:before="240" w:after="240"/>
      <w:jc w:val="both"/>
    </w:pPr>
    <w:rPr>
      <w:rFonts w:ascii="Arial" w:eastAsia="MS ??" w:hAnsi="Arial"/>
      <w:b/>
      <w:lang w:val="en-US" w:eastAsia="ja-JP"/>
    </w:rPr>
  </w:style>
  <w:style w:type="paragraph" w:customStyle="1" w:styleId="IEEEStdsNamesList">
    <w:name w:val="IEEEStds Names List"/>
    <w:uiPriority w:val="99"/>
    <w:rsid w:val="00EB4027"/>
    <w:pPr>
      <w:numPr>
        <w:ilvl w:val="1"/>
        <w:numId w:val="5"/>
      </w:numPr>
      <w:ind w:left="144" w:hanging="144"/>
    </w:pPr>
    <w:rPr>
      <w:rFonts w:eastAsia="MS ??"/>
      <w:sz w:val="18"/>
      <w:szCs w:val="20"/>
      <w:lang w:eastAsia="ja-JP"/>
    </w:rPr>
  </w:style>
  <w:style w:type="paragraph" w:customStyle="1" w:styleId="IEEEStdsLevel4Header">
    <w:name w:val="IEEEStds Level 4 Header"/>
    <w:basedOn w:val="IEEEStdsLevel3Header"/>
    <w:next w:val="Normal"/>
    <w:uiPriority w:val="99"/>
    <w:rsid w:val="00EB4027"/>
    <w:pPr>
      <w:outlineLvl w:val="3"/>
    </w:pPr>
  </w:style>
  <w:style w:type="paragraph" w:customStyle="1" w:styleId="IEEEStdsLevel3Header">
    <w:name w:val="IEEEStds Level 3 Header"/>
    <w:basedOn w:val="Normal"/>
    <w:next w:val="Normal"/>
    <w:uiPriority w:val="99"/>
    <w:rsid w:val="00EB4027"/>
    <w:pPr>
      <w:keepNext/>
      <w:keepLines/>
      <w:tabs>
        <w:tab w:val="num" w:pos="360"/>
      </w:tabs>
      <w:suppressAutoHyphens/>
      <w:spacing w:before="240" w:after="240"/>
      <w:outlineLvl w:val="2"/>
    </w:pPr>
    <w:rPr>
      <w:rFonts w:ascii="Arial" w:eastAsia="MS ??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Normal"/>
    <w:uiPriority w:val="99"/>
    <w:rsid w:val="00EB40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jc w:val="both"/>
    </w:pPr>
    <w:rPr>
      <w:rFonts w:eastAsia="MS ??"/>
      <w:sz w:val="18"/>
      <w:lang w:val="en-US" w:eastAsia="ja-JP"/>
    </w:rPr>
  </w:style>
  <w:style w:type="paragraph" w:customStyle="1" w:styleId="IEEEStdsTitleDraftCRaddr">
    <w:name w:val="IEEEStds TitleDraftCRaddr"/>
    <w:basedOn w:val="Normal"/>
    <w:uiPriority w:val="99"/>
    <w:rsid w:val="00EB4027"/>
    <w:rPr>
      <w:rFonts w:eastAsia="MS ??"/>
      <w:noProof/>
      <w:sz w:val="20"/>
      <w:szCs w:val="20"/>
      <w:lang w:val="en-US" w:eastAsia="ja-JP"/>
    </w:rPr>
  </w:style>
  <w:style w:type="paragraph" w:styleId="Caption">
    <w:name w:val="caption"/>
    <w:basedOn w:val="Normal"/>
    <w:next w:val="Normal"/>
    <w:uiPriority w:val="99"/>
    <w:qFormat/>
    <w:locked/>
    <w:rsid w:val="00EB4027"/>
    <w:pPr>
      <w:keepLines/>
      <w:suppressAutoHyphens/>
      <w:spacing w:before="120" w:after="120"/>
      <w:jc w:val="center"/>
    </w:pPr>
    <w:rPr>
      <w:rFonts w:ascii="Arial" w:eastAsia="MS ??" w:hAnsi="Arial"/>
      <w:b/>
      <w:sz w:val="20"/>
      <w:szCs w:val="2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508</Words>
  <Characters>2902</Characters>
  <Application>Microsoft Office Outlook</Application>
  <DocSecurity>0</DocSecurity>
  <Lines>0</Lines>
  <Paragraphs>0</Paragraphs>
  <ScaleCrop>false</ScaleCrop>
  <Company>SRA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802.11-14/1522r2</dc:title>
  <dc:subject>Submission</dc:subject>
  <dc:creator>Dick Roy (SRA)</dc:creator>
  <cp:keywords>November 2014</cp:keywords>
  <dc:description/>
  <cp:lastModifiedBy>dick</cp:lastModifiedBy>
  <cp:revision>2</cp:revision>
  <dcterms:created xsi:type="dcterms:W3CDTF">2014-11-06T23:16:00Z</dcterms:created>
  <dcterms:modified xsi:type="dcterms:W3CDTF">2014-11-06T23:16:00Z</dcterms:modified>
</cp:coreProperties>
</file>