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7825CE">
        <w:trPr>
          <w:trHeight w:val="485"/>
          <w:jc w:val="center"/>
        </w:trPr>
        <w:tc>
          <w:tcPr>
            <w:tcW w:w="9576" w:type="dxa"/>
            <w:gridSpan w:val="5"/>
            <w:vAlign w:val="center"/>
          </w:tcPr>
          <w:p w:rsidR="00C723BC" w:rsidRPr="00183F4C" w:rsidRDefault="00C723BC" w:rsidP="00767D46">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677697">
              <w:rPr>
                <w:lang w:eastAsia="ko-KR"/>
              </w:rPr>
              <w:t xml:space="preserve">8.4.2.170 </w:t>
            </w:r>
          </w:p>
        </w:tc>
      </w:tr>
      <w:tr w:rsidR="00C723BC" w:rsidRPr="00183F4C" w:rsidTr="007825CE">
        <w:trPr>
          <w:trHeight w:val="359"/>
          <w:jc w:val="center"/>
        </w:trPr>
        <w:tc>
          <w:tcPr>
            <w:tcW w:w="9576" w:type="dxa"/>
            <w:gridSpan w:val="5"/>
            <w:vAlign w:val="center"/>
          </w:tcPr>
          <w:p w:rsidR="00C723BC" w:rsidRPr="00183F4C" w:rsidRDefault="00C723BC" w:rsidP="005C7F72">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1609B5">
              <w:rPr>
                <w:b w:val="0"/>
                <w:sz w:val="20"/>
                <w:lang w:eastAsia="ko-KR"/>
              </w:rPr>
              <w:t>8</w:t>
            </w:r>
            <w:r w:rsidR="006F6532">
              <w:rPr>
                <w:b w:val="0"/>
                <w:sz w:val="20"/>
                <w:lang w:eastAsia="ko-KR"/>
              </w:rPr>
              <w:t>-</w:t>
            </w:r>
            <w:r w:rsidR="005C7F72">
              <w:rPr>
                <w:b w:val="0"/>
                <w:sz w:val="20"/>
                <w:lang w:eastAsia="ko-KR"/>
              </w:rPr>
              <w:t>25</w:t>
            </w:r>
          </w:p>
        </w:tc>
      </w:tr>
      <w:tr w:rsidR="00C723BC" w:rsidRPr="00183F4C" w:rsidTr="007825CE">
        <w:trPr>
          <w:cantSplit/>
          <w:jc w:val="center"/>
        </w:trPr>
        <w:tc>
          <w:tcPr>
            <w:tcW w:w="9576" w:type="dxa"/>
            <w:gridSpan w:val="5"/>
            <w:vAlign w:val="center"/>
          </w:tcPr>
          <w:p w:rsidR="00C723BC" w:rsidRPr="00183F4C" w:rsidRDefault="00C723BC" w:rsidP="007825CE">
            <w:pPr>
              <w:pStyle w:val="T2"/>
              <w:spacing w:after="0"/>
              <w:ind w:left="0" w:right="0"/>
              <w:jc w:val="left"/>
              <w:rPr>
                <w:sz w:val="20"/>
              </w:rPr>
            </w:pPr>
            <w:r w:rsidRPr="00183F4C">
              <w:rPr>
                <w:sz w:val="20"/>
              </w:rPr>
              <w:t>Author(s):</w:t>
            </w:r>
          </w:p>
        </w:tc>
      </w:tr>
      <w:tr w:rsidR="00C723BC" w:rsidRPr="00183F4C" w:rsidTr="007825CE">
        <w:trPr>
          <w:jc w:val="center"/>
        </w:trPr>
        <w:tc>
          <w:tcPr>
            <w:tcW w:w="1548" w:type="dxa"/>
            <w:vAlign w:val="center"/>
          </w:tcPr>
          <w:p w:rsidR="00C723BC" w:rsidRPr="00183F4C" w:rsidRDefault="00C723BC" w:rsidP="007825CE">
            <w:pPr>
              <w:pStyle w:val="T2"/>
              <w:spacing w:after="0"/>
              <w:ind w:left="0" w:right="0"/>
              <w:jc w:val="left"/>
              <w:rPr>
                <w:sz w:val="20"/>
              </w:rPr>
            </w:pPr>
            <w:r w:rsidRPr="00183F4C">
              <w:rPr>
                <w:sz w:val="20"/>
              </w:rPr>
              <w:t>Name</w:t>
            </w:r>
          </w:p>
        </w:tc>
        <w:tc>
          <w:tcPr>
            <w:tcW w:w="1440" w:type="dxa"/>
            <w:vAlign w:val="center"/>
          </w:tcPr>
          <w:p w:rsidR="00C723BC" w:rsidRPr="00183F4C" w:rsidRDefault="00C723BC" w:rsidP="007825CE">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7825CE">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7825CE">
            <w:pPr>
              <w:pStyle w:val="T2"/>
              <w:spacing w:after="0"/>
              <w:ind w:left="0" w:right="0"/>
              <w:jc w:val="left"/>
              <w:rPr>
                <w:sz w:val="20"/>
              </w:rPr>
            </w:pPr>
            <w:r w:rsidRPr="00183F4C">
              <w:rPr>
                <w:sz w:val="20"/>
              </w:rPr>
              <w:t>Phone</w:t>
            </w:r>
          </w:p>
        </w:tc>
        <w:tc>
          <w:tcPr>
            <w:tcW w:w="2358" w:type="dxa"/>
            <w:vAlign w:val="center"/>
          </w:tcPr>
          <w:p w:rsidR="00C723BC" w:rsidRPr="00183F4C" w:rsidRDefault="00C723BC" w:rsidP="007825CE">
            <w:pPr>
              <w:pStyle w:val="T2"/>
              <w:spacing w:after="0"/>
              <w:ind w:left="0" w:right="0"/>
              <w:jc w:val="left"/>
              <w:rPr>
                <w:sz w:val="20"/>
              </w:rPr>
            </w:pPr>
            <w:r w:rsidRPr="00183F4C">
              <w:rPr>
                <w:sz w:val="20"/>
              </w:rPr>
              <w:t>email</w:t>
            </w:r>
          </w:p>
        </w:tc>
      </w:tr>
      <w:tr w:rsidR="00C723BC" w:rsidRPr="00183F4C" w:rsidTr="007825CE">
        <w:trPr>
          <w:trHeight w:val="359"/>
          <w:jc w:val="center"/>
        </w:trPr>
        <w:tc>
          <w:tcPr>
            <w:tcW w:w="1548" w:type="dxa"/>
            <w:vAlign w:val="center"/>
          </w:tcPr>
          <w:p w:rsidR="00C723BC" w:rsidRPr="00183F4C" w:rsidRDefault="00133371" w:rsidP="007825CE">
            <w:pPr>
              <w:pStyle w:val="T2"/>
              <w:spacing w:after="0"/>
              <w:ind w:left="0" w:right="0"/>
              <w:jc w:val="left"/>
              <w:rPr>
                <w:b w:val="0"/>
                <w:sz w:val="18"/>
                <w:szCs w:val="18"/>
                <w:lang w:eastAsia="ko-KR"/>
              </w:rPr>
            </w:pPr>
            <w:r>
              <w:rPr>
                <w:b w:val="0"/>
                <w:sz w:val="18"/>
                <w:szCs w:val="18"/>
                <w:lang w:eastAsia="ko-KR"/>
              </w:rPr>
              <w:t>Jianhan Liu</w:t>
            </w:r>
          </w:p>
        </w:tc>
        <w:tc>
          <w:tcPr>
            <w:tcW w:w="1440" w:type="dxa"/>
            <w:vAlign w:val="center"/>
          </w:tcPr>
          <w:p w:rsidR="00C723BC" w:rsidRPr="00183F4C" w:rsidRDefault="00133371" w:rsidP="00133371">
            <w:pPr>
              <w:pStyle w:val="T2"/>
              <w:spacing w:after="0"/>
              <w:ind w:left="0" w:right="0"/>
              <w:jc w:val="left"/>
              <w:rPr>
                <w:b w:val="0"/>
                <w:sz w:val="18"/>
                <w:szCs w:val="18"/>
                <w:lang w:eastAsia="ko-KR"/>
              </w:rPr>
            </w:pPr>
            <w:r>
              <w:rPr>
                <w:b w:val="0"/>
                <w:sz w:val="18"/>
                <w:szCs w:val="18"/>
                <w:lang w:eastAsia="ko-KR"/>
              </w:rPr>
              <w:t>Mediatek</w:t>
            </w:r>
            <w:r w:rsidR="00C723BC">
              <w:rPr>
                <w:b w:val="0"/>
                <w:sz w:val="18"/>
                <w:szCs w:val="18"/>
                <w:lang w:eastAsia="ko-KR"/>
              </w:rPr>
              <w:t xml:space="preserve"> Inc.</w:t>
            </w:r>
          </w:p>
        </w:tc>
        <w:tc>
          <w:tcPr>
            <w:tcW w:w="2610" w:type="dxa"/>
            <w:vAlign w:val="center"/>
          </w:tcPr>
          <w:p w:rsidR="00C723BC" w:rsidRPr="00183F4C" w:rsidRDefault="00133371" w:rsidP="007825CE">
            <w:pPr>
              <w:pStyle w:val="T2"/>
              <w:spacing w:after="0"/>
              <w:ind w:left="0" w:right="0"/>
              <w:jc w:val="left"/>
              <w:rPr>
                <w:b w:val="0"/>
                <w:sz w:val="18"/>
                <w:szCs w:val="18"/>
                <w:lang w:eastAsia="ko-KR"/>
              </w:rPr>
            </w:pPr>
            <w:r>
              <w:rPr>
                <w:b w:val="0"/>
                <w:sz w:val="18"/>
                <w:szCs w:val="18"/>
                <w:lang w:eastAsia="ko-KR"/>
              </w:rPr>
              <w:t>2860 Junction Ave., San Jose, CA, 95134</w:t>
            </w:r>
          </w:p>
        </w:tc>
        <w:tc>
          <w:tcPr>
            <w:tcW w:w="1620" w:type="dxa"/>
            <w:vAlign w:val="center"/>
          </w:tcPr>
          <w:p w:rsidR="00C723BC" w:rsidRPr="00183F4C" w:rsidRDefault="00C723BC" w:rsidP="00667884">
            <w:pPr>
              <w:pStyle w:val="T2"/>
              <w:spacing w:after="0"/>
              <w:ind w:left="0" w:right="0"/>
              <w:jc w:val="left"/>
              <w:rPr>
                <w:b w:val="0"/>
                <w:sz w:val="18"/>
                <w:szCs w:val="18"/>
                <w:lang w:eastAsia="ko-KR"/>
              </w:rPr>
            </w:pPr>
          </w:p>
        </w:tc>
        <w:tc>
          <w:tcPr>
            <w:tcW w:w="2358" w:type="dxa"/>
            <w:vAlign w:val="center"/>
          </w:tcPr>
          <w:p w:rsidR="00C723BC" w:rsidRPr="00183F4C" w:rsidRDefault="00667884" w:rsidP="00667884">
            <w:pPr>
              <w:pStyle w:val="T2"/>
              <w:spacing w:after="0"/>
              <w:ind w:left="0" w:right="0"/>
              <w:jc w:val="left"/>
              <w:rPr>
                <w:b w:val="0"/>
                <w:sz w:val="18"/>
                <w:szCs w:val="18"/>
                <w:lang w:eastAsia="ko-KR"/>
              </w:rPr>
            </w:pPr>
            <w:r>
              <w:rPr>
                <w:b w:val="0"/>
                <w:sz w:val="18"/>
                <w:szCs w:val="18"/>
                <w:lang w:eastAsia="ko-KR"/>
              </w:rPr>
              <w:t>Jianhan.liu</w:t>
            </w:r>
            <w:r w:rsidR="00C723BC" w:rsidRPr="001D7948">
              <w:rPr>
                <w:b w:val="0"/>
                <w:sz w:val="18"/>
                <w:szCs w:val="18"/>
                <w:lang w:eastAsia="ko-KR"/>
              </w:rPr>
              <w:t>@</w:t>
            </w:r>
            <w:r>
              <w:rPr>
                <w:b w:val="0"/>
                <w:sz w:val="18"/>
                <w:szCs w:val="18"/>
                <w:lang w:eastAsia="ko-KR"/>
              </w:rPr>
              <w:t>mediatek</w:t>
            </w:r>
            <w:r w:rsidR="00C723BC" w:rsidRPr="001D7948">
              <w:rPr>
                <w:b w:val="0"/>
                <w:sz w:val="18"/>
                <w:szCs w:val="18"/>
                <w:lang w:eastAsia="ko-KR"/>
              </w:rPr>
              <w:t>.com</w:t>
            </w:r>
          </w:p>
        </w:tc>
      </w:tr>
    </w:tbl>
    <w:p w:rsidR="005E768D" w:rsidRPr="004D2D75" w:rsidRDefault="00354149">
      <w:pPr>
        <w:pStyle w:val="T1"/>
        <w:spacing w:after="120"/>
        <w:rPr>
          <w:sz w:val="22"/>
        </w:rPr>
      </w:pPr>
      <w:r w:rsidRPr="00354149">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7825CE" w:rsidRDefault="007825CE">
                  <w:pPr>
                    <w:pStyle w:val="T1"/>
                    <w:spacing w:after="120"/>
                  </w:pPr>
                  <w:r>
                    <w:t>Abstract</w:t>
                  </w:r>
                </w:p>
                <w:p w:rsidR="007825CE" w:rsidRDefault="007825C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w:t>
                  </w:r>
                  <w:proofErr w:type="spellStart"/>
                  <w:r>
                    <w:rPr>
                      <w:lang w:eastAsia="ko-KR"/>
                    </w:rPr>
                    <w:t>subclause</w:t>
                  </w:r>
                  <w:proofErr w:type="spellEnd"/>
                  <w:r>
                    <w:rPr>
                      <w:rFonts w:hint="eastAsia"/>
                      <w:lang w:eastAsia="ko-KR"/>
                    </w:rPr>
                    <w:t xml:space="preserve"> </w:t>
                  </w:r>
                  <w:r w:rsidR="008667E9" w:rsidRPr="008667E9">
                    <w:rPr>
                      <w:lang w:eastAsia="ko-KR"/>
                    </w:rPr>
                    <w:t>8.4.2.170</w:t>
                  </w:r>
                  <w:r w:rsidR="008667E9">
                    <w:rPr>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.0</w:t>
                  </w:r>
                  <w:r w:rsidR="008667E9">
                    <w:rPr>
                      <w:lang w:eastAsia="ko-KR"/>
                    </w:rPr>
                    <w:t xml:space="preserve"> with the following CIDs</w:t>
                  </w:r>
                  <w:r>
                    <w:rPr>
                      <w:lang w:eastAsia="ko-KR"/>
                    </w:rPr>
                    <w:t>:</w:t>
                  </w:r>
                </w:p>
                <w:p w:rsidR="007825CE" w:rsidRDefault="008667E9" w:rsidP="008667E9">
                  <w:pPr>
                    <w:ind w:firstLine="720"/>
                    <w:jc w:val="both"/>
                  </w:pPr>
                  <w:r>
                    <w:t>-</w:t>
                  </w:r>
                  <w:r w:rsidRPr="008667E9">
                    <w:t>3523</w:t>
                  </w:r>
                  <w:r>
                    <w:t xml:space="preserve">, </w:t>
                  </w:r>
                  <w:r w:rsidR="00291705" w:rsidRPr="00291705">
                    <w:t>3524</w:t>
                  </w:r>
                  <w:r w:rsidR="00291705">
                    <w:t>, 3525</w:t>
                  </w:r>
                </w:p>
                <w:p w:rsidR="007825CE" w:rsidRDefault="007825CE" w:rsidP="00B200F0">
                  <w:pPr>
                    <w:jc w:val="both"/>
                  </w:pPr>
                  <w:r>
                    <w:t>Revisions:</w:t>
                  </w:r>
                </w:p>
                <w:p w:rsidR="007825CE" w:rsidRDefault="008667E9" w:rsidP="00B200F0">
                  <w:pPr>
                    <w:pStyle w:val="ListParagraph"/>
                    <w:numPr>
                      <w:ilvl w:val="0"/>
                      <w:numId w:val="48"/>
                    </w:numPr>
                    <w:ind w:leftChars="0"/>
                    <w:jc w:val="both"/>
                  </w:pPr>
                  <w:r>
                    <w:t xml:space="preserve">Rev </w:t>
                  </w:r>
                  <w:r w:rsidR="001B6BE6">
                    <w:t>0</w:t>
                  </w:r>
                  <w:r>
                    <w:t>.</w:t>
                  </w:r>
                </w:p>
                <w:p w:rsidR="004C686D" w:rsidRDefault="004C686D" w:rsidP="001B6BE6">
                  <w:pPr>
                    <w:pStyle w:val="ListParagraph"/>
                    <w:ind w:leftChars="0" w:left="720"/>
                    <w:jc w:val="both"/>
                  </w:pPr>
                </w:p>
              </w:txbxContent>
            </v:textbox>
          </v:shape>
        </w:pic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C63602" w:rsidRDefault="00C63602">
      <w:pPr>
        <w:rPr>
          <w:szCs w:val="22"/>
          <w:lang w:val="en-US" w:eastAsia="ko-KR"/>
        </w:rPr>
      </w:pPr>
    </w:p>
    <w:tbl>
      <w:tblPr>
        <w:tblStyle w:val="TableGrid"/>
        <w:tblW w:w="10209" w:type="dxa"/>
        <w:tblLayout w:type="fixed"/>
        <w:tblLook w:val="04A0"/>
      </w:tblPr>
      <w:tblGrid>
        <w:gridCol w:w="671"/>
        <w:gridCol w:w="946"/>
        <w:gridCol w:w="676"/>
        <w:gridCol w:w="905"/>
        <w:gridCol w:w="1788"/>
        <w:gridCol w:w="2190"/>
        <w:gridCol w:w="3033"/>
      </w:tblGrid>
      <w:tr w:rsidR="00677697" w:rsidRPr="007E57AA" w:rsidTr="00BC3820">
        <w:trPr>
          <w:trHeight w:val="410"/>
        </w:trPr>
        <w:tc>
          <w:tcPr>
            <w:tcW w:w="671"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CID</w:t>
            </w:r>
          </w:p>
        </w:tc>
        <w:tc>
          <w:tcPr>
            <w:tcW w:w="946"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Commenter</w:t>
            </w:r>
          </w:p>
        </w:tc>
        <w:tc>
          <w:tcPr>
            <w:tcW w:w="676"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P.L</w:t>
            </w:r>
          </w:p>
        </w:tc>
        <w:tc>
          <w:tcPr>
            <w:tcW w:w="905"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Clause</w:t>
            </w:r>
          </w:p>
        </w:tc>
        <w:tc>
          <w:tcPr>
            <w:tcW w:w="1788"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Comment</w:t>
            </w:r>
          </w:p>
        </w:tc>
        <w:tc>
          <w:tcPr>
            <w:tcW w:w="2190"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Proposed Change</w:t>
            </w:r>
          </w:p>
        </w:tc>
        <w:tc>
          <w:tcPr>
            <w:tcW w:w="3033"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Resolution</w:t>
            </w:r>
          </w:p>
        </w:tc>
      </w:tr>
      <w:tr w:rsidR="00677697" w:rsidRPr="007E57AA" w:rsidTr="00BC3820">
        <w:trPr>
          <w:trHeight w:val="1665"/>
        </w:trPr>
        <w:tc>
          <w:tcPr>
            <w:tcW w:w="671" w:type="dxa"/>
          </w:tcPr>
          <w:p w:rsidR="00677697" w:rsidRPr="007E57AA" w:rsidRDefault="00481E31" w:rsidP="00677697">
            <w:pPr>
              <w:jc w:val="right"/>
              <w:rPr>
                <w:sz w:val="18"/>
                <w:szCs w:val="18"/>
              </w:rPr>
            </w:pPr>
            <w:r w:rsidRPr="00481E31">
              <w:rPr>
                <w:sz w:val="18"/>
                <w:szCs w:val="18"/>
              </w:rPr>
              <w:t>3523</w:t>
            </w:r>
          </w:p>
        </w:tc>
        <w:tc>
          <w:tcPr>
            <w:tcW w:w="946" w:type="dxa"/>
          </w:tcPr>
          <w:p w:rsidR="00677697" w:rsidRPr="007E57AA" w:rsidRDefault="00DB6C4D" w:rsidP="007E57AA">
            <w:pPr>
              <w:rPr>
                <w:sz w:val="18"/>
                <w:szCs w:val="18"/>
              </w:rPr>
            </w:pPr>
            <w:r w:rsidRPr="00DB6C4D">
              <w:rPr>
                <w:sz w:val="18"/>
                <w:szCs w:val="18"/>
              </w:rPr>
              <w:t xml:space="preserve">Edward </w:t>
            </w:r>
            <w:proofErr w:type="spellStart"/>
            <w:r w:rsidRPr="00DB6C4D">
              <w:rPr>
                <w:sz w:val="18"/>
                <w:szCs w:val="18"/>
              </w:rPr>
              <w:t>Reuss</w:t>
            </w:r>
            <w:proofErr w:type="spellEnd"/>
          </w:p>
        </w:tc>
        <w:tc>
          <w:tcPr>
            <w:tcW w:w="676" w:type="dxa"/>
          </w:tcPr>
          <w:p w:rsidR="00677697" w:rsidRPr="007E57AA" w:rsidRDefault="00DB6C4D" w:rsidP="00677697">
            <w:pPr>
              <w:jc w:val="right"/>
              <w:rPr>
                <w:sz w:val="18"/>
                <w:szCs w:val="18"/>
              </w:rPr>
            </w:pPr>
            <w:r>
              <w:rPr>
                <w:sz w:val="18"/>
                <w:szCs w:val="18"/>
              </w:rPr>
              <w:t>123.37</w:t>
            </w:r>
          </w:p>
        </w:tc>
        <w:tc>
          <w:tcPr>
            <w:tcW w:w="905" w:type="dxa"/>
          </w:tcPr>
          <w:p w:rsidR="00677697" w:rsidRPr="007E57AA" w:rsidRDefault="00677697" w:rsidP="00677697">
            <w:pPr>
              <w:rPr>
                <w:sz w:val="18"/>
                <w:szCs w:val="18"/>
              </w:rPr>
            </w:pPr>
            <w:r w:rsidRPr="007E57AA">
              <w:rPr>
                <w:sz w:val="18"/>
                <w:szCs w:val="18"/>
              </w:rPr>
              <w:t>8.4.2.170</w:t>
            </w:r>
          </w:p>
        </w:tc>
        <w:tc>
          <w:tcPr>
            <w:tcW w:w="1788" w:type="dxa"/>
          </w:tcPr>
          <w:p w:rsidR="00677697" w:rsidRPr="007E57AA" w:rsidRDefault="00481E31" w:rsidP="00677697">
            <w:pPr>
              <w:rPr>
                <w:sz w:val="18"/>
                <w:szCs w:val="18"/>
              </w:rPr>
            </w:pPr>
            <w:r w:rsidRPr="00481E31">
              <w:rPr>
                <w:sz w:val="18"/>
                <w:szCs w:val="18"/>
              </w:rPr>
              <w:t>This equation does NOT describe the "Open Loop Link Margin Index" as indicated in the text. This equation actually describes the "Open Loop Link Margin" in dB. The "Open Loop Link Margin Index" is actually the value "D" described in the last paragraph of this section.</w:t>
            </w:r>
          </w:p>
        </w:tc>
        <w:tc>
          <w:tcPr>
            <w:tcW w:w="2190" w:type="dxa"/>
          </w:tcPr>
          <w:p w:rsidR="00DB6C4D" w:rsidRPr="00DB6C4D" w:rsidRDefault="00DB6C4D" w:rsidP="00DB6C4D">
            <w:pPr>
              <w:rPr>
                <w:sz w:val="18"/>
                <w:szCs w:val="18"/>
              </w:rPr>
            </w:pPr>
            <w:r w:rsidRPr="00DB6C4D">
              <w:rPr>
                <w:sz w:val="18"/>
                <w:szCs w:val="18"/>
              </w:rPr>
              <w:t>Either:</w:t>
            </w:r>
          </w:p>
          <w:p w:rsidR="00DB6C4D" w:rsidRPr="00DB6C4D" w:rsidRDefault="00DB6C4D" w:rsidP="00DB6C4D">
            <w:pPr>
              <w:rPr>
                <w:sz w:val="18"/>
                <w:szCs w:val="18"/>
              </w:rPr>
            </w:pPr>
            <w:r w:rsidRPr="00DB6C4D">
              <w:rPr>
                <w:sz w:val="18"/>
                <w:szCs w:val="18"/>
              </w:rPr>
              <w:t>1. Change the left side of the equation from "en-Loop Link Margin Index" (sic) to read "Open-Loop Link Margin", or</w:t>
            </w:r>
          </w:p>
          <w:p w:rsidR="00DB6C4D" w:rsidRPr="00DB6C4D" w:rsidRDefault="00DB6C4D" w:rsidP="00DB6C4D">
            <w:pPr>
              <w:rPr>
                <w:sz w:val="18"/>
                <w:szCs w:val="18"/>
              </w:rPr>
            </w:pPr>
            <w:r w:rsidRPr="00DB6C4D">
              <w:rPr>
                <w:sz w:val="18"/>
                <w:szCs w:val="18"/>
              </w:rPr>
              <w:t>2. Change the right side of the equation to read "((</w:t>
            </w:r>
            <w:proofErr w:type="spellStart"/>
            <w:r w:rsidRPr="00DB6C4D">
              <w:rPr>
                <w:sz w:val="18"/>
                <w:szCs w:val="18"/>
              </w:rPr>
              <w:t>Ptx</w:t>
            </w:r>
            <w:proofErr w:type="spellEnd"/>
            <w:r w:rsidRPr="00DB6C4D">
              <w:rPr>
                <w:sz w:val="18"/>
                <w:szCs w:val="18"/>
              </w:rPr>
              <w:t xml:space="preserve"> +</w:t>
            </w:r>
            <w:proofErr w:type="spellStart"/>
            <w:r w:rsidRPr="00DB6C4D">
              <w:rPr>
                <w:sz w:val="18"/>
                <w:szCs w:val="18"/>
              </w:rPr>
              <w:t>Rsensitivity</w:t>
            </w:r>
            <w:proofErr w:type="spellEnd"/>
            <w:proofErr w:type="gramStart"/>
            <w:r w:rsidRPr="00DB6C4D">
              <w:rPr>
                <w:sz w:val="18"/>
                <w:szCs w:val="18"/>
              </w:rPr>
              <w:t>)+</w:t>
            </w:r>
            <w:proofErr w:type="gramEnd"/>
            <w:r w:rsidRPr="00DB6C4D">
              <w:rPr>
                <w:sz w:val="18"/>
                <w:szCs w:val="18"/>
              </w:rPr>
              <w:t>128)*2".</w:t>
            </w:r>
          </w:p>
          <w:p w:rsidR="00677697" w:rsidRPr="007E57AA" w:rsidRDefault="00DB6C4D" w:rsidP="00DB6C4D">
            <w:pPr>
              <w:rPr>
                <w:sz w:val="18"/>
                <w:szCs w:val="18"/>
              </w:rPr>
            </w:pPr>
            <w:r w:rsidRPr="00DB6C4D">
              <w:rPr>
                <w:sz w:val="18"/>
                <w:szCs w:val="18"/>
              </w:rPr>
              <w:t>In either case, change "en" to "Open".</w:t>
            </w:r>
          </w:p>
        </w:tc>
        <w:tc>
          <w:tcPr>
            <w:tcW w:w="3033" w:type="dxa"/>
          </w:tcPr>
          <w:p w:rsidR="00677697" w:rsidRDefault="00B15876" w:rsidP="00677697">
            <w:pPr>
              <w:autoSpaceDE w:val="0"/>
              <w:autoSpaceDN w:val="0"/>
              <w:adjustRightInd w:val="0"/>
              <w:ind w:left="90" w:hangingChars="50" w:hanging="90"/>
              <w:rPr>
                <w:bCs/>
                <w:sz w:val="18"/>
                <w:szCs w:val="18"/>
                <w:lang w:eastAsia="ko-KR"/>
              </w:rPr>
            </w:pPr>
            <w:r>
              <w:rPr>
                <w:bCs/>
                <w:sz w:val="18"/>
                <w:szCs w:val="18"/>
                <w:lang w:eastAsia="ko-KR"/>
              </w:rPr>
              <w:t>Revised</w:t>
            </w:r>
            <w:r w:rsidR="007E57AA">
              <w:rPr>
                <w:bCs/>
                <w:sz w:val="18"/>
                <w:szCs w:val="18"/>
                <w:lang w:eastAsia="ko-KR"/>
              </w:rPr>
              <w:t xml:space="preserve"> –</w:t>
            </w:r>
          </w:p>
          <w:p w:rsidR="007E57AA" w:rsidRDefault="007E57AA" w:rsidP="00677697">
            <w:pPr>
              <w:autoSpaceDE w:val="0"/>
              <w:autoSpaceDN w:val="0"/>
              <w:adjustRightInd w:val="0"/>
              <w:ind w:left="90" w:hangingChars="50" w:hanging="90"/>
              <w:rPr>
                <w:bCs/>
                <w:sz w:val="18"/>
                <w:szCs w:val="18"/>
                <w:lang w:eastAsia="ko-KR"/>
              </w:rPr>
            </w:pPr>
          </w:p>
          <w:p w:rsidR="007E57AA" w:rsidRDefault="00DB6C4D" w:rsidP="007E57AA">
            <w:pPr>
              <w:autoSpaceDE w:val="0"/>
              <w:autoSpaceDN w:val="0"/>
              <w:adjustRightInd w:val="0"/>
              <w:ind w:left="90" w:hangingChars="50" w:hanging="90"/>
              <w:rPr>
                <w:sz w:val="18"/>
                <w:szCs w:val="18"/>
              </w:rPr>
            </w:pPr>
            <w:r w:rsidRPr="00DB6C4D">
              <w:rPr>
                <w:sz w:val="18"/>
                <w:szCs w:val="18"/>
              </w:rPr>
              <w:t>Change the left side of the equation from "en-Loop Link Margin Index" (sic) to read "Open-Loop Link Margin"</w:t>
            </w:r>
            <w:r w:rsidR="00AD60CC">
              <w:rPr>
                <w:sz w:val="18"/>
                <w:szCs w:val="18"/>
              </w:rPr>
              <w:t xml:space="preserve">. </w:t>
            </w:r>
          </w:p>
          <w:p w:rsidR="00B15876" w:rsidRDefault="00B15876" w:rsidP="00B15876">
            <w:pPr>
              <w:autoSpaceDE w:val="0"/>
              <w:autoSpaceDN w:val="0"/>
              <w:adjustRightInd w:val="0"/>
              <w:rPr>
                <w:sz w:val="18"/>
                <w:szCs w:val="18"/>
              </w:rPr>
            </w:pPr>
          </w:p>
          <w:p w:rsidR="004818FE" w:rsidRPr="004818FE" w:rsidRDefault="004818FE" w:rsidP="00B15876">
            <w:pPr>
              <w:autoSpaceDE w:val="0"/>
              <w:autoSpaceDN w:val="0"/>
              <w:adjustRightInd w:val="0"/>
              <w:rPr>
                <w:sz w:val="18"/>
                <w:szCs w:val="18"/>
              </w:rPr>
            </w:pPr>
            <w:proofErr w:type="spellStart"/>
            <w:r w:rsidRPr="00723E77">
              <w:rPr>
                <w:rFonts w:ascii="Arial" w:eastAsia="Gulim" w:hAnsi="Arial" w:cs="Arial"/>
                <w:sz w:val="20"/>
                <w:lang w:val="en-US" w:eastAsia="ko-KR"/>
              </w:rPr>
              <w:t>TGah</w:t>
            </w:r>
            <w:proofErr w:type="spellEnd"/>
            <w:r w:rsidRPr="00723E77">
              <w:rPr>
                <w:rFonts w:ascii="Arial" w:eastAsia="Gulim" w:hAnsi="Arial" w:cs="Arial"/>
                <w:sz w:val="20"/>
                <w:lang w:val="en-US" w:eastAsia="ko-KR"/>
              </w:rPr>
              <w:t xml:space="preserve"> editor to make the changes shown in </w:t>
            </w:r>
            <w:r w:rsidRPr="00A442DF">
              <w:rPr>
                <w:rFonts w:ascii="Arial" w:eastAsia="Gulim" w:hAnsi="Arial" w:cs="Arial"/>
                <w:sz w:val="20"/>
                <w:lang w:val="en-US" w:eastAsia="ko-KR"/>
              </w:rPr>
              <w:t>11-14/</w:t>
            </w:r>
            <w:r>
              <w:rPr>
                <w:rFonts w:ascii="Arial" w:eastAsia="Gulim" w:hAnsi="Arial" w:cs="Arial"/>
                <w:sz w:val="20"/>
                <w:lang w:val="en-US" w:eastAsia="ko-KR"/>
              </w:rPr>
              <w:t>1147r1</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w:t>
            </w:r>
            <w:r w:rsidRPr="008667E9">
              <w:t>3523</w:t>
            </w:r>
            <w:r>
              <w:t xml:space="preserve">, </w:t>
            </w:r>
            <w:r w:rsidRPr="00291705">
              <w:t>3524</w:t>
            </w:r>
            <w:r>
              <w:t>, 3525.</w:t>
            </w:r>
          </w:p>
          <w:p w:rsidR="000C367F" w:rsidRPr="007E57AA" w:rsidRDefault="000C367F" w:rsidP="000E35A4">
            <w:pPr>
              <w:autoSpaceDE w:val="0"/>
              <w:autoSpaceDN w:val="0"/>
              <w:adjustRightInd w:val="0"/>
              <w:ind w:left="90" w:hangingChars="50" w:hanging="90"/>
              <w:rPr>
                <w:bCs/>
                <w:sz w:val="18"/>
                <w:szCs w:val="18"/>
                <w:lang w:eastAsia="ko-KR"/>
              </w:rPr>
            </w:pPr>
          </w:p>
        </w:tc>
      </w:tr>
      <w:tr w:rsidR="00677697" w:rsidRPr="007E57AA" w:rsidTr="00BC3820">
        <w:trPr>
          <w:trHeight w:val="2086"/>
        </w:trPr>
        <w:tc>
          <w:tcPr>
            <w:tcW w:w="671" w:type="dxa"/>
          </w:tcPr>
          <w:p w:rsidR="00677697" w:rsidRPr="007E57AA" w:rsidRDefault="00F56A87" w:rsidP="00677697">
            <w:pPr>
              <w:jc w:val="right"/>
              <w:rPr>
                <w:sz w:val="18"/>
                <w:szCs w:val="18"/>
              </w:rPr>
            </w:pPr>
            <w:r>
              <w:rPr>
                <w:sz w:val="18"/>
                <w:szCs w:val="18"/>
              </w:rPr>
              <w:t>3524</w:t>
            </w:r>
          </w:p>
        </w:tc>
        <w:tc>
          <w:tcPr>
            <w:tcW w:w="946" w:type="dxa"/>
          </w:tcPr>
          <w:p w:rsidR="00677697" w:rsidRPr="007E57AA" w:rsidRDefault="00F56A87" w:rsidP="007E57AA">
            <w:pPr>
              <w:rPr>
                <w:sz w:val="18"/>
                <w:szCs w:val="18"/>
              </w:rPr>
            </w:pPr>
            <w:r w:rsidRPr="00F56A87">
              <w:rPr>
                <w:sz w:val="18"/>
                <w:szCs w:val="18"/>
              </w:rPr>
              <w:t xml:space="preserve">Edward </w:t>
            </w:r>
            <w:proofErr w:type="spellStart"/>
            <w:r w:rsidRPr="00F56A87">
              <w:rPr>
                <w:sz w:val="18"/>
                <w:szCs w:val="18"/>
              </w:rPr>
              <w:t>Reuss</w:t>
            </w:r>
            <w:proofErr w:type="spellEnd"/>
          </w:p>
        </w:tc>
        <w:tc>
          <w:tcPr>
            <w:tcW w:w="676" w:type="dxa"/>
          </w:tcPr>
          <w:p w:rsidR="00677697" w:rsidRPr="007E57AA" w:rsidRDefault="00F56A87" w:rsidP="00677697">
            <w:pPr>
              <w:jc w:val="right"/>
              <w:rPr>
                <w:sz w:val="18"/>
                <w:szCs w:val="18"/>
              </w:rPr>
            </w:pPr>
            <w:r>
              <w:rPr>
                <w:sz w:val="18"/>
                <w:szCs w:val="18"/>
              </w:rPr>
              <w:t>123.</w:t>
            </w:r>
            <w:r w:rsidR="0056463E">
              <w:rPr>
                <w:sz w:val="18"/>
                <w:szCs w:val="18"/>
              </w:rPr>
              <w:t>50</w:t>
            </w:r>
          </w:p>
        </w:tc>
        <w:tc>
          <w:tcPr>
            <w:tcW w:w="905" w:type="dxa"/>
          </w:tcPr>
          <w:p w:rsidR="00677697" w:rsidRPr="007E57AA" w:rsidRDefault="00677697" w:rsidP="00F56A87">
            <w:pPr>
              <w:rPr>
                <w:sz w:val="18"/>
                <w:szCs w:val="18"/>
              </w:rPr>
            </w:pPr>
            <w:r w:rsidRPr="007E57AA">
              <w:rPr>
                <w:sz w:val="18"/>
                <w:szCs w:val="18"/>
              </w:rPr>
              <w:t>8.4.2.170</w:t>
            </w:r>
          </w:p>
        </w:tc>
        <w:tc>
          <w:tcPr>
            <w:tcW w:w="1788" w:type="dxa"/>
          </w:tcPr>
          <w:p w:rsidR="00677697" w:rsidRPr="007E57AA" w:rsidRDefault="005C45E8" w:rsidP="00677697">
            <w:pPr>
              <w:rPr>
                <w:sz w:val="18"/>
                <w:szCs w:val="18"/>
              </w:rPr>
            </w:pPr>
            <w:r w:rsidRPr="005C45E8">
              <w:rPr>
                <w:sz w:val="18"/>
                <w:szCs w:val="18"/>
              </w:rPr>
              <w:t xml:space="preserve">The last paragraph in this section (Starting on line 50) is better than in D1.0, but it's still a mess. It confuses dB and </w:t>
            </w:r>
            <w:proofErr w:type="spellStart"/>
            <w:r w:rsidRPr="005C45E8">
              <w:rPr>
                <w:sz w:val="18"/>
                <w:szCs w:val="18"/>
              </w:rPr>
              <w:t>dBm</w:t>
            </w:r>
            <w:proofErr w:type="spellEnd"/>
            <w:r w:rsidRPr="005C45E8">
              <w:rPr>
                <w:sz w:val="18"/>
                <w:szCs w:val="18"/>
              </w:rPr>
              <w:t xml:space="preserve">, and it also confuses open-loop link margin and the Open-Loop Link Margin Index. The link margin is NOT measured in </w:t>
            </w:r>
            <w:proofErr w:type="spellStart"/>
            <w:r w:rsidRPr="005C45E8">
              <w:rPr>
                <w:sz w:val="18"/>
                <w:szCs w:val="18"/>
              </w:rPr>
              <w:t>dBm</w:t>
            </w:r>
            <w:proofErr w:type="spellEnd"/>
            <w:r w:rsidRPr="005C45E8">
              <w:rPr>
                <w:sz w:val="18"/>
                <w:szCs w:val="18"/>
              </w:rPr>
              <w:t xml:space="preserve">. Instead it is measured in dB. The value "D" is actually the Open-loop Link Margin Index. The first sentence correctly refers to the link margin, but incorrectly identifies it in units of </w:t>
            </w:r>
            <w:proofErr w:type="spellStart"/>
            <w:r w:rsidRPr="005C45E8">
              <w:rPr>
                <w:sz w:val="18"/>
                <w:szCs w:val="18"/>
              </w:rPr>
              <w:t>dBm</w:t>
            </w:r>
            <w:proofErr w:type="spellEnd"/>
            <w:r w:rsidRPr="005C45E8">
              <w:rPr>
                <w:sz w:val="18"/>
                <w:szCs w:val="18"/>
              </w:rPr>
              <w:t xml:space="preserve">. The second and third sentences incorrectly refer to the Open Loop Link Margin Index (Which is in units of 0.5 dB), but they are both actually describing the open loop link margin, which should also be in dB, not </w:t>
            </w:r>
            <w:proofErr w:type="spellStart"/>
            <w:r w:rsidRPr="005C45E8">
              <w:rPr>
                <w:sz w:val="18"/>
                <w:szCs w:val="18"/>
              </w:rPr>
              <w:t>dBm</w:t>
            </w:r>
            <w:proofErr w:type="spellEnd"/>
            <w:r w:rsidRPr="005C45E8">
              <w:rPr>
                <w:sz w:val="18"/>
                <w:szCs w:val="18"/>
              </w:rPr>
              <w:t>.</w:t>
            </w:r>
          </w:p>
        </w:tc>
        <w:tc>
          <w:tcPr>
            <w:tcW w:w="2190" w:type="dxa"/>
          </w:tcPr>
          <w:p w:rsidR="00677697" w:rsidRPr="007E57AA" w:rsidRDefault="005C45E8" w:rsidP="00677697">
            <w:pPr>
              <w:rPr>
                <w:sz w:val="18"/>
                <w:szCs w:val="18"/>
              </w:rPr>
            </w:pPr>
            <w:r w:rsidRPr="005C45E8">
              <w:rPr>
                <w:sz w:val="18"/>
                <w:szCs w:val="18"/>
              </w:rPr>
              <w:t>The cheap &amp; dirty solution to make this paragraph technically &amp; mathematically correct is to change all three instances of "</w:t>
            </w:r>
            <w:proofErr w:type="spellStart"/>
            <w:r w:rsidRPr="005C45E8">
              <w:rPr>
                <w:sz w:val="18"/>
                <w:szCs w:val="18"/>
              </w:rPr>
              <w:t>dBm</w:t>
            </w:r>
            <w:proofErr w:type="spellEnd"/>
            <w:r w:rsidRPr="005C45E8">
              <w:rPr>
                <w:sz w:val="18"/>
                <w:szCs w:val="18"/>
              </w:rPr>
              <w:t xml:space="preserve">" to "dB", and to change both instances of "Open-Loop Link Margin Index" to open-loop link margin. However, this solution still does not properly describe how to calculate the Open-Loop Link Margin Index from the </w:t>
            </w:r>
            <w:proofErr w:type="spellStart"/>
            <w:r w:rsidRPr="005C45E8">
              <w:rPr>
                <w:sz w:val="18"/>
                <w:szCs w:val="18"/>
              </w:rPr>
              <w:t>Ptx</w:t>
            </w:r>
            <w:proofErr w:type="spellEnd"/>
            <w:r w:rsidRPr="005C45E8">
              <w:rPr>
                <w:sz w:val="18"/>
                <w:szCs w:val="18"/>
              </w:rPr>
              <w:t xml:space="preserve"> and the </w:t>
            </w:r>
            <w:proofErr w:type="spellStart"/>
            <w:r w:rsidRPr="005C45E8">
              <w:rPr>
                <w:sz w:val="18"/>
                <w:szCs w:val="18"/>
              </w:rPr>
              <w:t>RXsensitivity</w:t>
            </w:r>
            <w:proofErr w:type="spellEnd"/>
            <w:r w:rsidRPr="005C45E8">
              <w:rPr>
                <w:sz w:val="18"/>
                <w:szCs w:val="18"/>
              </w:rPr>
              <w:t>. Therefore, the complete solution is to either choose the option #2 in my previous comment, which describes the equation for the Open-Loop Link Margin Index, or else to introduce that formula in this paragraph.</w:t>
            </w:r>
          </w:p>
        </w:tc>
        <w:tc>
          <w:tcPr>
            <w:tcW w:w="3033" w:type="dxa"/>
          </w:tcPr>
          <w:p w:rsidR="007E57AA" w:rsidRDefault="008F5289" w:rsidP="007E57AA">
            <w:pPr>
              <w:autoSpaceDE w:val="0"/>
              <w:autoSpaceDN w:val="0"/>
              <w:adjustRightInd w:val="0"/>
              <w:ind w:left="90" w:hangingChars="50" w:hanging="90"/>
              <w:rPr>
                <w:bCs/>
                <w:sz w:val="18"/>
                <w:szCs w:val="18"/>
                <w:lang w:eastAsia="ko-KR"/>
              </w:rPr>
            </w:pPr>
            <w:r>
              <w:rPr>
                <w:bCs/>
                <w:sz w:val="18"/>
                <w:szCs w:val="18"/>
                <w:lang w:eastAsia="ko-KR"/>
              </w:rPr>
              <w:t>Revised</w:t>
            </w:r>
            <w:r w:rsidR="007E57AA">
              <w:rPr>
                <w:bCs/>
                <w:sz w:val="18"/>
                <w:szCs w:val="18"/>
                <w:lang w:eastAsia="ko-KR"/>
              </w:rPr>
              <w:t xml:space="preserve"> –</w:t>
            </w:r>
          </w:p>
          <w:p w:rsidR="008F5289" w:rsidRDefault="008F5289" w:rsidP="007E57AA">
            <w:pPr>
              <w:autoSpaceDE w:val="0"/>
              <w:autoSpaceDN w:val="0"/>
              <w:adjustRightInd w:val="0"/>
              <w:ind w:left="90" w:hangingChars="50" w:hanging="90"/>
              <w:rPr>
                <w:bCs/>
                <w:sz w:val="18"/>
                <w:szCs w:val="18"/>
                <w:lang w:eastAsia="ko-KR"/>
              </w:rPr>
            </w:pPr>
          </w:p>
          <w:p w:rsidR="007E57AA" w:rsidRDefault="008F5289" w:rsidP="007E57AA">
            <w:pPr>
              <w:autoSpaceDE w:val="0"/>
              <w:autoSpaceDN w:val="0"/>
              <w:adjustRightInd w:val="0"/>
              <w:ind w:left="90" w:hangingChars="50" w:hanging="90"/>
              <w:rPr>
                <w:bCs/>
                <w:sz w:val="18"/>
                <w:szCs w:val="18"/>
                <w:lang w:eastAsia="ko-KR"/>
              </w:rPr>
            </w:pPr>
            <w:r>
              <w:rPr>
                <w:bCs/>
                <w:sz w:val="18"/>
                <w:szCs w:val="18"/>
                <w:lang w:eastAsia="ko-KR"/>
              </w:rPr>
              <w:t xml:space="preserve">Open-loop link margin is measured in </w:t>
            </w:r>
            <w:proofErr w:type="spellStart"/>
            <w:r>
              <w:rPr>
                <w:bCs/>
                <w:sz w:val="18"/>
                <w:szCs w:val="18"/>
                <w:lang w:eastAsia="ko-KR"/>
              </w:rPr>
              <w:t>dBm</w:t>
            </w:r>
            <w:proofErr w:type="spellEnd"/>
            <w:r>
              <w:rPr>
                <w:bCs/>
                <w:sz w:val="18"/>
                <w:szCs w:val="18"/>
                <w:lang w:eastAsia="ko-KR"/>
              </w:rPr>
              <w:t xml:space="preserve">. It is a fixed value. Open-loop link margin index is used to indicate this </w:t>
            </w:r>
            <w:proofErr w:type="spellStart"/>
            <w:r>
              <w:rPr>
                <w:bCs/>
                <w:sz w:val="18"/>
                <w:szCs w:val="18"/>
                <w:lang w:eastAsia="ko-KR"/>
              </w:rPr>
              <w:t>abosolute</w:t>
            </w:r>
            <w:proofErr w:type="spellEnd"/>
            <w:r>
              <w:rPr>
                <w:bCs/>
                <w:sz w:val="18"/>
                <w:szCs w:val="18"/>
                <w:lang w:eastAsia="ko-KR"/>
              </w:rPr>
              <w:t xml:space="preserve"> value. </w:t>
            </w:r>
          </w:p>
          <w:p w:rsidR="00677697" w:rsidRDefault="00677697" w:rsidP="007E57AA">
            <w:pPr>
              <w:autoSpaceDE w:val="0"/>
              <w:autoSpaceDN w:val="0"/>
              <w:adjustRightInd w:val="0"/>
              <w:ind w:left="90" w:hangingChars="50" w:hanging="90"/>
              <w:rPr>
                <w:bCs/>
                <w:sz w:val="18"/>
                <w:szCs w:val="18"/>
                <w:lang w:eastAsia="ko-KR"/>
              </w:rPr>
            </w:pPr>
          </w:p>
          <w:p w:rsidR="004818FE" w:rsidRDefault="004818FE" w:rsidP="008F5289">
            <w:pPr>
              <w:autoSpaceDE w:val="0"/>
              <w:autoSpaceDN w:val="0"/>
              <w:adjustRightInd w:val="0"/>
              <w:ind w:left="90" w:hangingChars="50" w:hanging="90"/>
              <w:rPr>
                <w:color w:val="000000"/>
                <w:sz w:val="18"/>
                <w:szCs w:val="18"/>
                <w:lang w:val="en-US" w:eastAsia="ko-KR"/>
              </w:rPr>
            </w:pPr>
          </w:p>
          <w:p w:rsidR="004818FE" w:rsidRPr="004818FE" w:rsidRDefault="004818FE" w:rsidP="004818FE">
            <w:pPr>
              <w:autoSpaceDE w:val="0"/>
              <w:autoSpaceDN w:val="0"/>
              <w:adjustRightInd w:val="0"/>
              <w:ind w:left="100" w:hangingChars="50" w:hanging="100"/>
              <w:rPr>
                <w:bCs/>
                <w:sz w:val="18"/>
                <w:szCs w:val="18"/>
                <w:lang w:eastAsia="ko-KR"/>
              </w:rPr>
            </w:pPr>
            <w:proofErr w:type="spellStart"/>
            <w:r w:rsidRPr="00723E77">
              <w:rPr>
                <w:rFonts w:ascii="Arial" w:eastAsia="Gulim" w:hAnsi="Arial" w:cs="Arial"/>
                <w:sz w:val="20"/>
                <w:lang w:val="en-US" w:eastAsia="ko-KR"/>
              </w:rPr>
              <w:t>TGah</w:t>
            </w:r>
            <w:proofErr w:type="spellEnd"/>
            <w:r w:rsidRPr="00723E77">
              <w:rPr>
                <w:rFonts w:ascii="Arial" w:eastAsia="Gulim" w:hAnsi="Arial" w:cs="Arial"/>
                <w:sz w:val="20"/>
                <w:lang w:val="en-US" w:eastAsia="ko-KR"/>
              </w:rPr>
              <w:t xml:space="preserve"> editor to make the changes shown in </w:t>
            </w:r>
            <w:r w:rsidRPr="00A442DF">
              <w:rPr>
                <w:rFonts w:ascii="Arial" w:eastAsia="Gulim" w:hAnsi="Arial" w:cs="Arial"/>
                <w:sz w:val="20"/>
                <w:lang w:val="en-US" w:eastAsia="ko-KR"/>
              </w:rPr>
              <w:t>11-14/</w:t>
            </w:r>
            <w:r>
              <w:rPr>
                <w:rFonts w:ascii="Arial" w:eastAsia="Gulim" w:hAnsi="Arial" w:cs="Arial"/>
                <w:sz w:val="20"/>
                <w:lang w:val="en-US" w:eastAsia="ko-KR"/>
              </w:rPr>
              <w:t>1147r1</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w:t>
            </w:r>
            <w:r w:rsidRPr="008667E9">
              <w:t>3523</w:t>
            </w:r>
            <w:r>
              <w:t xml:space="preserve">, </w:t>
            </w:r>
            <w:r w:rsidRPr="00291705">
              <w:t>3524</w:t>
            </w:r>
            <w:r>
              <w:t>, 3525.</w:t>
            </w:r>
          </w:p>
        </w:tc>
      </w:tr>
      <w:tr w:rsidR="00677697" w:rsidRPr="007E57AA" w:rsidTr="00BC3820">
        <w:trPr>
          <w:trHeight w:val="1665"/>
        </w:trPr>
        <w:tc>
          <w:tcPr>
            <w:tcW w:w="671" w:type="dxa"/>
          </w:tcPr>
          <w:p w:rsidR="00677697" w:rsidRPr="007E57AA" w:rsidRDefault="00713C7B" w:rsidP="00677697">
            <w:pPr>
              <w:jc w:val="right"/>
              <w:rPr>
                <w:sz w:val="18"/>
                <w:szCs w:val="18"/>
              </w:rPr>
            </w:pPr>
            <w:r>
              <w:rPr>
                <w:sz w:val="18"/>
                <w:szCs w:val="18"/>
              </w:rPr>
              <w:t>3525</w:t>
            </w:r>
          </w:p>
        </w:tc>
        <w:tc>
          <w:tcPr>
            <w:tcW w:w="946" w:type="dxa"/>
          </w:tcPr>
          <w:p w:rsidR="00677697" w:rsidRPr="007E57AA" w:rsidRDefault="00713C7B" w:rsidP="009C7801">
            <w:pPr>
              <w:rPr>
                <w:sz w:val="18"/>
                <w:szCs w:val="18"/>
              </w:rPr>
            </w:pPr>
            <w:r w:rsidRPr="00F56A87">
              <w:rPr>
                <w:sz w:val="18"/>
                <w:szCs w:val="18"/>
              </w:rPr>
              <w:t xml:space="preserve">Edward </w:t>
            </w:r>
            <w:proofErr w:type="spellStart"/>
            <w:r w:rsidRPr="00F56A87">
              <w:rPr>
                <w:sz w:val="18"/>
                <w:szCs w:val="18"/>
              </w:rPr>
              <w:t>Reuss</w:t>
            </w:r>
            <w:proofErr w:type="spellEnd"/>
          </w:p>
        </w:tc>
        <w:tc>
          <w:tcPr>
            <w:tcW w:w="676" w:type="dxa"/>
          </w:tcPr>
          <w:p w:rsidR="00677697" w:rsidRPr="007E57AA" w:rsidRDefault="00713C7B" w:rsidP="00677697">
            <w:pPr>
              <w:jc w:val="right"/>
              <w:rPr>
                <w:sz w:val="18"/>
                <w:szCs w:val="18"/>
              </w:rPr>
            </w:pPr>
            <w:r>
              <w:rPr>
                <w:sz w:val="18"/>
                <w:szCs w:val="18"/>
              </w:rPr>
              <w:t>123.40</w:t>
            </w:r>
          </w:p>
        </w:tc>
        <w:tc>
          <w:tcPr>
            <w:tcW w:w="905" w:type="dxa"/>
          </w:tcPr>
          <w:p w:rsidR="00677697" w:rsidRPr="007E57AA" w:rsidRDefault="00677697" w:rsidP="00677697">
            <w:pPr>
              <w:rPr>
                <w:sz w:val="18"/>
                <w:szCs w:val="18"/>
              </w:rPr>
            </w:pPr>
            <w:r w:rsidRPr="007E57AA">
              <w:rPr>
                <w:sz w:val="18"/>
                <w:szCs w:val="18"/>
              </w:rPr>
              <w:t>8.4.2.170</w:t>
            </w:r>
          </w:p>
        </w:tc>
        <w:tc>
          <w:tcPr>
            <w:tcW w:w="1788" w:type="dxa"/>
          </w:tcPr>
          <w:p w:rsidR="00677697" w:rsidRPr="007E57AA" w:rsidRDefault="00E07C9E" w:rsidP="00677697">
            <w:pPr>
              <w:rPr>
                <w:sz w:val="18"/>
                <w:szCs w:val="18"/>
              </w:rPr>
            </w:pPr>
            <w:r w:rsidRPr="00E07C9E">
              <w:rPr>
                <w:sz w:val="18"/>
                <w:szCs w:val="18"/>
              </w:rPr>
              <w:t xml:space="preserve">This description is an extremely simplistic link margin model. It does not account for several factors normally accounted for in a more general solution, such as the </w:t>
            </w:r>
            <w:proofErr w:type="spellStart"/>
            <w:r w:rsidRPr="00E07C9E">
              <w:rPr>
                <w:sz w:val="18"/>
                <w:szCs w:val="18"/>
              </w:rPr>
              <w:t>Friis</w:t>
            </w:r>
            <w:proofErr w:type="spellEnd"/>
            <w:r w:rsidRPr="00E07C9E">
              <w:rPr>
                <w:sz w:val="18"/>
                <w:szCs w:val="18"/>
              </w:rPr>
              <w:t xml:space="preserve"> Transmission Model. Many of these are static and can be folded into </w:t>
            </w:r>
            <w:r w:rsidRPr="00E07C9E">
              <w:rPr>
                <w:sz w:val="18"/>
                <w:szCs w:val="18"/>
              </w:rPr>
              <w:lastRenderedPageBreak/>
              <w:t xml:space="preserve">this simple model, but many cannot, either because they are dynamic, or else they do not follow TX/RX antenna reciprocity. Two of these factors of particular concern are in-channel interference and signal reflections. This means that the open loop link margin defined in this section is exceedingly optimistic, assuming zero interference and zero reflections, which is not realistic as the band for </w:t>
            </w:r>
            <w:proofErr w:type="spellStart"/>
            <w:r w:rsidRPr="00E07C9E">
              <w:rPr>
                <w:sz w:val="18"/>
                <w:szCs w:val="18"/>
              </w:rPr>
              <w:t>TGah</w:t>
            </w:r>
            <w:proofErr w:type="spellEnd"/>
            <w:r w:rsidRPr="00E07C9E">
              <w:rPr>
                <w:sz w:val="18"/>
                <w:szCs w:val="18"/>
              </w:rPr>
              <w:t xml:space="preserve"> is both unlicensed and a very reflection-rich environment. These factors limit the usefulness of the simplified open-loop link model.</w:t>
            </w:r>
          </w:p>
        </w:tc>
        <w:tc>
          <w:tcPr>
            <w:tcW w:w="2190" w:type="dxa"/>
          </w:tcPr>
          <w:p w:rsidR="00677697" w:rsidRPr="007E57AA" w:rsidRDefault="004603B6" w:rsidP="00677697">
            <w:pPr>
              <w:rPr>
                <w:sz w:val="18"/>
                <w:szCs w:val="18"/>
              </w:rPr>
            </w:pPr>
            <w:r w:rsidRPr="004603B6">
              <w:rPr>
                <w:sz w:val="18"/>
                <w:szCs w:val="18"/>
              </w:rPr>
              <w:lastRenderedPageBreak/>
              <w:t>Add an informative paragraph describing the impact of interference and reflections on the open loop link margin. Copying the description in the "Comment" section of this comment might be a good place to start.</w:t>
            </w:r>
          </w:p>
        </w:tc>
        <w:tc>
          <w:tcPr>
            <w:tcW w:w="3033" w:type="dxa"/>
          </w:tcPr>
          <w:p w:rsidR="0092329B" w:rsidRDefault="006939D0" w:rsidP="0092329B">
            <w:pPr>
              <w:autoSpaceDE w:val="0"/>
              <w:autoSpaceDN w:val="0"/>
              <w:adjustRightInd w:val="0"/>
              <w:ind w:left="90" w:hangingChars="50" w:hanging="90"/>
              <w:rPr>
                <w:bCs/>
                <w:sz w:val="18"/>
                <w:szCs w:val="18"/>
                <w:lang w:eastAsia="ko-KR"/>
              </w:rPr>
            </w:pPr>
            <w:r>
              <w:rPr>
                <w:bCs/>
                <w:sz w:val="18"/>
                <w:szCs w:val="18"/>
                <w:lang w:eastAsia="ko-KR"/>
              </w:rPr>
              <w:t>Revised</w:t>
            </w:r>
            <w:r w:rsidR="0092329B">
              <w:rPr>
                <w:bCs/>
                <w:sz w:val="18"/>
                <w:szCs w:val="18"/>
                <w:lang w:eastAsia="ko-KR"/>
              </w:rPr>
              <w:t xml:space="preserve"> –</w:t>
            </w:r>
          </w:p>
          <w:p w:rsidR="0092329B" w:rsidRDefault="0092329B" w:rsidP="0092329B">
            <w:pPr>
              <w:autoSpaceDE w:val="0"/>
              <w:autoSpaceDN w:val="0"/>
              <w:adjustRightInd w:val="0"/>
              <w:ind w:left="90" w:hangingChars="50" w:hanging="90"/>
              <w:rPr>
                <w:bCs/>
                <w:sz w:val="18"/>
                <w:szCs w:val="18"/>
                <w:lang w:eastAsia="ko-KR"/>
              </w:rPr>
            </w:pPr>
          </w:p>
          <w:p w:rsidR="00323C54" w:rsidRDefault="00323C54" w:rsidP="00323C54">
            <w:pPr>
              <w:autoSpaceDE w:val="0"/>
              <w:autoSpaceDN w:val="0"/>
              <w:adjustRightInd w:val="0"/>
              <w:ind w:left="90" w:hangingChars="50" w:hanging="90"/>
              <w:rPr>
                <w:bCs/>
                <w:sz w:val="18"/>
                <w:szCs w:val="18"/>
                <w:lang w:eastAsia="ko-KR"/>
              </w:rPr>
            </w:pPr>
            <w:r>
              <w:rPr>
                <w:bCs/>
                <w:sz w:val="18"/>
                <w:szCs w:val="18"/>
                <w:lang w:eastAsia="ko-KR"/>
              </w:rPr>
              <w:t>Reason:</w:t>
            </w:r>
          </w:p>
          <w:p w:rsidR="00677697" w:rsidRDefault="00323C54" w:rsidP="00323C54">
            <w:pPr>
              <w:rPr>
                <w:bCs/>
                <w:sz w:val="18"/>
                <w:szCs w:val="18"/>
                <w:lang w:eastAsia="ko-KR"/>
              </w:rPr>
            </w:pPr>
            <w:r>
              <w:rPr>
                <w:bCs/>
                <w:sz w:val="18"/>
                <w:szCs w:val="18"/>
                <w:lang w:eastAsia="ko-KR"/>
              </w:rPr>
              <w:t xml:space="preserve">Open-loop link margin is used for rough link </w:t>
            </w:r>
            <w:proofErr w:type="spellStart"/>
            <w:r>
              <w:rPr>
                <w:bCs/>
                <w:sz w:val="18"/>
                <w:szCs w:val="18"/>
                <w:lang w:eastAsia="ko-KR"/>
              </w:rPr>
              <w:t>adapation</w:t>
            </w:r>
            <w:proofErr w:type="spellEnd"/>
            <w:r>
              <w:rPr>
                <w:bCs/>
                <w:sz w:val="18"/>
                <w:szCs w:val="18"/>
                <w:lang w:eastAsia="ko-KR"/>
              </w:rPr>
              <w:t xml:space="preserve"> and power control. The idea is to make it simple and need least protocols. The goal is to enable sensor devices which do one time transmission and go back to</w:t>
            </w:r>
            <w:r w:rsidRPr="006939D0">
              <w:rPr>
                <w:bCs/>
                <w:sz w:val="18"/>
                <w:szCs w:val="18"/>
                <w:lang w:eastAsia="ko-KR"/>
              </w:rPr>
              <w:t xml:space="preserve"> </w:t>
            </w:r>
            <w:r>
              <w:rPr>
                <w:bCs/>
                <w:sz w:val="18"/>
                <w:szCs w:val="18"/>
                <w:lang w:eastAsia="ko-KR"/>
              </w:rPr>
              <w:t xml:space="preserve">sleep. However, to make the procedure clear, the usage of open-loop-link-margin is added. </w:t>
            </w:r>
            <w:r w:rsidR="006939D0">
              <w:rPr>
                <w:bCs/>
                <w:sz w:val="18"/>
                <w:szCs w:val="18"/>
                <w:lang w:eastAsia="ko-KR"/>
              </w:rPr>
              <w:t xml:space="preserve">Please see the </w:t>
            </w:r>
            <w:r w:rsidR="006939D0">
              <w:rPr>
                <w:bCs/>
                <w:sz w:val="18"/>
                <w:szCs w:val="18"/>
                <w:lang w:eastAsia="ko-KR"/>
              </w:rPr>
              <w:lastRenderedPageBreak/>
              <w:t>discussion for details.</w:t>
            </w:r>
          </w:p>
          <w:p w:rsidR="004818FE" w:rsidRDefault="004818FE" w:rsidP="00323C54">
            <w:pPr>
              <w:rPr>
                <w:bCs/>
                <w:sz w:val="18"/>
                <w:szCs w:val="18"/>
                <w:lang w:eastAsia="ko-KR"/>
              </w:rPr>
            </w:pPr>
          </w:p>
          <w:p w:rsidR="004818FE" w:rsidRPr="007E57AA" w:rsidRDefault="004818FE" w:rsidP="00323C54">
            <w:pPr>
              <w:rPr>
                <w:bCs/>
                <w:sz w:val="18"/>
                <w:szCs w:val="18"/>
                <w:lang w:eastAsia="ko-KR"/>
              </w:rPr>
            </w:pPr>
            <w:proofErr w:type="spellStart"/>
            <w:r w:rsidRPr="00723E77">
              <w:rPr>
                <w:rFonts w:ascii="Arial" w:eastAsia="Gulim" w:hAnsi="Arial" w:cs="Arial"/>
                <w:sz w:val="20"/>
                <w:lang w:val="en-US" w:eastAsia="ko-KR"/>
              </w:rPr>
              <w:t>TGah</w:t>
            </w:r>
            <w:proofErr w:type="spellEnd"/>
            <w:r w:rsidRPr="00723E77">
              <w:rPr>
                <w:rFonts w:ascii="Arial" w:eastAsia="Gulim" w:hAnsi="Arial" w:cs="Arial"/>
                <w:sz w:val="20"/>
                <w:lang w:val="en-US" w:eastAsia="ko-KR"/>
              </w:rPr>
              <w:t xml:space="preserve"> editor to make the changes shown in </w:t>
            </w:r>
            <w:r w:rsidRPr="00A442DF">
              <w:rPr>
                <w:rFonts w:ascii="Arial" w:eastAsia="Gulim" w:hAnsi="Arial" w:cs="Arial"/>
                <w:sz w:val="20"/>
                <w:lang w:val="en-US" w:eastAsia="ko-KR"/>
              </w:rPr>
              <w:t>11-14/</w:t>
            </w:r>
            <w:r>
              <w:rPr>
                <w:rFonts w:ascii="Arial" w:eastAsia="Gulim" w:hAnsi="Arial" w:cs="Arial"/>
                <w:sz w:val="20"/>
                <w:lang w:val="en-US" w:eastAsia="ko-KR"/>
              </w:rPr>
              <w:t>1147r1</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w:t>
            </w:r>
            <w:r w:rsidRPr="008667E9">
              <w:t>3523</w:t>
            </w:r>
            <w:r>
              <w:t xml:space="preserve">, </w:t>
            </w:r>
            <w:r w:rsidRPr="00291705">
              <w:t>3524</w:t>
            </w:r>
            <w:r>
              <w:t>, 3525.</w:t>
            </w:r>
          </w:p>
        </w:tc>
      </w:tr>
    </w:tbl>
    <w:p w:rsidR="00481E31" w:rsidRDefault="00481E31">
      <w:pPr>
        <w:rPr>
          <w:b/>
          <w:szCs w:val="22"/>
          <w:u w:val="single"/>
          <w:lang w:val="en-US" w:eastAsia="ko-KR"/>
        </w:rPr>
      </w:pPr>
    </w:p>
    <w:p w:rsidR="00D60E0E" w:rsidRPr="004818FE" w:rsidRDefault="00D60E0E">
      <w:pPr>
        <w:rPr>
          <w:szCs w:val="22"/>
          <w:u w:val="single"/>
          <w:lang w:val="en-US" w:eastAsia="ko-KR"/>
        </w:rPr>
      </w:pPr>
    </w:p>
    <w:p w:rsidR="00C63602" w:rsidRPr="004818FE" w:rsidRDefault="00863490">
      <w:pPr>
        <w:rPr>
          <w:szCs w:val="22"/>
          <w:lang w:val="en-US" w:eastAsia="ko-KR"/>
        </w:rPr>
      </w:pPr>
      <w:proofErr w:type="spellStart"/>
      <w:r w:rsidRPr="004818FE">
        <w:rPr>
          <w:szCs w:val="22"/>
          <w:lang w:val="en-US" w:eastAsia="ko-KR"/>
        </w:rPr>
        <w:t>Tgah</w:t>
      </w:r>
      <w:proofErr w:type="spellEnd"/>
      <w:r w:rsidRPr="004818FE">
        <w:rPr>
          <w:szCs w:val="22"/>
          <w:lang w:val="en-US" w:eastAsia="ko-KR"/>
        </w:rPr>
        <w:t xml:space="preserve"> editor: Please replace the contents </w:t>
      </w:r>
      <w:r w:rsidR="00853C46" w:rsidRPr="004818FE">
        <w:rPr>
          <w:szCs w:val="22"/>
          <w:lang w:val="en-US" w:eastAsia="ko-KR"/>
        </w:rPr>
        <w:t>of 8.4.2.170</w:t>
      </w:r>
      <w:r w:rsidRPr="004818FE">
        <w:rPr>
          <w:lang w:eastAsia="ko-KR"/>
        </w:rPr>
        <w:t xml:space="preserve"> after “the El</w:t>
      </w:r>
      <w:r w:rsidR="00332E34">
        <w:rPr>
          <w:lang w:eastAsia="ko-KR"/>
        </w:rPr>
        <w:t>e</w:t>
      </w:r>
      <w:r w:rsidRPr="004818FE">
        <w:rPr>
          <w:lang w:eastAsia="ko-KR"/>
        </w:rPr>
        <w:t>ment ID and length fields are defined in 8.4.2.1 (general).”</w:t>
      </w:r>
    </w:p>
    <w:p w:rsidR="00677697" w:rsidRPr="004818FE" w:rsidRDefault="00677697">
      <w:pPr>
        <w:rPr>
          <w:szCs w:val="22"/>
          <w:lang w:val="en-US" w:eastAsia="ko-KR"/>
        </w:rPr>
      </w:pPr>
    </w:p>
    <w:p w:rsidR="004818FE" w:rsidRPr="004818FE" w:rsidRDefault="004818FE">
      <w:pPr>
        <w:rPr>
          <w:szCs w:val="22"/>
          <w:lang w:val="en-US" w:eastAsia="ko-KR"/>
        </w:rPr>
      </w:pPr>
      <w:r w:rsidRPr="004818FE">
        <w:rPr>
          <w:rFonts w:eastAsia="Gulim"/>
          <w:sz w:val="20"/>
          <w:lang w:val="en-US" w:eastAsia="ko-KR"/>
        </w:rPr>
        <w:t xml:space="preserve">CID </w:t>
      </w:r>
      <w:r w:rsidRPr="004818FE">
        <w:t>3523, 3524, 3525</w:t>
      </w:r>
      <w:r>
        <w:t>:</w:t>
      </w:r>
    </w:p>
    <w:p w:rsidR="006939D0" w:rsidRPr="00863490" w:rsidRDefault="00863490" w:rsidP="006939D0">
      <w:pPr>
        <w:autoSpaceDE w:val="0"/>
        <w:autoSpaceDN w:val="0"/>
        <w:adjustRightInd w:val="0"/>
        <w:spacing w:before="240"/>
        <w:jc w:val="both"/>
        <w:rPr>
          <w:color w:val="FF0000"/>
          <w:sz w:val="18"/>
          <w:szCs w:val="18"/>
          <w:lang w:val="en-US" w:eastAsia="ko-KR"/>
        </w:rPr>
      </w:pPr>
      <w:r>
        <w:rPr>
          <w:color w:val="000000"/>
          <w:sz w:val="18"/>
          <w:szCs w:val="18"/>
          <w:lang w:val="en-US" w:eastAsia="ko-KR"/>
        </w:rPr>
        <w:t xml:space="preserve"> </w:t>
      </w:r>
      <w:r w:rsidR="005F2CDD" w:rsidRPr="00863490">
        <w:rPr>
          <w:color w:val="FF0000"/>
          <w:sz w:val="18"/>
          <w:szCs w:val="18"/>
          <w:lang w:val="en-US" w:eastAsia="ko-KR"/>
        </w:rPr>
        <w:t>“</w:t>
      </w:r>
      <w:r w:rsidR="006939D0" w:rsidRPr="00863490">
        <w:rPr>
          <w:color w:val="FF0000"/>
          <w:sz w:val="18"/>
          <w:szCs w:val="18"/>
          <w:lang w:val="en-US" w:eastAsia="ko-KR"/>
        </w:rPr>
        <w:t xml:space="preserve">The </w:t>
      </w:r>
      <w:r w:rsidR="004C5691" w:rsidRPr="00863490">
        <w:rPr>
          <w:rFonts w:eastAsia="Batang"/>
          <w:color w:val="FF0000"/>
          <w:sz w:val="18"/>
          <w:szCs w:val="18"/>
          <w:lang w:val="en-US" w:eastAsia="ko-KR"/>
        </w:rPr>
        <w:t>S1G</w:t>
      </w:r>
      <w:r w:rsidR="004C5691" w:rsidRPr="00863490">
        <w:rPr>
          <w:color w:val="FF0000"/>
          <w:sz w:val="18"/>
          <w:szCs w:val="18"/>
          <w:lang w:val="en-US" w:eastAsia="ko-KR"/>
        </w:rPr>
        <w:t xml:space="preserve"> </w:t>
      </w:r>
      <w:r w:rsidR="006939D0" w:rsidRPr="00863490">
        <w:rPr>
          <w:color w:val="FF0000"/>
          <w:sz w:val="18"/>
          <w:szCs w:val="18"/>
          <w:lang w:val="en-US" w:eastAsia="ko-KR"/>
        </w:rPr>
        <w:t xml:space="preserve">Open-Loop Link Margin </w:t>
      </w:r>
      <m:oMath>
        <m:sSub>
          <m:sSubPr>
            <m:ctrlPr>
              <w:rPr>
                <w:rFonts w:ascii="Cambria Math" w:hAnsi="Cambria Math"/>
                <w:color w:val="FF0000"/>
                <w:sz w:val="18"/>
                <w:szCs w:val="18"/>
                <w:lang w:val="en-US" w:eastAsia="ko-KR"/>
              </w:rPr>
            </m:ctrlPr>
          </m:sSubPr>
          <m:e>
            <m:r>
              <m:rPr>
                <m:sty m:val="p"/>
              </m:rPr>
              <w:rPr>
                <w:rFonts w:ascii="Cambria Math"/>
                <w:color w:val="FF0000"/>
                <w:sz w:val="18"/>
                <w:szCs w:val="18"/>
                <w:lang w:val="en-US" w:eastAsia="ko-KR"/>
              </w:rPr>
              <m:t>Δ</m:t>
            </m:r>
          </m:e>
          <m:sub>
            <m:r>
              <w:rPr>
                <w:rFonts w:ascii="Cambria Math" w:hAnsi="Cambria Math"/>
                <w:color w:val="FF0000"/>
                <w:sz w:val="18"/>
                <w:szCs w:val="18"/>
                <w:lang w:val="en-US" w:eastAsia="ko-KR"/>
              </w:rPr>
              <m:t>OPLM</m:t>
            </m:r>
          </m:sub>
        </m:sSub>
        <m:r>
          <m:rPr>
            <m:sty m:val="p"/>
          </m:rPr>
          <w:rPr>
            <w:rFonts w:ascii="Cambria Math"/>
            <w:color w:val="FF0000"/>
            <w:sz w:val="18"/>
            <w:szCs w:val="18"/>
            <w:lang w:val="en-US" w:eastAsia="ko-KR"/>
          </w:rPr>
          <m:t xml:space="preserve"> </m:t>
        </m:r>
      </m:oMath>
      <w:r w:rsidR="006939D0" w:rsidRPr="00863490">
        <w:rPr>
          <w:color w:val="FF0000"/>
          <w:sz w:val="18"/>
          <w:szCs w:val="18"/>
          <w:lang w:val="en-US" w:eastAsia="ko-KR"/>
        </w:rPr>
        <w:t xml:space="preserve">is defined as the summation of transmit power </w:t>
      </w:r>
      <w:proofErr w:type="spellStart"/>
      <w:r w:rsidR="006939D0" w:rsidRPr="00863490">
        <w:rPr>
          <w:i/>
          <w:iCs/>
          <w:color w:val="FF0000"/>
          <w:sz w:val="18"/>
          <w:szCs w:val="18"/>
          <w:lang w:val="en-US" w:eastAsia="ko-KR"/>
        </w:rPr>
        <w:t>Ptx</w:t>
      </w:r>
      <w:proofErr w:type="spellEnd"/>
      <w:r w:rsidR="006939D0" w:rsidRPr="00863490">
        <w:rPr>
          <w:i/>
          <w:iCs/>
          <w:color w:val="FF0000"/>
          <w:sz w:val="18"/>
          <w:szCs w:val="18"/>
          <w:lang w:val="en-US" w:eastAsia="ko-KR"/>
        </w:rPr>
        <w:t xml:space="preserve"> </w:t>
      </w:r>
      <w:r w:rsidR="006939D0" w:rsidRPr="00863490">
        <w:rPr>
          <w:color w:val="FF0000"/>
          <w:sz w:val="18"/>
          <w:szCs w:val="18"/>
          <w:lang w:val="en-US" w:eastAsia="ko-KR"/>
        </w:rPr>
        <w:t xml:space="preserve">and the receiver sensitivity </w:t>
      </w:r>
      <w:proofErr w:type="spellStart"/>
      <w:r w:rsidR="006939D0" w:rsidRPr="00863490">
        <w:rPr>
          <w:i/>
          <w:iCs/>
          <w:color w:val="FF0000"/>
          <w:sz w:val="18"/>
          <w:szCs w:val="18"/>
          <w:lang w:val="en-US" w:eastAsia="ko-KR"/>
        </w:rPr>
        <w:t>RXsensitivity</w:t>
      </w:r>
      <w:proofErr w:type="spellEnd"/>
    </w:p>
    <w:p w:rsidR="006939D0" w:rsidRPr="00863490" w:rsidRDefault="00354149" w:rsidP="00323C54">
      <w:pPr>
        <w:autoSpaceDE w:val="0"/>
        <w:autoSpaceDN w:val="0"/>
        <w:adjustRightInd w:val="0"/>
        <w:spacing w:before="240"/>
        <w:jc w:val="center"/>
        <w:rPr>
          <w:rFonts w:eastAsia="Batang"/>
          <w:color w:val="FF0000"/>
          <w:sz w:val="18"/>
          <w:szCs w:val="18"/>
          <w:lang w:val="en-US" w:eastAsia="ko-KR"/>
        </w:rPr>
      </w:pPr>
      <m:oMath>
        <m:sSub>
          <m:sSubPr>
            <m:ctrlPr>
              <w:rPr>
                <w:rFonts w:ascii="Cambria Math" w:hAnsi="Cambria Math"/>
                <w:color w:val="FF0000"/>
                <w:sz w:val="18"/>
                <w:szCs w:val="18"/>
                <w:lang w:val="en-US" w:eastAsia="ko-KR"/>
              </w:rPr>
            </m:ctrlPr>
          </m:sSubPr>
          <m:e>
            <m:r>
              <m:rPr>
                <m:sty m:val="p"/>
              </m:rPr>
              <w:rPr>
                <w:rFonts w:ascii="Cambria Math"/>
                <w:color w:val="FF0000"/>
                <w:sz w:val="18"/>
                <w:szCs w:val="18"/>
                <w:lang w:val="en-US" w:eastAsia="ko-KR"/>
              </w:rPr>
              <m:t>Δ</m:t>
            </m:r>
          </m:e>
          <m:sub>
            <m:r>
              <w:rPr>
                <w:rFonts w:ascii="Cambria Math" w:hAnsi="Cambria Math"/>
                <w:color w:val="FF0000"/>
                <w:sz w:val="18"/>
                <w:szCs w:val="18"/>
                <w:lang w:val="en-US" w:eastAsia="ko-KR"/>
              </w:rPr>
              <m:t>OPLM</m:t>
            </m:r>
          </m:sub>
        </m:sSub>
        <m:r>
          <m:rPr>
            <m:sty m:val="p"/>
          </m:rPr>
          <w:rPr>
            <w:rFonts w:ascii="Cambria Math"/>
            <w:color w:val="FF0000"/>
            <w:sz w:val="18"/>
            <w:szCs w:val="18"/>
            <w:lang w:val="en-US" w:eastAsia="ko-KR"/>
          </w:rPr>
          <m:t>=</m:t>
        </m:r>
        <m:sSub>
          <m:sSubPr>
            <m:ctrlPr>
              <w:rPr>
                <w:rFonts w:ascii="Cambria Math" w:eastAsia="Batang" w:hAnsi="Cambria Math"/>
                <w:i/>
                <w:color w:val="FF0000"/>
                <w:sz w:val="18"/>
                <w:szCs w:val="18"/>
                <w:lang w:val="en-US" w:eastAsia="ko-KR"/>
              </w:rPr>
            </m:ctrlPr>
          </m:sSubPr>
          <m:e>
            <m:r>
              <w:rPr>
                <w:rFonts w:ascii="Cambria Math" w:eastAsia="Batang" w:hAnsi="Cambria Math"/>
                <w:color w:val="FF0000"/>
                <w:sz w:val="18"/>
                <w:szCs w:val="18"/>
                <w:lang w:val="en-US" w:eastAsia="ko-KR"/>
              </w:rPr>
              <m:t>P</m:t>
            </m:r>
          </m:e>
          <m:sub>
            <m:r>
              <w:rPr>
                <w:rFonts w:ascii="Cambria Math" w:eastAsia="Batang" w:hAnsi="Cambria Math"/>
                <w:color w:val="FF0000"/>
                <w:sz w:val="18"/>
                <w:szCs w:val="18"/>
                <w:lang w:val="en-US" w:eastAsia="ko-KR"/>
              </w:rPr>
              <m:t>tx1</m:t>
            </m:r>
          </m:sub>
        </m:sSub>
      </m:oMath>
      <w:r w:rsidR="00323C54" w:rsidRPr="00863490">
        <w:rPr>
          <w:rFonts w:eastAsia="Batang"/>
          <w:color w:val="FF0000"/>
          <w:sz w:val="18"/>
          <w:szCs w:val="18"/>
          <w:lang w:val="en-US" w:eastAsia="ko-KR"/>
        </w:rPr>
        <w:t>+</w:t>
      </w:r>
      <m:oMath>
        <m:r>
          <w:rPr>
            <w:rFonts w:ascii="Cambria Math" w:eastAsia="Batang" w:hAnsi="Cambria Math"/>
            <w:color w:val="FF0000"/>
            <w:sz w:val="18"/>
            <w:szCs w:val="18"/>
            <w:lang w:val="en-US" w:eastAsia="ko-KR"/>
          </w:rPr>
          <m:t>RXsensitiv.</m:t>
        </m:r>
      </m:oMath>
    </w:p>
    <w:p w:rsidR="006939D0" w:rsidRPr="00863490" w:rsidRDefault="006939D0" w:rsidP="006939D0">
      <w:pPr>
        <w:autoSpaceDE w:val="0"/>
        <w:autoSpaceDN w:val="0"/>
        <w:adjustRightInd w:val="0"/>
        <w:spacing w:before="240"/>
        <w:jc w:val="both"/>
        <w:rPr>
          <w:rFonts w:eastAsia="Batang"/>
          <w:color w:val="FF0000"/>
          <w:sz w:val="18"/>
          <w:szCs w:val="18"/>
          <w:lang w:val="en-US" w:eastAsia="ko-KR"/>
        </w:rPr>
      </w:pPr>
      <w:r w:rsidRPr="00863490">
        <w:rPr>
          <w:rFonts w:eastAsia="Batang"/>
          <w:color w:val="FF0000"/>
          <w:sz w:val="18"/>
          <w:szCs w:val="18"/>
          <w:lang w:val="en-US" w:eastAsia="ko-KR"/>
        </w:rPr>
        <w:t xml:space="preserve">The transmit power </w:t>
      </w:r>
      <m:oMath>
        <m:sSub>
          <m:sSubPr>
            <m:ctrlPr>
              <w:rPr>
                <w:rFonts w:ascii="Cambria Math" w:eastAsia="Batang" w:hAnsi="Cambria Math"/>
                <w:i/>
                <w:color w:val="FF0000"/>
                <w:sz w:val="18"/>
                <w:szCs w:val="18"/>
                <w:lang w:val="en-US" w:eastAsia="ko-KR"/>
              </w:rPr>
            </m:ctrlPr>
          </m:sSubPr>
          <m:e>
            <m:r>
              <w:rPr>
                <w:rFonts w:ascii="Cambria Math" w:eastAsia="Batang" w:hAnsi="Cambria Math"/>
                <w:color w:val="FF0000"/>
                <w:sz w:val="18"/>
                <w:szCs w:val="18"/>
                <w:lang w:val="en-US" w:eastAsia="ko-KR"/>
              </w:rPr>
              <m:t>P</m:t>
            </m:r>
          </m:e>
          <m:sub>
            <m:r>
              <w:rPr>
                <w:rFonts w:ascii="Cambria Math" w:eastAsia="Batang" w:hAnsi="Cambria Math"/>
                <w:color w:val="FF0000"/>
                <w:sz w:val="18"/>
                <w:szCs w:val="18"/>
                <w:lang w:val="en-US" w:eastAsia="ko-KR"/>
              </w:rPr>
              <m:t>tx1</m:t>
            </m:r>
          </m:sub>
        </m:sSub>
      </m:oMath>
      <w:r w:rsidRPr="00863490">
        <w:rPr>
          <w:rFonts w:eastAsia="Batang"/>
          <w:i/>
          <w:iCs/>
          <w:color w:val="FF0000"/>
          <w:sz w:val="18"/>
          <w:szCs w:val="18"/>
          <w:lang w:val="en-US" w:eastAsia="ko-KR"/>
        </w:rPr>
        <w:t xml:space="preserve"> </w:t>
      </w:r>
      <w:r w:rsidRPr="00863490">
        <w:rPr>
          <w:rFonts w:eastAsia="Batang"/>
          <w:color w:val="FF0000"/>
          <w:sz w:val="18"/>
          <w:szCs w:val="18"/>
          <w:lang w:val="en-US" w:eastAsia="ko-KR"/>
        </w:rPr>
        <w:t xml:space="preserve">indicates the actual power used </w:t>
      </w:r>
      <w:r w:rsidR="004C5691" w:rsidRPr="00863490">
        <w:rPr>
          <w:rFonts w:eastAsia="Batang"/>
          <w:color w:val="FF0000"/>
          <w:sz w:val="18"/>
          <w:szCs w:val="18"/>
          <w:lang w:val="en-US" w:eastAsia="ko-KR"/>
        </w:rPr>
        <w:t>a</w:t>
      </w:r>
      <w:r w:rsidRPr="00863490">
        <w:rPr>
          <w:rFonts w:eastAsia="Batang"/>
          <w:color w:val="FF0000"/>
          <w:sz w:val="18"/>
          <w:szCs w:val="18"/>
          <w:lang w:val="en-US" w:eastAsia="ko-KR"/>
        </w:rPr>
        <w:t xml:space="preserve">s measured at the output of the antenna connector, in units of </w:t>
      </w:r>
      <w:proofErr w:type="spellStart"/>
      <w:r w:rsidRPr="00863490">
        <w:rPr>
          <w:rFonts w:eastAsia="Batang"/>
          <w:color w:val="FF0000"/>
          <w:sz w:val="18"/>
          <w:szCs w:val="18"/>
          <w:lang w:val="en-US" w:eastAsia="ko-KR"/>
        </w:rPr>
        <w:t>dBm</w:t>
      </w:r>
      <w:proofErr w:type="spellEnd"/>
      <w:r w:rsidRPr="00863490">
        <w:rPr>
          <w:rFonts w:eastAsia="Batang"/>
          <w:color w:val="FF0000"/>
          <w:sz w:val="18"/>
          <w:szCs w:val="18"/>
          <w:lang w:val="en-US" w:eastAsia="ko-KR"/>
        </w:rPr>
        <w:t xml:space="preserve">, by a STA when transmitting the frame containing the S1G Open-Loop Link Margin Index element. The receiver sensitivity </w:t>
      </w:r>
      <w:proofErr w:type="spellStart"/>
      <w:r w:rsidRPr="00863490">
        <w:rPr>
          <w:rFonts w:eastAsia="Batang"/>
          <w:i/>
          <w:iCs/>
          <w:color w:val="FF0000"/>
          <w:sz w:val="18"/>
          <w:szCs w:val="18"/>
          <w:lang w:val="en-US" w:eastAsia="ko-KR"/>
        </w:rPr>
        <w:t>RXsensitivity</w:t>
      </w:r>
      <w:proofErr w:type="spellEnd"/>
      <w:r w:rsidRPr="00863490">
        <w:rPr>
          <w:rFonts w:eastAsia="Batang"/>
          <w:i/>
          <w:iCs/>
          <w:color w:val="FF0000"/>
          <w:sz w:val="18"/>
          <w:szCs w:val="18"/>
          <w:lang w:val="en-US" w:eastAsia="ko-KR"/>
        </w:rPr>
        <w:t xml:space="preserve"> </w:t>
      </w:r>
      <w:r w:rsidRPr="00863490">
        <w:rPr>
          <w:rFonts w:eastAsia="Batang"/>
          <w:color w:val="FF0000"/>
          <w:sz w:val="18"/>
          <w:szCs w:val="18"/>
          <w:lang w:val="en-US" w:eastAsia="ko-KR"/>
        </w:rPr>
        <w:t xml:space="preserve">is the minimum required receive power for reception </w:t>
      </w:r>
      <w:r w:rsidR="004C5691" w:rsidRPr="00863490">
        <w:rPr>
          <w:rFonts w:eastAsia="Batang"/>
          <w:color w:val="FF0000"/>
          <w:sz w:val="18"/>
          <w:szCs w:val="18"/>
          <w:lang w:val="en-US" w:eastAsia="ko-KR"/>
        </w:rPr>
        <w:t>of MCS10</w:t>
      </w:r>
      <w:r w:rsidRPr="00863490">
        <w:rPr>
          <w:rFonts w:eastAsia="Batang"/>
          <w:color w:val="FF0000"/>
          <w:sz w:val="18"/>
          <w:szCs w:val="18"/>
          <w:lang w:val="en-US" w:eastAsia="ko-KR"/>
        </w:rPr>
        <w:t xml:space="preserve"> for 1 MHz channel.</w:t>
      </w:r>
    </w:p>
    <w:p w:rsidR="005F2CDD" w:rsidRPr="00863490" w:rsidRDefault="005F2CDD" w:rsidP="006939D0">
      <w:pPr>
        <w:autoSpaceDE w:val="0"/>
        <w:autoSpaceDN w:val="0"/>
        <w:adjustRightInd w:val="0"/>
        <w:spacing w:before="240"/>
        <w:jc w:val="both"/>
        <w:rPr>
          <w:rFonts w:eastAsia="Batang"/>
          <w:color w:val="FF0000"/>
          <w:sz w:val="18"/>
          <w:szCs w:val="18"/>
          <w:lang w:val="en-US" w:eastAsia="ko-KR"/>
        </w:rPr>
      </w:pPr>
    </w:p>
    <w:p w:rsidR="006939D0" w:rsidRPr="00863490" w:rsidRDefault="006939D0" w:rsidP="006939D0">
      <w:pPr>
        <w:rPr>
          <w:color w:val="FF0000"/>
          <w:sz w:val="18"/>
          <w:szCs w:val="18"/>
        </w:rPr>
      </w:pPr>
      <w:r w:rsidRPr="00863490">
        <w:rPr>
          <w:rFonts w:eastAsia="Batang"/>
          <w:color w:val="FF0000"/>
          <w:sz w:val="18"/>
          <w:szCs w:val="18"/>
          <w:lang w:val="en-US" w:eastAsia="ko-KR"/>
        </w:rPr>
        <w:t xml:space="preserve">The </w:t>
      </w:r>
      <w:r w:rsidR="004C5691" w:rsidRPr="00863490">
        <w:rPr>
          <w:rFonts w:eastAsia="Batang"/>
          <w:color w:val="FF0000"/>
          <w:sz w:val="18"/>
          <w:szCs w:val="18"/>
          <w:lang w:val="en-US" w:eastAsia="ko-KR"/>
        </w:rPr>
        <w:t xml:space="preserve">S1G </w:t>
      </w:r>
      <w:r w:rsidR="004C5691" w:rsidRPr="00863490">
        <w:rPr>
          <w:color w:val="FF0000"/>
          <w:sz w:val="18"/>
          <w:szCs w:val="18"/>
          <w:lang w:val="en-US" w:eastAsia="ko-KR"/>
        </w:rPr>
        <w:t xml:space="preserve">Open-Loop Link Margin </w:t>
      </w:r>
      <m:oMath>
        <m:sSub>
          <m:sSubPr>
            <m:ctrlPr>
              <w:rPr>
                <w:rFonts w:ascii="Cambria Math" w:hAnsi="Cambria Math"/>
                <w:color w:val="FF0000"/>
                <w:sz w:val="18"/>
                <w:szCs w:val="18"/>
                <w:lang w:val="en-US" w:eastAsia="ko-KR"/>
              </w:rPr>
            </m:ctrlPr>
          </m:sSubPr>
          <m:e>
            <m:r>
              <m:rPr>
                <m:sty m:val="p"/>
              </m:rPr>
              <w:rPr>
                <w:rFonts w:ascii="Cambria Math"/>
                <w:color w:val="FF0000"/>
                <w:sz w:val="18"/>
                <w:szCs w:val="18"/>
                <w:lang w:val="en-US" w:eastAsia="ko-KR"/>
              </w:rPr>
              <m:t xml:space="preserve"> </m:t>
            </m:r>
            <m:r>
              <m:rPr>
                <m:sty m:val="p"/>
              </m:rPr>
              <w:rPr>
                <w:rFonts w:ascii="Cambria Math"/>
                <w:color w:val="FF0000"/>
                <w:sz w:val="18"/>
                <w:szCs w:val="18"/>
                <w:lang w:val="en-US" w:eastAsia="ko-KR"/>
              </w:rPr>
              <m:t>Δ</m:t>
            </m:r>
          </m:e>
          <m:sub>
            <m:r>
              <w:rPr>
                <w:rFonts w:ascii="Cambria Math" w:hAnsi="Cambria Math"/>
                <w:color w:val="FF0000"/>
                <w:sz w:val="18"/>
                <w:szCs w:val="18"/>
                <w:lang w:val="en-US" w:eastAsia="ko-KR"/>
              </w:rPr>
              <m:t>OPLM</m:t>
            </m:r>
          </m:sub>
        </m:sSub>
      </m:oMath>
      <w:r w:rsidRPr="00863490">
        <w:rPr>
          <w:rFonts w:eastAsia="Batang"/>
          <w:color w:val="FF0000"/>
          <w:sz w:val="18"/>
          <w:szCs w:val="18"/>
          <w:lang w:val="en-US" w:eastAsia="ko-KR"/>
        </w:rPr>
        <w:t xml:space="preserve"> is </w:t>
      </w:r>
      <w:r w:rsidR="00323C54" w:rsidRPr="00863490">
        <w:rPr>
          <w:rFonts w:eastAsia="Batang"/>
          <w:color w:val="FF0000"/>
          <w:sz w:val="18"/>
          <w:szCs w:val="18"/>
          <w:lang w:val="en-US" w:eastAsia="ko-KR"/>
        </w:rPr>
        <w:t>calculated</w:t>
      </w:r>
      <w:r w:rsidRPr="00863490">
        <w:rPr>
          <w:rFonts w:eastAsia="Batang"/>
          <w:color w:val="FF0000"/>
          <w:sz w:val="18"/>
          <w:szCs w:val="18"/>
          <w:lang w:val="en-US" w:eastAsia="ko-KR"/>
        </w:rPr>
        <w:t xml:space="preserve"> as (-128+D×0.5) </w:t>
      </w:r>
      <w:proofErr w:type="spellStart"/>
      <w:r w:rsidRPr="00863490">
        <w:rPr>
          <w:rFonts w:eastAsia="Batang"/>
          <w:color w:val="FF0000"/>
          <w:sz w:val="18"/>
          <w:szCs w:val="18"/>
          <w:lang w:val="en-US" w:eastAsia="ko-KR"/>
        </w:rPr>
        <w:t>dBm</w:t>
      </w:r>
      <w:proofErr w:type="spellEnd"/>
      <w:r w:rsidRPr="00863490">
        <w:rPr>
          <w:rFonts w:eastAsia="Batang"/>
          <w:color w:val="FF0000"/>
          <w:sz w:val="18"/>
          <w:szCs w:val="18"/>
          <w:lang w:val="en-US" w:eastAsia="ko-KR"/>
        </w:rPr>
        <w:t xml:space="preserve">, where D is </w:t>
      </w:r>
      <w:r w:rsidR="00323C54" w:rsidRPr="00863490">
        <w:rPr>
          <w:rFonts w:eastAsia="Batang"/>
          <w:color w:val="FF0000"/>
          <w:sz w:val="18"/>
          <w:szCs w:val="18"/>
          <w:lang w:val="en-US" w:eastAsia="ko-KR"/>
        </w:rPr>
        <w:t xml:space="preserve">called Open-Loop Link Margin Index. D is </w:t>
      </w:r>
      <w:r w:rsidRPr="00863490">
        <w:rPr>
          <w:rFonts w:eastAsia="Batang"/>
          <w:color w:val="FF0000"/>
          <w:sz w:val="18"/>
          <w:szCs w:val="18"/>
          <w:lang w:val="en-US" w:eastAsia="ko-KR"/>
        </w:rPr>
        <w:t xml:space="preserve">an unsigned integer value </w:t>
      </w:r>
      <w:r w:rsidR="00323C54" w:rsidRPr="00863490">
        <w:rPr>
          <w:rFonts w:eastAsia="Batang"/>
          <w:color w:val="FF0000"/>
          <w:sz w:val="18"/>
          <w:szCs w:val="18"/>
          <w:lang w:val="en-US" w:eastAsia="ko-KR"/>
        </w:rPr>
        <w:t xml:space="preserve">that is contained in </w:t>
      </w:r>
      <w:r w:rsidR="004C5691" w:rsidRPr="00863490">
        <w:rPr>
          <w:rFonts w:eastAsia="Batang"/>
          <w:color w:val="FF0000"/>
          <w:sz w:val="18"/>
          <w:szCs w:val="18"/>
          <w:lang w:val="en-US" w:eastAsia="ko-KR"/>
        </w:rPr>
        <w:t xml:space="preserve">S1G </w:t>
      </w:r>
      <w:r w:rsidRPr="00863490">
        <w:rPr>
          <w:rFonts w:eastAsia="Batang"/>
          <w:color w:val="FF0000"/>
          <w:sz w:val="18"/>
          <w:szCs w:val="18"/>
          <w:lang w:val="en-US" w:eastAsia="ko-KR"/>
        </w:rPr>
        <w:t xml:space="preserve">Open-Loop Link Margin Index field. For example, if the value D shown in </w:t>
      </w:r>
      <w:r w:rsidR="004C5691" w:rsidRPr="00863490">
        <w:rPr>
          <w:rFonts w:eastAsia="Batang"/>
          <w:color w:val="FF0000"/>
          <w:sz w:val="18"/>
          <w:szCs w:val="18"/>
          <w:lang w:val="en-US" w:eastAsia="ko-KR"/>
        </w:rPr>
        <w:t xml:space="preserve">S1G </w:t>
      </w:r>
      <w:r w:rsidRPr="00863490">
        <w:rPr>
          <w:rFonts w:eastAsia="Batang"/>
          <w:color w:val="FF0000"/>
          <w:sz w:val="18"/>
          <w:szCs w:val="18"/>
          <w:lang w:val="en-US" w:eastAsia="ko-KR"/>
        </w:rPr>
        <w:t xml:space="preserve">Open-Loop Link Margin Index field is 0, then it indicates the </w:t>
      </w:r>
      <w:r w:rsidR="004C5691" w:rsidRPr="00863490">
        <w:rPr>
          <w:rFonts w:eastAsia="Batang"/>
          <w:color w:val="FF0000"/>
          <w:sz w:val="18"/>
          <w:szCs w:val="18"/>
          <w:lang w:val="en-US" w:eastAsia="ko-KR"/>
        </w:rPr>
        <w:t xml:space="preserve">S1G </w:t>
      </w:r>
      <w:r w:rsidRPr="00863490">
        <w:rPr>
          <w:rFonts w:eastAsia="Batang"/>
          <w:color w:val="FF0000"/>
          <w:sz w:val="18"/>
          <w:szCs w:val="18"/>
          <w:lang w:val="en-US" w:eastAsia="ko-KR"/>
        </w:rPr>
        <w:t>Open-Loop Link Margin</w:t>
      </w:r>
      <m:oMath>
        <m:r>
          <w:rPr>
            <w:rFonts w:ascii="Cambria Math" w:eastAsia="Batang" w:hAnsi="Cambria Math"/>
            <w:color w:val="FF0000"/>
            <w:sz w:val="18"/>
            <w:szCs w:val="18"/>
            <w:lang w:val="en-US" w:eastAsia="ko-KR"/>
          </w:rPr>
          <m:t xml:space="preserve"> </m:t>
        </m:r>
        <m:sSub>
          <m:sSubPr>
            <m:ctrlPr>
              <w:rPr>
                <w:rFonts w:ascii="Cambria Math" w:hAnsi="Cambria Math"/>
                <w:color w:val="FF0000"/>
                <w:sz w:val="18"/>
                <w:szCs w:val="18"/>
                <w:lang w:val="en-US" w:eastAsia="ko-KR"/>
              </w:rPr>
            </m:ctrlPr>
          </m:sSubPr>
          <m:e>
            <m:r>
              <m:rPr>
                <m:sty m:val="p"/>
              </m:rPr>
              <w:rPr>
                <w:rFonts w:ascii="Cambria Math"/>
                <w:color w:val="FF0000"/>
                <w:sz w:val="18"/>
                <w:szCs w:val="18"/>
                <w:lang w:val="en-US" w:eastAsia="ko-KR"/>
              </w:rPr>
              <m:t>Δ</m:t>
            </m:r>
          </m:e>
          <m:sub>
            <m:r>
              <w:rPr>
                <w:rFonts w:ascii="Cambria Math" w:hAnsi="Cambria Math"/>
                <w:color w:val="FF0000"/>
                <w:sz w:val="18"/>
                <w:szCs w:val="18"/>
                <w:lang w:val="en-US" w:eastAsia="ko-KR"/>
              </w:rPr>
              <m:t>OPLM</m:t>
            </m:r>
          </m:sub>
        </m:sSub>
      </m:oMath>
      <w:r w:rsidRPr="00863490">
        <w:rPr>
          <w:rFonts w:eastAsia="Batang"/>
          <w:color w:val="FF0000"/>
          <w:sz w:val="18"/>
          <w:szCs w:val="18"/>
          <w:lang w:val="en-US" w:eastAsia="ko-KR"/>
        </w:rPr>
        <w:t xml:space="preserve"> is -128 dBm. If the value D shown in </w:t>
      </w:r>
      <w:r w:rsidR="004C5691" w:rsidRPr="00863490">
        <w:rPr>
          <w:rFonts w:eastAsia="Batang"/>
          <w:color w:val="FF0000"/>
          <w:sz w:val="18"/>
          <w:szCs w:val="18"/>
          <w:lang w:val="en-US" w:eastAsia="ko-KR"/>
        </w:rPr>
        <w:t xml:space="preserve">S1G </w:t>
      </w:r>
      <w:r w:rsidRPr="00863490">
        <w:rPr>
          <w:rFonts w:eastAsia="Batang"/>
          <w:color w:val="FF0000"/>
          <w:sz w:val="18"/>
          <w:szCs w:val="18"/>
          <w:lang w:val="en-US" w:eastAsia="ko-KR"/>
        </w:rPr>
        <w:t xml:space="preserve">Open-Loop Link Margin Index field is 255, then it indicates the </w:t>
      </w:r>
      <w:r w:rsidR="004C5691" w:rsidRPr="00863490">
        <w:rPr>
          <w:rFonts w:eastAsia="Batang"/>
          <w:color w:val="FF0000"/>
          <w:sz w:val="18"/>
          <w:szCs w:val="18"/>
          <w:lang w:val="en-US" w:eastAsia="ko-KR"/>
        </w:rPr>
        <w:t xml:space="preserve">S1G </w:t>
      </w:r>
      <w:r w:rsidRPr="00863490">
        <w:rPr>
          <w:rFonts w:eastAsia="Batang"/>
          <w:color w:val="FF0000"/>
          <w:sz w:val="18"/>
          <w:szCs w:val="18"/>
          <w:lang w:val="en-US" w:eastAsia="ko-KR"/>
        </w:rPr>
        <w:t>Open-Loop Link Margin</w:t>
      </w:r>
      <w:r w:rsidR="004C5691" w:rsidRPr="00863490">
        <w:rPr>
          <w:rFonts w:eastAsia="Batang"/>
          <w:color w:val="FF0000"/>
          <w:sz w:val="18"/>
          <w:szCs w:val="18"/>
          <w:lang w:val="en-US" w:eastAsia="ko-KR"/>
        </w:rPr>
        <w:t xml:space="preserve"> </w:t>
      </w:r>
      <m:oMath>
        <m:sSub>
          <m:sSubPr>
            <m:ctrlPr>
              <w:rPr>
                <w:rFonts w:ascii="Cambria Math" w:hAnsi="Cambria Math"/>
                <w:color w:val="FF0000"/>
                <w:sz w:val="18"/>
                <w:szCs w:val="18"/>
                <w:lang w:val="en-US" w:eastAsia="ko-KR"/>
              </w:rPr>
            </m:ctrlPr>
          </m:sSubPr>
          <m:e>
            <m:r>
              <m:rPr>
                <m:sty m:val="p"/>
              </m:rPr>
              <w:rPr>
                <w:rFonts w:ascii="Cambria Math"/>
                <w:color w:val="FF0000"/>
                <w:sz w:val="18"/>
                <w:szCs w:val="18"/>
                <w:lang w:val="en-US" w:eastAsia="ko-KR"/>
              </w:rPr>
              <m:t>Δ</m:t>
            </m:r>
          </m:e>
          <m:sub>
            <m:r>
              <w:rPr>
                <w:rFonts w:ascii="Cambria Math" w:hAnsi="Cambria Math"/>
                <w:color w:val="FF0000"/>
                <w:sz w:val="18"/>
                <w:szCs w:val="18"/>
                <w:lang w:val="en-US" w:eastAsia="ko-KR"/>
              </w:rPr>
              <m:t>OPLM</m:t>
            </m:r>
          </m:sub>
        </m:sSub>
      </m:oMath>
      <w:r w:rsidR="004C5691" w:rsidRPr="00863490">
        <w:rPr>
          <w:rFonts w:eastAsia="Batang"/>
          <w:color w:val="FF0000"/>
          <w:sz w:val="18"/>
          <w:szCs w:val="18"/>
          <w:lang w:val="en-US" w:eastAsia="ko-KR"/>
        </w:rPr>
        <w:t xml:space="preserve"> </w:t>
      </w:r>
      <w:r w:rsidRPr="00863490">
        <w:rPr>
          <w:rFonts w:eastAsia="Batang"/>
          <w:color w:val="FF0000"/>
          <w:sz w:val="18"/>
          <w:szCs w:val="18"/>
          <w:lang w:val="en-US" w:eastAsia="ko-KR"/>
        </w:rPr>
        <w:t xml:space="preserve"> is -0.5 </w:t>
      </w:r>
      <w:proofErr w:type="spellStart"/>
      <w:r w:rsidRPr="00863490">
        <w:rPr>
          <w:rFonts w:eastAsia="Batang"/>
          <w:color w:val="FF0000"/>
          <w:sz w:val="18"/>
          <w:szCs w:val="18"/>
          <w:lang w:val="en-US" w:eastAsia="ko-KR"/>
        </w:rPr>
        <w:t>dBm</w:t>
      </w:r>
      <w:proofErr w:type="spellEnd"/>
      <w:r w:rsidRPr="00863490">
        <w:rPr>
          <w:rFonts w:eastAsia="Batang"/>
          <w:color w:val="FF0000"/>
          <w:sz w:val="18"/>
          <w:szCs w:val="18"/>
          <w:lang w:val="en-US" w:eastAsia="ko-KR"/>
        </w:rPr>
        <w:t>.</w:t>
      </w:r>
    </w:p>
    <w:p w:rsidR="005F2CDD" w:rsidRPr="00863490" w:rsidRDefault="005F2CDD" w:rsidP="00323C54">
      <w:pPr>
        <w:autoSpaceDE w:val="0"/>
        <w:autoSpaceDN w:val="0"/>
        <w:adjustRightInd w:val="0"/>
        <w:spacing w:before="240"/>
        <w:jc w:val="both"/>
        <w:rPr>
          <w:color w:val="FF0000"/>
          <w:sz w:val="18"/>
          <w:szCs w:val="18"/>
        </w:rPr>
      </w:pPr>
      <w:r w:rsidRPr="00863490">
        <w:rPr>
          <w:rFonts w:eastAsia="Batang"/>
          <w:color w:val="FF0000"/>
          <w:sz w:val="18"/>
          <w:szCs w:val="18"/>
          <w:lang w:val="en-US" w:eastAsia="ko-KR"/>
        </w:rPr>
        <w:t xml:space="preserve">The S1G Open-Loop Link Margin Index element can be used for open-loop link adaptation and open-loop </w:t>
      </w:r>
      <w:proofErr w:type="gramStart"/>
      <w:r w:rsidRPr="00863490">
        <w:rPr>
          <w:rFonts w:eastAsia="Batang"/>
          <w:color w:val="FF0000"/>
          <w:sz w:val="18"/>
          <w:szCs w:val="18"/>
          <w:lang w:val="en-US" w:eastAsia="ko-KR"/>
        </w:rPr>
        <w:t>transmit</w:t>
      </w:r>
      <w:proofErr w:type="gramEnd"/>
      <w:r w:rsidRPr="00863490">
        <w:rPr>
          <w:rFonts w:eastAsia="Batang"/>
          <w:color w:val="FF0000"/>
          <w:sz w:val="18"/>
          <w:szCs w:val="18"/>
          <w:lang w:val="en-US" w:eastAsia="ko-KR"/>
        </w:rPr>
        <w:t xml:space="preserve"> power control. </w:t>
      </w:r>
      <w:r w:rsidR="006939D0" w:rsidRPr="00863490">
        <w:rPr>
          <w:color w:val="FF0000"/>
          <w:sz w:val="18"/>
          <w:szCs w:val="18"/>
        </w:rPr>
        <w:t xml:space="preserve">When a STA receives the Open-loop link Margin index, it can calculate the </w:t>
      </w:r>
      <w:r w:rsidR="004C5691" w:rsidRPr="00863490">
        <w:rPr>
          <w:color w:val="FF0000"/>
          <w:sz w:val="18"/>
          <w:szCs w:val="18"/>
        </w:rPr>
        <w:t xml:space="preserve">S1G </w:t>
      </w:r>
      <w:r w:rsidR="004C5691" w:rsidRPr="00863490">
        <w:rPr>
          <w:color w:val="FF0000"/>
          <w:sz w:val="18"/>
          <w:szCs w:val="18"/>
          <w:lang w:val="en-US" w:eastAsia="ko-KR"/>
        </w:rPr>
        <w:t xml:space="preserve">Open-Loop Link Margin </w:t>
      </w:r>
      <m:oMath>
        <m:sSub>
          <m:sSubPr>
            <m:ctrlPr>
              <w:rPr>
                <w:rFonts w:ascii="Cambria Math" w:hAnsi="Cambria Math"/>
                <w:color w:val="FF0000"/>
                <w:sz w:val="18"/>
                <w:szCs w:val="18"/>
                <w:lang w:val="en-US" w:eastAsia="ko-KR"/>
              </w:rPr>
            </m:ctrlPr>
          </m:sSubPr>
          <m:e>
            <m:r>
              <m:rPr>
                <m:sty m:val="p"/>
              </m:rPr>
              <w:rPr>
                <w:rFonts w:ascii="Cambria Math"/>
                <w:color w:val="FF0000"/>
                <w:sz w:val="18"/>
                <w:szCs w:val="18"/>
                <w:lang w:val="en-US" w:eastAsia="ko-KR"/>
              </w:rPr>
              <m:t>Δ</m:t>
            </m:r>
          </m:e>
          <m:sub>
            <m:r>
              <w:rPr>
                <w:rFonts w:ascii="Cambria Math" w:hAnsi="Cambria Math"/>
                <w:color w:val="FF0000"/>
                <w:sz w:val="18"/>
                <w:szCs w:val="18"/>
                <w:lang w:val="en-US" w:eastAsia="ko-KR"/>
              </w:rPr>
              <m:t>OPLM</m:t>
            </m:r>
          </m:sub>
        </m:sSub>
        <m:r>
          <m:rPr>
            <m:sty m:val="p"/>
          </m:rPr>
          <w:rPr>
            <w:rFonts w:ascii="Cambria Math"/>
            <w:color w:val="FF0000"/>
            <w:sz w:val="18"/>
            <w:szCs w:val="18"/>
            <w:lang w:val="en-US" w:eastAsia="ko-KR"/>
          </w:rPr>
          <m:t xml:space="preserve"> </m:t>
        </m:r>
      </m:oMath>
      <w:r w:rsidR="006939D0" w:rsidRPr="00863490">
        <w:rPr>
          <w:color w:val="FF0000"/>
          <w:sz w:val="18"/>
          <w:szCs w:val="18"/>
        </w:rPr>
        <w:t xml:space="preserve">by using </w:t>
      </w:r>
      <w:r w:rsidR="006939D0" w:rsidRPr="00863490">
        <w:rPr>
          <w:color w:val="FF0000"/>
          <w:sz w:val="18"/>
          <w:szCs w:val="18"/>
          <w:lang w:val="en-US" w:eastAsia="ko-KR"/>
        </w:rPr>
        <w:t xml:space="preserve">(-128+D×0.5) </w:t>
      </w:r>
      <w:proofErr w:type="spellStart"/>
      <w:r w:rsidR="006939D0" w:rsidRPr="00863490">
        <w:rPr>
          <w:color w:val="FF0000"/>
          <w:sz w:val="18"/>
          <w:szCs w:val="18"/>
          <w:lang w:val="en-US" w:eastAsia="ko-KR"/>
        </w:rPr>
        <w:t>dBm</w:t>
      </w:r>
      <w:proofErr w:type="spellEnd"/>
      <w:r w:rsidR="006939D0" w:rsidRPr="00863490">
        <w:rPr>
          <w:color w:val="FF0000"/>
          <w:sz w:val="18"/>
          <w:szCs w:val="18"/>
        </w:rPr>
        <w:t xml:space="preserve">. Then the SNR margin over the MCS </w:t>
      </w:r>
      <w:r w:rsidR="004C5691" w:rsidRPr="00863490">
        <w:rPr>
          <w:color w:val="FF0000"/>
          <w:sz w:val="18"/>
          <w:szCs w:val="18"/>
        </w:rPr>
        <w:t xml:space="preserve">10 </w:t>
      </w:r>
      <w:r w:rsidR="006939D0" w:rsidRPr="00863490">
        <w:rPr>
          <w:color w:val="FF0000"/>
          <w:sz w:val="18"/>
          <w:szCs w:val="18"/>
        </w:rPr>
        <w:t xml:space="preserve">can be derived </w:t>
      </w:r>
      <w:r w:rsidR="00323C54" w:rsidRPr="00863490">
        <w:rPr>
          <w:color w:val="FF0000"/>
          <w:sz w:val="18"/>
          <w:szCs w:val="18"/>
        </w:rPr>
        <w:t xml:space="preserve">at the STA that receives the frame that </w:t>
      </w:r>
      <w:proofErr w:type="spellStart"/>
      <w:r w:rsidR="00323C54" w:rsidRPr="00863490">
        <w:rPr>
          <w:color w:val="FF0000"/>
          <w:sz w:val="18"/>
          <w:szCs w:val="18"/>
        </w:rPr>
        <w:t>conatins</w:t>
      </w:r>
      <w:proofErr w:type="spellEnd"/>
      <w:r w:rsidR="00323C54" w:rsidRPr="00863490">
        <w:rPr>
          <w:color w:val="FF0000"/>
          <w:sz w:val="18"/>
          <w:szCs w:val="18"/>
        </w:rPr>
        <w:t xml:space="preserve"> </w:t>
      </w:r>
      <w:r w:rsidR="004C5691" w:rsidRPr="00863490">
        <w:rPr>
          <w:color w:val="FF0000"/>
          <w:sz w:val="18"/>
          <w:szCs w:val="18"/>
        </w:rPr>
        <w:t xml:space="preserve">S1G </w:t>
      </w:r>
      <w:r w:rsidR="004C5691" w:rsidRPr="00863490">
        <w:rPr>
          <w:rFonts w:eastAsia="Batang"/>
          <w:color w:val="FF0000"/>
          <w:sz w:val="18"/>
          <w:szCs w:val="18"/>
          <w:lang w:val="en-US" w:eastAsia="ko-KR"/>
        </w:rPr>
        <w:t>Open-Loop Link Margin Index</w:t>
      </w:r>
      <w:r w:rsidR="004C5691" w:rsidRPr="00863490">
        <w:rPr>
          <w:color w:val="FF0000"/>
          <w:sz w:val="18"/>
          <w:szCs w:val="18"/>
        </w:rPr>
        <w:t xml:space="preserve"> </w:t>
      </w:r>
      <w:r w:rsidR="00323C54" w:rsidRPr="00863490">
        <w:rPr>
          <w:color w:val="FF0000"/>
          <w:sz w:val="18"/>
          <w:szCs w:val="18"/>
        </w:rPr>
        <w:t xml:space="preserve">based on its own transmit power </w:t>
      </w:r>
      <m:oMath>
        <m:sSub>
          <m:sSubPr>
            <m:ctrlPr>
              <w:rPr>
                <w:rFonts w:ascii="Cambria Math" w:hAnsi="Cambria Math"/>
                <w:i/>
                <w:color w:val="FF0000"/>
                <w:sz w:val="18"/>
                <w:szCs w:val="18"/>
                <w:lang w:val="en-US"/>
              </w:rPr>
            </m:ctrlPr>
          </m:sSubPr>
          <m:e>
            <m:r>
              <w:rPr>
                <w:rFonts w:ascii="Cambria Math" w:hAnsi="Cambria Math"/>
                <w:color w:val="FF0000"/>
                <w:sz w:val="18"/>
                <w:szCs w:val="18"/>
                <w:lang w:val="en-US"/>
              </w:rPr>
              <m:t>P</m:t>
            </m:r>
          </m:e>
          <m:sub>
            <m:r>
              <w:rPr>
                <w:rFonts w:ascii="Cambria Math" w:hAnsi="Cambria Math"/>
                <w:color w:val="FF0000"/>
                <w:sz w:val="18"/>
                <w:szCs w:val="18"/>
                <w:lang w:val="en-US"/>
              </w:rPr>
              <m:t xml:space="preserve">tx2 </m:t>
            </m:r>
          </m:sub>
        </m:sSub>
      </m:oMath>
      <w:r w:rsidR="00323C54" w:rsidRPr="00863490">
        <w:rPr>
          <w:color w:val="FF0000"/>
          <w:sz w:val="18"/>
          <w:szCs w:val="18"/>
        </w:rPr>
        <w:t xml:space="preserve">and the received RSSI measured </w:t>
      </w:r>
      <w:r w:rsidRPr="00863490">
        <w:rPr>
          <w:color w:val="FF0000"/>
          <w:sz w:val="18"/>
          <w:szCs w:val="18"/>
        </w:rPr>
        <w:t>for</w:t>
      </w:r>
      <w:r w:rsidR="00323C54" w:rsidRPr="00863490">
        <w:rPr>
          <w:color w:val="FF0000"/>
          <w:sz w:val="18"/>
          <w:szCs w:val="18"/>
        </w:rPr>
        <w:t xml:space="preserve"> the packet containing the</w:t>
      </w:r>
      <w:r w:rsidR="004C5691" w:rsidRPr="00863490">
        <w:rPr>
          <w:color w:val="FF0000"/>
          <w:sz w:val="18"/>
          <w:szCs w:val="18"/>
        </w:rPr>
        <w:t xml:space="preserve"> S1G</w:t>
      </w:r>
      <w:r w:rsidR="00323C54" w:rsidRPr="00863490">
        <w:rPr>
          <w:color w:val="FF0000"/>
          <w:sz w:val="18"/>
          <w:szCs w:val="18"/>
        </w:rPr>
        <w:t xml:space="preserve"> </w:t>
      </w:r>
      <w:r w:rsidR="004C5691" w:rsidRPr="00863490">
        <w:rPr>
          <w:rFonts w:eastAsia="Batang"/>
          <w:color w:val="FF0000"/>
          <w:sz w:val="18"/>
          <w:szCs w:val="18"/>
          <w:lang w:val="en-US" w:eastAsia="ko-KR"/>
        </w:rPr>
        <w:t>Open-Loop Link Margin Index</w:t>
      </w:r>
      <w:r w:rsidR="00323C54" w:rsidRPr="00863490">
        <w:rPr>
          <w:color w:val="FF0000"/>
          <w:sz w:val="18"/>
          <w:szCs w:val="18"/>
        </w:rPr>
        <w:t>.</w:t>
      </w:r>
    </w:p>
    <w:p w:rsidR="005F2CDD" w:rsidRPr="00863490" w:rsidRDefault="005F2CDD" w:rsidP="00323C54">
      <w:pPr>
        <w:autoSpaceDE w:val="0"/>
        <w:autoSpaceDN w:val="0"/>
        <w:adjustRightInd w:val="0"/>
        <w:spacing w:before="240"/>
        <w:jc w:val="both"/>
        <w:rPr>
          <w:color w:val="FF0000"/>
          <w:sz w:val="18"/>
          <w:szCs w:val="18"/>
        </w:rPr>
      </w:pPr>
    </w:p>
    <w:p w:rsidR="006939D0" w:rsidRPr="00863490" w:rsidRDefault="00354149" w:rsidP="006939D0">
      <w:pPr>
        <w:rPr>
          <w:i/>
          <w:color w:val="FF0000"/>
          <w:sz w:val="18"/>
          <w:szCs w:val="18"/>
          <w:lang w:val="en-US"/>
        </w:rPr>
      </w:pPr>
      <m:oMathPara>
        <m:oMath>
          <m:sSub>
            <m:sSubPr>
              <m:ctrlPr>
                <w:rPr>
                  <w:rFonts w:ascii="Cambria Math" w:hAnsi="Cambria Math"/>
                  <w:i/>
                  <w:color w:val="FF0000"/>
                  <w:sz w:val="18"/>
                  <w:szCs w:val="18"/>
                  <w:lang w:val="en-US"/>
                </w:rPr>
              </m:ctrlPr>
            </m:sSubPr>
            <m:e>
              <m:r>
                <w:rPr>
                  <w:rFonts w:ascii="Cambria Math" w:hAnsi="Cambria Math"/>
                  <w:color w:val="FF0000"/>
                  <w:sz w:val="18"/>
                  <w:szCs w:val="18"/>
                  <w:lang w:val="en-US"/>
                </w:rPr>
                <m:t xml:space="preserve">SNR </m:t>
              </m:r>
            </m:e>
            <m:sub>
              <m:r>
                <w:rPr>
                  <w:rFonts w:ascii="Cambria Math" w:hAnsi="Cambria Math"/>
                  <w:color w:val="FF0000"/>
                  <w:sz w:val="18"/>
                  <w:szCs w:val="18"/>
                  <w:lang w:val="en-US"/>
                </w:rPr>
                <m:t>Margin</m:t>
              </m:r>
            </m:sub>
          </m:sSub>
          <m:r>
            <w:rPr>
              <w:rFonts w:ascii="Cambria Math"/>
              <w:color w:val="FF0000"/>
              <w:sz w:val="18"/>
              <w:szCs w:val="18"/>
              <w:lang w:val="en-US"/>
            </w:rPr>
            <m:t>=</m:t>
          </m:r>
          <m:sSub>
            <m:sSubPr>
              <m:ctrlPr>
                <w:rPr>
                  <w:rFonts w:ascii="Cambria Math" w:hAnsi="Cambria Math"/>
                  <w:i/>
                  <w:color w:val="FF0000"/>
                  <w:sz w:val="18"/>
                  <w:szCs w:val="18"/>
                  <w:lang w:val="en-US"/>
                </w:rPr>
              </m:ctrlPr>
            </m:sSubPr>
            <m:e>
              <m:r>
                <w:rPr>
                  <w:rFonts w:ascii="Cambria Math" w:hAnsi="Cambria Math"/>
                  <w:color w:val="FF0000"/>
                  <w:sz w:val="18"/>
                  <w:szCs w:val="18"/>
                  <w:lang w:val="en-US"/>
                </w:rPr>
                <m:t>P</m:t>
              </m:r>
            </m:e>
            <m:sub>
              <m:r>
                <w:rPr>
                  <w:rFonts w:ascii="Cambria Math" w:hAnsi="Cambria Math"/>
                  <w:color w:val="FF0000"/>
                  <w:sz w:val="18"/>
                  <w:szCs w:val="18"/>
                  <w:lang w:val="en-US"/>
                </w:rPr>
                <m:t>tx2</m:t>
              </m:r>
            </m:sub>
          </m:sSub>
          <m:r>
            <w:rPr>
              <w:color w:val="FF0000"/>
              <w:sz w:val="18"/>
              <w:szCs w:val="18"/>
              <w:lang w:val="en-US"/>
            </w:rPr>
            <m:t>-</m:t>
          </m:r>
          <m:sSub>
            <m:sSubPr>
              <m:ctrlPr>
                <w:rPr>
                  <w:rFonts w:ascii="Cambria Math" w:hAnsi="Cambria Math"/>
                  <w:i/>
                  <w:color w:val="FF0000"/>
                  <w:sz w:val="18"/>
                  <w:szCs w:val="18"/>
                  <w:lang w:val="en-US" w:eastAsia="ko-KR"/>
                </w:rPr>
              </m:ctrlPr>
            </m:sSubPr>
            <m:e>
              <m:r>
                <w:rPr>
                  <w:rFonts w:ascii="Cambria Math" w:hAnsi="Cambria Math"/>
                  <w:color w:val="FF0000"/>
                  <w:sz w:val="18"/>
                  <w:szCs w:val="18"/>
                  <w:lang w:val="en-US" w:eastAsia="ko-KR"/>
                </w:rPr>
                <m:t>Δ</m:t>
              </m:r>
            </m:e>
            <m:sub>
              <m:r>
                <w:rPr>
                  <w:rFonts w:ascii="Cambria Math" w:hAnsi="Cambria Math"/>
                  <w:color w:val="FF0000"/>
                  <w:sz w:val="18"/>
                  <w:szCs w:val="18"/>
                  <w:lang w:val="en-US" w:eastAsia="ko-KR"/>
                </w:rPr>
                <m:t>OPLM</m:t>
              </m:r>
            </m:sub>
          </m:sSub>
          <m:r>
            <w:rPr>
              <w:rFonts w:ascii="Cambria Math"/>
              <w:color w:val="FF0000"/>
              <w:sz w:val="18"/>
              <w:szCs w:val="18"/>
              <w:lang w:val="en-US" w:eastAsia="ko-KR"/>
            </w:rPr>
            <m:t>+</m:t>
          </m:r>
          <m:r>
            <w:rPr>
              <w:rFonts w:ascii="Cambria Math" w:hAnsi="Cambria Math"/>
              <w:color w:val="FF0000"/>
              <w:sz w:val="18"/>
              <w:szCs w:val="18"/>
              <w:lang w:val="en-US" w:eastAsia="ko-KR"/>
            </w:rPr>
            <m:t>RSSI</m:t>
          </m:r>
        </m:oMath>
      </m:oMathPara>
    </w:p>
    <w:p w:rsidR="006939D0" w:rsidRPr="00863490" w:rsidRDefault="006939D0" w:rsidP="006939D0">
      <w:pPr>
        <w:rPr>
          <w:color w:val="FF0000"/>
          <w:sz w:val="18"/>
          <w:szCs w:val="18"/>
        </w:rPr>
      </w:pPr>
      <w:r w:rsidRPr="00863490">
        <w:rPr>
          <w:color w:val="FF0000"/>
          <w:sz w:val="18"/>
          <w:szCs w:val="18"/>
        </w:rPr>
        <w:t xml:space="preserve"> </w:t>
      </w:r>
    </w:p>
    <w:p w:rsidR="006939D0" w:rsidRPr="00863490" w:rsidRDefault="006939D0" w:rsidP="006939D0">
      <w:pPr>
        <w:rPr>
          <w:color w:val="FF0000"/>
          <w:sz w:val="18"/>
          <w:szCs w:val="18"/>
          <w:lang w:eastAsia="ko-KR"/>
        </w:rPr>
      </w:pPr>
    </w:p>
    <w:sectPr w:rsidR="006939D0" w:rsidRPr="00863490"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D93" w:rsidRDefault="00262D93">
      <w:r>
        <w:separator/>
      </w:r>
    </w:p>
  </w:endnote>
  <w:endnote w:type="continuationSeparator" w:id="0">
    <w:p w:rsidR="00262D93" w:rsidRDefault="00262D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5CE" w:rsidRDefault="00354149">
    <w:pPr>
      <w:pStyle w:val="Footer"/>
      <w:tabs>
        <w:tab w:val="clear" w:pos="6480"/>
        <w:tab w:val="center" w:pos="4680"/>
        <w:tab w:val="right" w:pos="9360"/>
      </w:tabs>
    </w:pPr>
    <w:fldSimple w:instr=" SUBJECT  \* MERGEFORMAT ">
      <w:r w:rsidR="007825CE">
        <w:t>Submission</w:t>
      </w:r>
    </w:fldSimple>
    <w:r w:rsidR="007825CE">
      <w:tab/>
      <w:t xml:space="preserve">page </w:t>
    </w:r>
    <w:r>
      <w:fldChar w:fldCharType="begin"/>
    </w:r>
    <w:r w:rsidR="007825CE">
      <w:instrText xml:space="preserve">page </w:instrText>
    </w:r>
    <w:r>
      <w:fldChar w:fldCharType="separate"/>
    </w:r>
    <w:r w:rsidR="00284F57">
      <w:rPr>
        <w:noProof/>
      </w:rPr>
      <w:t>3</w:t>
    </w:r>
    <w:r>
      <w:rPr>
        <w:noProof/>
      </w:rPr>
      <w:fldChar w:fldCharType="end"/>
    </w:r>
    <w:r w:rsidR="007825CE">
      <w:tab/>
    </w:r>
    <w:r w:rsidR="003150E2">
      <w:rPr>
        <w:lang w:eastAsia="ko-KR"/>
      </w:rPr>
      <w:t>Jianhan Liu</w:t>
    </w:r>
    <w:r w:rsidR="007825CE">
      <w:t xml:space="preserve">, </w:t>
    </w:r>
    <w:r w:rsidR="003150E2">
      <w:t>Mediatek</w:t>
    </w:r>
    <w:r w:rsidR="007825CE">
      <w:t xml:space="preserve"> Inc.</w:t>
    </w:r>
  </w:p>
  <w:p w:rsidR="007825CE" w:rsidRDefault="007825C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D93" w:rsidRDefault="00262D93">
      <w:r>
        <w:separator/>
      </w:r>
    </w:p>
  </w:footnote>
  <w:footnote w:type="continuationSeparator" w:id="0">
    <w:p w:rsidR="00262D93" w:rsidRDefault="00262D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5CE" w:rsidRDefault="00525A2B">
    <w:pPr>
      <w:pStyle w:val="Header"/>
      <w:tabs>
        <w:tab w:val="clear" w:pos="6480"/>
        <w:tab w:val="center" w:pos="4680"/>
        <w:tab w:val="right" w:pos="9360"/>
      </w:tabs>
    </w:pPr>
    <w:r>
      <w:rPr>
        <w:lang w:eastAsia="ko-KR"/>
      </w:rPr>
      <w:t>September</w:t>
    </w:r>
    <w:r w:rsidR="007825CE">
      <w:rPr>
        <w:lang w:eastAsia="ko-KR"/>
      </w:rPr>
      <w:t xml:space="preserve"> </w:t>
    </w:r>
    <w:r w:rsidR="007825CE">
      <w:t>201</w:t>
    </w:r>
    <w:r w:rsidR="007825CE">
      <w:rPr>
        <w:lang w:eastAsia="ko-KR"/>
      </w:rPr>
      <w:t>4</w:t>
    </w:r>
    <w:r w:rsidR="007825CE">
      <w:tab/>
    </w:r>
    <w:r w:rsidR="001B6BE6">
      <w:tab/>
      <w:t>doc: IEEE 802.11-14/1247r</w:t>
    </w:r>
    <w:r w:rsidR="00284F57">
      <w:t>2</w:t>
    </w:r>
    <w:r w:rsidR="007825CE">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8BC7111"/>
    <w:multiLevelType w:val="hybridMultilevel"/>
    <w:tmpl w:val="8F3A3100"/>
    <w:lvl w:ilvl="0" w:tplc="EF5655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3F887E0D"/>
    <w:multiLevelType w:val="hybridMultilevel"/>
    <w:tmpl w:val="4954876E"/>
    <w:lvl w:ilvl="0" w:tplc="F724CE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8.6.5.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8-269—"/>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3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3.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9.23.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3.7.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single"/>
        </w:rPr>
      </w:lvl>
    </w:lvlOverride>
  </w:num>
  <w:num w:numId="40">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9.23.7.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9.3.2.15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9-4a—"/>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6">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9.3.2.10a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5"/>
  </w:num>
  <w:num w:numId="49">
    <w:abstractNumId w:val="3"/>
  </w:num>
  <w:num w:numId="50">
    <w:abstractNumId w:val="0"/>
    <w:lvlOverride w:ilvl="0">
      <w:lvl w:ilvl="0">
        <w:numFmt w:val="bullet"/>
        <w:lvlText w:val=""/>
        <w:legacy w:legacy="1" w:legacySpace="0" w:legacyIndent="0"/>
        <w:lvlJc w:val="left"/>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4344"/>
    <w:rsid w:val="00024487"/>
    <w:rsid w:val="00027D05"/>
    <w:rsid w:val="000405C4"/>
    <w:rsid w:val="00052123"/>
    <w:rsid w:val="000640E8"/>
    <w:rsid w:val="0006732A"/>
    <w:rsid w:val="00073337"/>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C367F"/>
    <w:rsid w:val="000D174A"/>
    <w:rsid w:val="000D276A"/>
    <w:rsid w:val="000D2F1B"/>
    <w:rsid w:val="000D5EBD"/>
    <w:rsid w:val="000D674F"/>
    <w:rsid w:val="000E0494"/>
    <w:rsid w:val="000E1C37"/>
    <w:rsid w:val="000E1D7B"/>
    <w:rsid w:val="000E35A4"/>
    <w:rsid w:val="000E4B82"/>
    <w:rsid w:val="000E720C"/>
    <w:rsid w:val="000F4937"/>
    <w:rsid w:val="000F5088"/>
    <w:rsid w:val="000F685B"/>
    <w:rsid w:val="001015F8"/>
    <w:rsid w:val="00105918"/>
    <w:rsid w:val="001101C2"/>
    <w:rsid w:val="001109AA"/>
    <w:rsid w:val="00112C6A"/>
    <w:rsid w:val="00112EB5"/>
    <w:rsid w:val="00115A75"/>
    <w:rsid w:val="00120298"/>
    <w:rsid w:val="001215C0"/>
    <w:rsid w:val="00122D51"/>
    <w:rsid w:val="001275D7"/>
    <w:rsid w:val="00131307"/>
    <w:rsid w:val="00133371"/>
    <w:rsid w:val="00134114"/>
    <w:rsid w:val="00134A50"/>
    <w:rsid w:val="0014363F"/>
    <w:rsid w:val="001448D8"/>
    <w:rsid w:val="001450BB"/>
    <w:rsid w:val="001459E7"/>
    <w:rsid w:val="00151BBE"/>
    <w:rsid w:val="00154B26"/>
    <w:rsid w:val="001559BB"/>
    <w:rsid w:val="001578DF"/>
    <w:rsid w:val="001609B5"/>
    <w:rsid w:val="00165BE6"/>
    <w:rsid w:val="00172DD9"/>
    <w:rsid w:val="001738FD"/>
    <w:rsid w:val="00175CDF"/>
    <w:rsid w:val="0017659B"/>
    <w:rsid w:val="001812B0"/>
    <w:rsid w:val="00181423"/>
    <w:rsid w:val="00183F4C"/>
    <w:rsid w:val="00184661"/>
    <w:rsid w:val="00187129"/>
    <w:rsid w:val="0019164F"/>
    <w:rsid w:val="00192C6E"/>
    <w:rsid w:val="00193C39"/>
    <w:rsid w:val="001943F7"/>
    <w:rsid w:val="001A0EDB"/>
    <w:rsid w:val="001A2240"/>
    <w:rsid w:val="001B252D"/>
    <w:rsid w:val="001B2904"/>
    <w:rsid w:val="001B5E3A"/>
    <w:rsid w:val="001B63BC"/>
    <w:rsid w:val="001B6BE6"/>
    <w:rsid w:val="001C7CCE"/>
    <w:rsid w:val="001D15ED"/>
    <w:rsid w:val="001D328B"/>
    <w:rsid w:val="001D4A93"/>
    <w:rsid w:val="001D7948"/>
    <w:rsid w:val="001E0946"/>
    <w:rsid w:val="001E7C32"/>
    <w:rsid w:val="001F0210"/>
    <w:rsid w:val="001F10F7"/>
    <w:rsid w:val="001F13CA"/>
    <w:rsid w:val="001F283B"/>
    <w:rsid w:val="001F3DB9"/>
    <w:rsid w:val="001F491C"/>
    <w:rsid w:val="001F5C29"/>
    <w:rsid w:val="001F5D16"/>
    <w:rsid w:val="0020013A"/>
    <w:rsid w:val="0020462A"/>
    <w:rsid w:val="00210DDD"/>
    <w:rsid w:val="00214B50"/>
    <w:rsid w:val="002157A7"/>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4678"/>
    <w:rsid w:val="002470AC"/>
    <w:rsid w:val="00252D47"/>
    <w:rsid w:val="00255A8B"/>
    <w:rsid w:val="00256E53"/>
    <w:rsid w:val="00262D93"/>
    <w:rsid w:val="00263092"/>
    <w:rsid w:val="002662A5"/>
    <w:rsid w:val="00273257"/>
    <w:rsid w:val="00281A5D"/>
    <w:rsid w:val="00282053"/>
    <w:rsid w:val="00284C5E"/>
    <w:rsid w:val="00284F57"/>
    <w:rsid w:val="00291705"/>
    <w:rsid w:val="00291A10"/>
    <w:rsid w:val="00294B37"/>
    <w:rsid w:val="002A195C"/>
    <w:rsid w:val="002A4A61"/>
    <w:rsid w:val="002A4AA7"/>
    <w:rsid w:val="002A738B"/>
    <w:rsid w:val="002C6B4F"/>
    <w:rsid w:val="002C72E1"/>
    <w:rsid w:val="002D1D40"/>
    <w:rsid w:val="002D518F"/>
    <w:rsid w:val="002D7ED5"/>
    <w:rsid w:val="002E1B18"/>
    <w:rsid w:val="002E6FF6"/>
    <w:rsid w:val="002F25B2"/>
    <w:rsid w:val="002F2BC5"/>
    <w:rsid w:val="002F376B"/>
    <w:rsid w:val="002F5C8C"/>
    <w:rsid w:val="002F7199"/>
    <w:rsid w:val="002F7D11"/>
    <w:rsid w:val="003024ED"/>
    <w:rsid w:val="00304F5C"/>
    <w:rsid w:val="00305D6E"/>
    <w:rsid w:val="003064F0"/>
    <w:rsid w:val="0030782E"/>
    <w:rsid w:val="00307F5F"/>
    <w:rsid w:val="003113E2"/>
    <w:rsid w:val="003150E2"/>
    <w:rsid w:val="00315934"/>
    <w:rsid w:val="003214E2"/>
    <w:rsid w:val="00323C54"/>
    <w:rsid w:val="00325AB6"/>
    <w:rsid w:val="003308A8"/>
    <w:rsid w:val="00332E34"/>
    <w:rsid w:val="003449F9"/>
    <w:rsid w:val="00346266"/>
    <w:rsid w:val="003479E4"/>
    <w:rsid w:val="00347C43"/>
    <w:rsid w:val="00354149"/>
    <w:rsid w:val="0035682F"/>
    <w:rsid w:val="00360C87"/>
    <w:rsid w:val="00366AF0"/>
    <w:rsid w:val="00370866"/>
    <w:rsid w:val="003713CA"/>
    <w:rsid w:val="003729FC"/>
    <w:rsid w:val="00372FCA"/>
    <w:rsid w:val="003766B9"/>
    <w:rsid w:val="00382C54"/>
    <w:rsid w:val="0038516A"/>
    <w:rsid w:val="00385654"/>
    <w:rsid w:val="0038601E"/>
    <w:rsid w:val="003906A1"/>
    <w:rsid w:val="003912ED"/>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B75"/>
    <w:rsid w:val="003E5916"/>
    <w:rsid w:val="003E5CD9"/>
    <w:rsid w:val="003E5DE7"/>
    <w:rsid w:val="003E667C"/>
    <w:rsid w:val="003E7414"/>
    <w:rsid w:val="003E7F99"/>
    <w:rsid w:val="003F2D6C"/>
    <w:rsid w:val="003F6688"/>
    <w:rsid w:val="004014AE"/>
    <w:rsid w:val="00403645"/>
    <w:rsid w:val="004051EE"/>
    <w:rsid w:val="00407C5B"/>
    <w:rsid w:val="004100C6"/>
    <w:rsid w:val="00421159"/>
    <w:rsid w:val="00430648"/>
    <w:rsid w:val="00440FF1"/>
    <w:rsid w:val="004417F2"/>
    <w:rsid w:val="00442799"/>
    <w:rsid w:val="00443FBF"/>
    <w:rsid w:val="004452DF"/>
    <w:rsid w:val="004507E7"/>
    <w:rsid w:val="00450CC0"/>
    <w:rsid w:val="00456000"/>
    <w:rsid w:val="00457028"/>
    <w:rsid w:val="00457FA3"/>
    <w:rsid w:val="004603B6"/>
    <w:rsid w:val="00462172"/>
    <w:rsid w:val="0047267B"/>
    <w:rsid w:val="00475A71"/>
    <w:rsid w:val="00476730"/>
    <w:rsid w:val="004818FE"/>
    <w:rsid w:val="00481E31"/>
    <w:rsid w:val="00482AD0"/>
    <w:rsid w:val="00482AF6"/>
    <w:rsid w:val="00485169"/>
    <w:rsid w:val="00486EB3"/>
    <w:rsid w:val="0049468A"/>
    <w:rsid w:val="004A0AF4"/>
    <w:rsid w:val="004B2802"/>
    <w:rsid w:val="004B493F"/>
    <w:rsid w:val="004C0F0A"/>
    <w:rsid w:val="004C3C2A"/>
    <w:rsid w:val="004C5691"/>
    <w:rsid w:val="004C5B42"/>
    <w:rsid w:val="004C686D"/>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143C"/>
    <w:rsid w:val="005170A0"/>
    <w:rsid w:val="00517ED6"/>
    <w:rsid w:val="00520B8C"/>
    <w:rsid w:val="0052151C"/>
    <w:rsid w:val="0052180A"/>
    <w:rsid w:val="005243B4"/>
    <w:rsid w:val="00525A2B"/>
    <w:rsid w:val="00527489"/>
    <w:rsid w:val="00527BB3"/>
    <w:rsid w:val="00531734"/>
    <w:rsid w:val="0053254A"/>
    <w:rsid w:val="0054235E"/>
    <w:rsid w:val="00543051"/>
    <w:rsid w:val="0054425D"/>
    <w:rsid w:val="00545303"/>
    <w:rsid w:val="0055459B"/>
    <w:rsid w:val="00554995"/>
    <w:rsid w:val="00554EEF"/>
    <w:rsid w:val="0056463E"/>
    <w:rsid w:val="00567934"/>
    <w:rsid w:val="005702B6"/>
    <w:rsid w:val="005703A1"/>
    <w:rsid w:val="00571583"/>
    <w:rsid w:val="00572E7A"/>
    <w:rsid w:val="005753F0"/>
    <w:rsid w:val="005769C4"/>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1273"/>
    <w:rsid w:val="005C4204"/>
    <w:rsid w:val="005C45E8"/>
    <w:rsid w:val="005C6823"/>
    <w:rsid w:val="005C7F72"/>
    <w:rsid w:val="005D1461"/>
    <w:rsid w:val="005D33B5"/>
    <w:rsid w:val="005D5C6E"/>
    <w:rsid w:val="005D68F3"/>
    <w:rsid w:val="005D7951"/>
    <w:rsid w:val="005E3E49"/>
    <w:rsid w:val="005E768D"/>
    <w:rsid w:val="005F19DD"/>
    <w:rsid w:val="005F2CDD"/>
    <w:rsid w:val="005F4AD8"/>
    <w:rsid w:val="005F5ADA"/>
    <w:rsid w:val="005F695C"/>
    <w:rsid w:val="00600A10"/>
    <w:rsid w:val="006132E1"/>
    <w:rsid w:val="00615E8C"/>
    <w:rsid w:val="00621286"/>
    <w:rsid w:val="0062254C"/>
    <w:rsid w:val="0062298E"/>
    <w:rsid w:val="0062350A"/>
    <w:rsid w:val="0062440B"/>
    <w:rsid w:val="006254B0"/>
    <w:rsid w:val="006302F7"/>
    <w:rsid w:val="00631EB7"/>
    <w:rsid w:val="00635200"/>
    <w:rsid w:val="006362D2"/>
    <w:rsid w:val="006425CB"/>
    <w:rsid w:val="00644E29"/>
    <w:rsid w:val="006548B7"/>
    <w:rsid w:val="00654B3B"/>
    <w:rsid w:val="00656882"/>
    <w:rsid w:val="00657DBD"/>
    <w:rsid w:val="00662343"/>
    <w:rsid w:val="0066483B"/>
    <w:rsid w:val="00667884"/>
    <w:rsid w:val="0067069C"/>
    <w:rsid w:val="00671F29"/>
    <w:rsid w:val="0067305F"/>
    <w:rsid w:val="00675872"/>
    <w:rsid w:val="00677697"/>
    <w:rsid w:val="00680308"/>
    <w:rsid w:val="0068429C"/>
    <w:rsid w:val="00687476"/>
    <w:rsid w:val="00687A7D"/>
    <w:rsid w:val="0069038E"/>
    <w:rsid w:val="006939D0"/>
    <w:rsid w:val="006976B8"/>
    <w:rsid w:val="006A3A0E"/>
    <w:rsid w:val="006A3EB3"/>
    <w:rsid w:val="006A4179"/>
    <w:rsid w:val="006A503E"/>
    <w:rsid w:val="006A59BC"/>
    <w:rsid w:val="006A7F86"/>
    <w:rsid w:val="006C0178"/>
    <w:rsid w:val="006C063A"/>
    <w:rsid w:val="006C1FA8"/>
    <w:rsid w:val="006C2C97"/>
    <w:rsid w:val="006D3377"/>
    <w:rsid w:val="006D3E5E"/>
    <w:rsid w:val="006D5362"/>
    <w:rsid w:val="006E181A"/>
    <w:rsid w:val="006E2D44"/>
    <w:rsid w:val="006E7955"/>
    <w:rsid w:val="006F3DD4"/>
    <w:rsid w:val="006F6532"/>
    <w:rsid w:val="00706305"/>
    <w:rsid w:val="00711E05"/>
    <w:rsid w:val="00712CB4"/>
    <w:rsid w:val="00713C7B"/>
    <w:rsid w:val="007220CF"/>
    <w:rsid w:val="00724942"/>
    <w:rsid w:val="00724CB0"/>
    <w:rsid w:val="00727341"/>
    <w:rsid w:val="00733C14"/>
    <w:rsid w:val="00734F1A"/>
    <w:rsid w:val="00736065"/>
    <w:rsid w:val="0074006F"/>
    <w:rsid w:val="00741D75"/>
    <w:rsid w:val="0074621F"/>
    <w:rsid w:val="007463FB"/>
    <w:rsid w:val="00746A95"/>
    <w:rsid w:val="007513CD"/>
    <w:rsid w:val="00760426"/>
    <w:rsid w:val="0076196C"/>
    <w:rsid w:val="00766B1A"/>
    <w:rsid w:val="00766DFE"/>
    <w:rsid w:val="00767D46"/>
    <w:rsid w:val="00782008"/>
    <w:rsid w:val="007825CE"/>
    <w:rsid w:val="00783B46"/>
    <w:rsid w:val="00786A15"/>
    <w:rsid w:val="007914E4"/>
    <w:rsid w:val="007914F3"/>
    <w:rsid w:val="007926D8"/>
    <w:rsid w:val="00794BC4"/>
    <w:rsid w:val="00794F1E"/>
    <w:rsid w:val="00795330"/>
    <w:rsid w:val="00795C50"/>
    <w:rsid w:val="007A098E"/>
    <w:rsid w:val="007A5765"/>
    <w:rsid w:val="007A5B89"/>
    <w:rsid w:val="007A7D87"/>
    <w:rsid w:val="007B2BDF"/>
    <w:rsid w:val="007B6F8E"/>
    <w:rsid w:val="007C0795"/>
    <w:rsid w:val="007C14AD"/>
    <w:rsid w:val="007C6C61"/>
    <w:rsid w:val="007D3C15"/>
    <w:rsid w:val="007D4D44"/>
    <w:rsid w:val="007D50FF"/>
    <w:rsid w:val="007D6B5D"/>
    <w:rsid w:val="007E21DF"/>
    <w:rsid w:val="007E5479"/>
    <w:rsid w:val="007E57AA"/>
    <w:rsid w:val="007F2366"/>
    <w:rsid w:val="007F4664"/>
    <w:rsid w:val="007F6EC7"/>
    <w:rsid w:val="007F75A8"/>
    <w:rsid w:val="00802FC5"/>
    <w:rsid w:val="0081078F"/>
    <w:rsid w:val="008138C1"/>
    <w:rsid w:val="00814A2A"/>
    <w:rsid w:val="00816B48"/>
    <w:rsid w:val="008204A2"/>
    <w:rsid w:val="008208CB"/>
    <w:rsid w:val="00820B60"/>
    <w:rsid w:val="00822070"/>
    <w:rsid w:val="00822142"/>
    <w:rsid w:val="00822EA3"/>
    <w:rsid w:val="0082437A"/>
    <w:rsid w:val="00830ACB"/>
    <w:rsid w:val="00831EDC"/>
    <w:rsid w:val="00832700"/>
    <w:rsid w:val="00832898"/>
    <w:rsid w:val="00833B9B"/>
    <w:rsid w:val="00835A0A"/>
    <w:rsid w:val="008377E3"/>
    <w:rsid w:val="008378E7"/>
    <w:rsid w:val="00840667"/>
    <w:rsid w:val="00850566"/>
    <w:rsid w:val="00852B3C"/>
    <w:rsid w:val="008532E6"/>
    <w:rsid w:val="008533CE"/>
    <w:rsid w:val="00853C46"/>
    <w:rsid w:val="0085795D"/>
    <w:rsid w:val="00863490"/>
    <w:rsid w:val="008667E9"/>
    <w:rsid w:val="0086745D"/>
    <w:rsid w:val="008768E0"/>
    <w:rsid w:val="008776B0"/>
    <w:rsid w:val="0088012D"/>
    <w:rsid w:val="00881C47"/>
    <w:rsid w:val="00884237"/>
    <w:rsid w:val="00887583"/>
    <w:rsid w:val="00891445"/>
    <w:rsid w:val="00897183"/>
    <w:rsid w:val="008A5AFD"/>
    <w:rsid w:val="008B47B4"/>
    <w:rsid w:val="008B5396"/>
    <w:rsid w:val="008B5CCA"/>
    <w:rsid w:val="008C0886"/>
    <w:rsid w:val="008C4913"/>
    <w:rsid w:val="008C5478"/>
    <w:rsid w:val="008C57E5"/>
    <w:rsid w:val="008C5AD6"/>
    <w:rsid w:val="008C5D4E"/>
    <w:rsid w:val="008C7A4B"/>
    <w:rsid w:val="008D0C05"/>
    <w:rsid w:val="008D71CE"/>
    <w:rsid w:val="008E0E94"/>
    <w:rsid w:val="008E444B"/>
    <w:rsid w:val="008F039B"/>
    <w:rsid w:val="008F1C67"/>
    <w:rsid w:val="008F238D"/>
    <w:rsid w:val="008F5289"/>
    <w:rsid w:val="008F6D5C"/>
    <w:rsid w:val="00904E32"/>
    <w:rsid w:val="00905A7F"/>
    <w:rsid w:val="00910F8F"/>
    <w:rsid w:val="0091118D"/>
    <w:rsid w:val="009225A7"/>
    <w:rsid w:val="0092329B"/>
    <w:rsid w:val="0092599A"/>
    <w:rsid w:val="00927FEB"/>
    <w:rsid w:val="009321FE"/>
    <w:rsid w:val="00936D66"/>
    <w:rsid w:val="0094091B"/>
    <w:rsid w:val="00944591"/>
    <w:rsid w:val="00944CAA"/>
    <w:rsid w:val="009506C9"/>
    <w:rsid w:val="00951CE8"/>
    <w:rsid w:val="00953565"/>
    <w:rsid w:val="00954C90"/>
    <w:rsid w:val="00961347"/>
    <w:rsid w:val="00962886"/>
    <w:rsid w:val="00966865"/>
    <w:rsid w:val="00971127"/>
    <w:rsid w:val="009723A1"/>
    <w:rsid w:val="00973614"/>
    <w:rsid w:val="0097724C"/>
    <w:rsid w:val="00980866"/>
    <w:rsid w:val="00980D24"/>
    <w:rsid w:val="009824DF"/>
    <w:rsid w:val="0098405A"/>
    <w:rsid w:val="00991A93"/>
    <w:rsid w:val="0099726E"/>
    <w:rsid w:val="009A0440"/>
    <w:rsid w:val="009A0E5E"/>
    <w:rsid w:val="009A65E6"/>
    <w:rsid w:val="009B09CD"/>
    <w:rsid w:val="009B0E8D"/>
    <w:rsid w:val="009B2383"/>
    <w:rsid w:val="009B4356"/>
    <w:rsid w:val="009C0957"/>
    <w:rsid w:val="009C30AA"/>
    <w:rsid w:val="009C43D1"/>
    <w:rsid w:val="009C59A6"/>
    <w:rsid w:val="009C6A52"/>
    <w:rsid w:val="009C7801"/>
    <w:rsid w:val="009D0AB2"/>
    <w:rsid w:val="009D0BA6"/>
    <w:rsid w:val="009D3276"/>
    <w:rsid w:val="009D444C"/>
    <w:rsid w:val="009D4525"/>
    <w:rsid w:val="009E1533"/>
    <w:rsid w:val="009E2785"/>
    <w:rsid w:val="009F08F6"/>
    <w:rsid w:val="009F3F07"/>
    <w:rsid w:val="00A0032F"/>
    <w:rsid w:val="00A00EE5"/>
    <w:rsid w:val="00A049E2"/>
    <w:rsid w:val="00A1330C"/>
    <w:rsid w:val="00A1344B"/>
    <w:rsid w:val="00A219E7"/>
    <w:rsid w:val="00A223FF"/>
    <w:rsid w:val="00A2417A"/>
    <w:rsid w:val="00A26D8D"/>
    <w:rsid w:val="00A40884"/>
    <w:rsid w:val="00A42C28"/>
    <w:rsid w:val="00A43B6B"/>
    <w:rsid w:val="00A45C7E"/>
    <w:rsid w:val="00A477E6"/>
    <w:rsid w:val="00A47C1B"/>
    <w:rsid w:val="00A5337D"/>
    <w:rsid w:val="00A5345A"/>
    <w:rsid w:val="00A57CE8"/>
    <w:rsid w:val="00A6583A"/>
    <w:rsid w:val="00A66CBC"/>
    <w:rsid w:val="00A70990"/>
    <w:rsid w:val="00A80E2F"/>
    <w:rsid w:val="00A844CE"/>
    <w:rsid w:val="00A90385"/>
    <w:rsid w:val="00A91357"/>
    <w:rsid w:val="00A91EAA"/>
    <w:rsid w:val="00A9264B"/>
    <w:rsid w:val="00A96DCC"/>
    <w:rsid w:val="00AA188F"/>
    <w:rsid w:val="00AA3475"/>
    <w:rsid w:val="00AA3C3D"/>
    <w:rsid w:val="00AA60FC"/>
    <w:rsid w:val="00AA63A9"/>
    <w:rsid w:val="00AA6F19"/>
    <w:rsid w:val="00AA7E07"/>
    <w:rsid w:val="00AB17F6"/>
    <w:rsid w:val="00AB7EF0"/>
    <w:rsid w:val="00AC76C6"/>
    <w:rsid w:val="00AD268D"/>
    <w:rsid w:val="00AD3749"/>
    <w:rsid w:val="00AD5C13"/>
    <w:rsid w:val="00AD60CC"/>
    <w:rsid w:val="00AD6723"/>
    <w:rsid w:val="00AD6AE6"/>
    <w:rsid w:val="00AE1F00"/>
    <w:rsid w:val="00B003FD"/>
    <w:rsid w:val="00B0051A"/>
    <w:rsid w:val="00B03DB7"/>
    <w:rsid w:val="00B04957"/>
    <w:rsid w:val="00B04CB8"/>
    <w:rsid w:val="00B11981"/>
    <w:rsid w:val="00B13F85"/>
    <w:rsid w:val="00B15876"/>
    <w:rsid w:val="00B16515"/>
    <w:rsid w:val="00B200F0"/>
    <w:rsid w:val="00B2361F"/>
    <w:rsid w:val="00B447D8"/>
    <w:rsid w:val="00B45A5E"/>
    <w:rsid w:val="00B45B4E"/>
    <w:rsid w:val="00B51194"/>
    <w:rsid w:val="00B52374"/>
    <w:rsid w:val="00B5499F"/>
    <w:rsid w:val="00B54BCB"/>
    <w:rsid w:val="00B56B13"/>
    <w:rsid w:val="00B60DD2"/>
    <w:rsid w:val="00B6166F"/>
    <w:rsid w:val="00B63F1C"/>
    <w:rsid w:val="00B7006B"/>
    <w:rsid w:val="00B73C63"/>
    <w:rsid w:val="00B741E5"/>
    <w:rsid w:val="00B74E3D"/>
    <w:rsid w:val="00B753D1"/>
    <w:rsid w:val="00B77BB8"/>
    <w:rsid w:val="00B83455"/>
    <w:rsid w:val="00B844E8"/>
    <w:rsid w:val="00B9272C"/>
    <w:rsid w:val="00B94B98"/>
    <w:rsid w:val="00B94CAC"/>
    <w:rsid w:val="00B96417"/>
    <w:rsid w:val="00BA06B3"/>
    <w:rsid w:val="00BA4A93"/>
    <w:rsid w:val="00BA787B"/>
    <w:rsid w:val="00BB20F2"/>
    <w:rsid w:val="00BB67AE"/>
    <w:rsid w:val="00BC203A"/>
    <w:rsid w:val="00BC3820"/>
    <w:rsid w:val="00BC5869"/>
    <w:rsid w:val="00BD003A"/>
    <w:rsid w:val="00BD1D45"/>
    <w:rsid w:val="00BD3099"/>
    <w:rsid w:val="00BD3E62"/>
    <w:rsid w:val="00BD73E6"/>
    <w:rsid w:val="00BE367D"/>
    <w:rsid w:val="00BF321B"/>
    <w:rsid w:val="00BF3773"/>
    <w:rsid w:val="00BF3C69"/>
    <w:rsid w:val="00BF3E14"/>
    <w:rsid w:val="00BF4644"/>
    <w:rsid w:val="00C00D18"/>
    <w:rsid w:val="00C03B8D"/>
    <w:rsid w:val="00C04532"/>
    <w:rsid w:val="00C06D1A"/>
    <w:rsid w:val="00C078F3"/>
    <w:rsid w:val="00C1356B"/>
    <w:rsid w:val="00C135D7"/>
    <w:rsid w:val="00C151D0"/>
    <w:rsid w:val="00C237F5"/>
    <w:rsid w:val="00C24241"/>
    <w:rsid w:val="00C247D2"/>
    <w:rsid w:val="00C24A70"/>
    <w:rsid w:val="00C317AA"/>
    <w:rsid w:val="00C325C5"/>
    <w:rsid w:val="00C34B1A"/>
    <w:rsid w:val="00C36247"/>
    <w:rsid w:val="00C42B23"/>
    <w:rsid w:val="00C45A69"/>
    <w:rsid w:val="00C46AA2"/>
    <w:rsid w:val="00C542F0"/>
    <w:rsid w:val="00C55F0E"/>
    <w:rsid w:val="00C57CDB"/>
    <w:rsid w:val="00C60A9B"/>
    <w:rsid w:val="00C6108B"/>
    <w:rsid w:val="00C63602"/>
    <w:rsid w:val="00C67768"/>
    <w:rsid w:val="00C723BC"/>
    <w:rsid w:val="00C76E56"/>
    <w:rsid w:val="00C80D03"/>
    <w:rsid w:val="00C80D37"/>
    <w:rsid w:val="00C8151A"/>
    <w:rsid w:val="00C81770"/>
    <w:rsid w:val="00C82355"/>
    <w:rsid w:val="00C82609"/>
    <w:rsid w:val="00C84374"/>
    <w:rsid w:val="00C85C0F"/>
    <w:rsid w:val="00C8795F"/>
    <w:rsid w:val="00C906E5"/>
    <w:rsid w:val="00C95FF7"/>
    <w:rsid w:val="00C975ED"/>
    <w:rsid w:val="00CA2591"/>
    <w:rsid w:val="00CB285C"/>
    <w:rsid w:val="00CB7A46"/>
    <w:rsid w:val="00CC3806"/>
    <w:rsid w:val="00CC76CE"/>
    <w:rsid w:val="00CD0ABD"/>
    <w:rsid w:val="00CD259C"/>
    <w:rsid w:val="00CE3B2F"/>
    <w:rsid w:val="00CE3DDC"/>
    <w:rsid w:val="00CE63EE"/>
    <w:rsid w:val="00CF16FB"/>
    <w:rsid w:val="00CF2295"/>
    <w:rsid w:val="00CF3BDE"/>
    <w:rsid w:val="00D07ABE"/>
    <w:rsid w:val="00D11B68"/>
    <w:rsid w:val="00D14B01"/>
    <w:rsid w:val="00D27682"/>
    <w:rsid w:val="00D307A6"/>
    <w:rsid w:val="00D36C35"/>
    <w:rsid w:val="00D42073"/>
    <w:rsid w:val="00D5432B"/>
    <w:rsid w:val="00D5494D"/>
    <w:rsid w:val="00D5680E"/>
    <w:rsid w:val="00D5732A"/>
    <w:rsid w:val="00D574CA"/>
    <w:rsid w:val="00D57819"/>
    <w:rsid w:val="00D6072C"/>
    <w:rsid w:val="00D60E0E"/>
    <w:rsid w:val="00D618A3"/>
    <w:rsid w:val="00D63BAB"/>
    <w:rsid w:val="00D72906"/>
    <w:rsid w:val="00D72BC8"/>
    <w:rsid w:val="00D72C7A"/>
    <w:rsid w:val="00D73E07"/>
    <w:rsid w:val="00D826B4"/>
    <w:rsid w:val="00D84566"/>
    <w:rsid w:val="00D92951"/>
    <w:rsid w:val="00D94B05"/>
    <w:rsid w:val="00D9667F"/>
    <w:rsid w:val="00DA3D06"/>
    <w:rsid w:val="00DA6543"/>
    <w:rsid w:val="00DB5542"/>
    <w:rsid w:val="00DB6B0C"/>
    <w:rsid w:val="00DB6C4D"/>
    <w:rsid w:val="00DB7D1B"/>
    <w:rsid w:val="00DC0CA2"/>
    <w:rsid w:val="00DC176F"/>
    <w:rsid w:val="00DC2B1D"/>
    <w:rsid w:val="00DC54FC"/>
    <w:rsid w:val="00DC68A9"/>
    <w:rsid w:val="00DC77AA"/>
    <w:rsid w:val="00DD14AC"/>
    <w:rsid w:val="00DD3BD5"/>
    <w:rsid w:val="00DD6EB7"/>
    <w:rsid w:val="00DE2E19"/>
    <w:rsid w:val="00DE385C"/>
    <w:rsid w:val="00DE6B30"/>
    <w:rsid w:val="00DF15D7"/>
    <w:rsid w:val="00DF6CC2"/>
    <w:rsid w:val="00E006E4"/>
    <w:rsid w:val="00E02AAD"/>
    <w:rsid w:val="00E0769B"/>
    <w:rsid w:val="00E07C9E"/>
    <w:rsid w:val="00E07E4A"/>
    <w:rsid w:val="00E1006B"/>
    <w:rsid w:val="00E22388"/>
    <w:rsid w:val="00E33B8F"/>
    <w:rsid w:val="00E341A8"/>
    <w:rsid w:val="00E415A5"/>
    <w:rsid w:val="00E419AD"/>
    <w:rsid w:val="00E427EC"/>
    <w:rsid w:val="00E52138"/>
    <w:rsid w:val="00E53C1B"/>
    <w:rsid w:val="00E54D26"/>
    <w:rsid w:val="00E5708C"/>
    <w:rsid w:val="00E610D6"/>
    <w:rsid w:val="00E64FF2"/>
    <w:rsid w:val="00E65013"/>
    <w:rsid w:val="00E71C91"/>
    <w:rsid w:val="00E74E87"/>
    <w:rsid w:val="00E80182"/>
    <w:rsid w:val="00E8027B"/>
    <w:rsid w:val="00E81437"/>
    <w:rsid w:val="00E8723C"/>
    <w:rsid w:val="00E873C2"/>
    <w:rsid w:val="00E93189"/>
    <w:rsid w:val="00E9535F"/>
    <w:rsid w:val="00EA2CE4"/>
    <w:rsid w:val="00EA48D0"/>
    <w:rsid w:val="00EA6DCB"/>
    <w:rsid w:val="00EB5ADB"/>
    <w:rsid w:val="00ED2EBF"/>
    <w:rsid w:val="00ED6FC5"/>
    <w:rsid w:val="00EE2AF3"/>
    <w:rsid w:val="00EE55B2"/>
    <w:rsid w:val="00EE7DA9"/>
    <w:rsid w:val="00EF1B14"/>
    <w:rsid w:val="00EF34D3"/>
    <w:rsid w:val="00EF6B9E"/>
    <w:rsid w:val="00F046E6"/>
    <w:rsid w:val="00F04FF6"/>
    <w:rsid w:val="00F109FC"/>
    <w:rsid w:val="00F22229"/>
    <w:rsid w:val="00F2561F"/>
    <w:rsid w:val="00F2637D"/>
    <w:rsid w:val="00F342FD"/>
    <w:rsid w:val="00F34E9E"/>
    <w:rsid w:val="00F41684"/>
    <w:rsid w:val="00F44755"/>
    <w:rsid w:val="00F455E0"/>
    <w:rsid w:val="00F45E7C"/>
    <w:rsid w:val="00F5458D"/>
    <w:rsid w:val="00F54F3A"/>
    <w:rsid w:val="00F56722"/>
    <w:rsid w:val="00F56A87"/>
    <w:rsid w:val="00F659E1"/>
    <w:rsid w:val="00F808C5"/>
    <w:rsid w:val="00F832E1"/>
    <w:rsid w:val="00F85369"/>
    <w:rsid w:val="00F853F7"/>
    <w:rsid w:val="00F872D0"/>
    <w:rsid w:val="00F93DC9"/>
    <w:rsid w:val="00F94872"/>
    <w:rsid w:val="00F967E0"/>
    <w:rsid w:val="00F96A6A"/>
    <w:rsid w:val="00FA308D"/>
    <w:rsid w:val="00FA5D88"/>
    <w:rsid w:val="00FA6D0A"/>
    <w:rsid w:val="00FA751A"/>
    <w:rsid w:val="00FB0152"/>
    <w:rsid w:val="00FB1482"/>
    <w:rsid w:val="00FB1A63"/>
    <w:rsid w:val="00FB33E4"/>
    <w:rsid w:val="00FB6C2B"/>
    <w:rsid w:val="00FC18E0"/>
    <w:rsid w:val="00FC20C3"/>
    <w:rsid w:val="00FC29BA"/>
    <w:rsid w:val="00FC315C"/>
    <w:rsid w:val="00FC4DE0"/>
    <w:rsid w:val="00FC64E4"/>
    <w:rsid w:val="00FD0BF7"/>
    <w:rsid w:val="00FD554D"/>
    <w:rsid w:val="00FD5600"/>
    <w:rsid w:val="00FD5B24"/>
    <w:rsid w:val="00FE31E9"/>
    <w:rsid w:val="00FE362B"/>
    <w:rsid w:val="00FE37EF"/>
    <w:rsid w:val="00FE5C16"/>
    <w:rsid w:val="00FF373C"/>
    <w:rsid w:val="00FF4A9E"/>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 w:type="paragraph" w:customStyle="1" w:styleId="SP977862">
    <w:name w:val="SP.9.77862"/>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31">
    <w:name w:val="SP.9.77831"/>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28">
    <w:name w:val="SP.9.77828"/>
    <w:basedOn w:val="Normal"/>
    <w:next w:val="Normal"/>
    <w:uiPriority w:val="99"/>
    <w:rsid w:val="007E57A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7E57AA"/>
    <w:rPr>
      <w:b/>
      <w:bCs/>
      <w:color w:val="000000"/>
      <w:sz w:val="20"/>
      <w:szCs w:val="20"/>
    </w:rPr>
  </w:style>
  <w:style w:type="paragraph" w:customStyle="1" w:styleId="SP977834">
    <w:name w:val="SP.9.77834"/>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90150">
    <w:name w:val="SP.9.90150"/>
    <w:basedOn w:val="Normal"/>
    <w:next w:val="Normal"/>
    <w:uiPriority w:val="99"/>
    <w:rsid w:val="008F5289"/>
    <w:pPr>
      <w:autoSpaceDE w:val="0"/>
      <w:autoSpaceDN w:val="0"/>
      <w:adjustRightInd w:val="0"/>
    </w:pPr>
    <w:rPr>
      <w:sz w:val="24"/>
      <w:szCs w:val="24"/>
      <w:lang w:val="en-US" w:eastAsia="ko-KR"/>
    </w:rPr>
  </w:style>
  <w:style w:type="paragraph" w:customStyle="1" w:styleId="SP990119">
    <w:name w:val="SP.9.90119"/>
    <w:basedOn w:val="Normal"/>
    <w:next w:val="Normal"/>
    <w:uiPriority w:val="99"/>
    <w:rsid w:val="008F5289"/>
    <w:pPr>
      <w:autoSpaceDE w:val="0"/>
      <w:autoSpaceDN w:val="0"/>
      <w:adjustRightInd w:val="0"/>
    </w:pPr>
    <w:rPr>
      <w:sz w:val="24"/>
      <w:szCs w:val="24"/>
      <w:lang w:val="en-US" w:eastAsia="ko-KR"/>
    </w:rPr>
  </w:style>
  <w:style w:type="paragraph" w:customStyle="1" w:styleId="SP990116">
    <w:name w:val="SP.9.90116"/>
    <w:basedOn w:val="Normal"/>
    <w:next w:val="Normal"/>
    <w:uiPriority w:val="99"/>
    <w:rsid w:val="008F5289"/>
    <w:pPr>
      <w:autoSpaceDE w:val="0"/>
      <w:autoSpaceDN w:val="0"/>
      <w:adjustRightInd w:val="0"/>
    </w:pPr>
    <w:rPr>
      <w:sz w:val="24"/>
      <w:szCs w:val="24"/>
      <w:lang w:val="en-US" w:eastAsia="ko-KR"/>
    </w:rPr>
  </w:style>
  <w:style w:type="paragraph" w:customStyle="1" w:styleId="SP990122">
    <w:name w:val="SP.9.90122"/>
    <w:basedOn w:val="Normal"/>
    <w:next w:val="Normal"/>
    <w:uiPriority w:val="99"/>
    <w:rsid w:val="008F5289"/>
    <w:pPr>
      <w:autoSpaceDE w:val="0"/>
      <w:autoSpaceDN w:val="0"/>
      <w:adjustRightInd w:val="0"/>
    </w:pPr>
    <w:rPr>
      <w:sz w:val="24"/>
      <w:szCs w:val="24"/>
      <w:lang w:val="en-US" w:eastAsia="ko-KR"/>
    </w:rPr>
  </w:style>
  <w:style w:type="character" w:customStyle="1" w:styleId="SC9192522">
    <w:name w:val="SC.9.192522"/>
    <w:uiPriority w:val="99"/>
    <w:rsid w:val="008F5289"/>
    <w:rPr>
      <w:rFonts w:ascii="Calibri" w:hAnsi="Calibri" w:cs="Calibri"/>
      <w:color w:val="000000"/>
      <w:sz w:val="22"/>
      <w:szCs w:val="22"/>
    </w:rPr>
  </w:style>
  <w:style w:type="paragraph" w:customStyle="1" w:styleId="SP990113">
    <w:name w:val="SP.9.90113"/>
    <w:basedOn w:val="Normal"/>
    <w:next w:val="Normal"/>
    <w:uiPriority w:val="99"/>
    <w:rsid w:val="006939D0"/>
    <w:pPr>
      <w:autoSpaceDE w:val="0"/>
      <w:autoSpaceDN w:val="0"/>
      <w:adjustRightInd w:val="0"/>
    </w:pPr>
    <w:rPr>
      <w:rFonts w:ascii="Calibri" w:hAnsi="Calibri"/>
      <w:sz w:val="24"/>
      <w:szCs w:val="24"/>
      <w:lang w:val="en-US" w:eastAsia="ko-KR"/>
    </w:rPr>
  </w:style>
  <w:style w:type="character" w:customStyle="1" w:styleId="SC9192533">
    <w:name w:val="SC.9.192533"/>
    <w:uiPriority w:val="99"/>
    <w:rsid w:val="006939D0"/>
    <w:rPr>
      <w:rFonts w:cs="Calibri"/>
      <w:color w:val="000000"/>
    </w:rPr>
  </w:style>
  <w:style w:type="character" w:customStyle="1" w:styleId="SC9192644">
    <w:name w:val="SC.9.192644"/>
    <w:uiPriority w:val="99"/>
    <w:rsid w:val="006939D0"/>
    <w:rPr>
      <w:rFonts w:ascii="Times New Roman" w:hAnsi="Times New Roman"/>
      <w:i/>
      <w:iCs/>
      <w:color w:val="000000"/>
      <w:sz w:val="16"/>
      <w:szCs w:val="16"/>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676592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0A7EE-DEB7-4725-8137-A57429930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4943</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5876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mtk30143</cp:lastModifiedBy>
  <cp:revision>2</cp:revision>
  <cp:lastPrinted>2010-05-04T03:47:00Z</cp:lastPrinted>
  <dcterms:created xsi:type="dcterms:W3CDTF">2014-09-16T18:26:00Z</dcterms:created>
  <dcterms:modified xsi:type="dcterms:W3CDTF">2014-09-16T18:26:00Z</dcterms:modified>
</cp:coreProperties>
</file>