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2014-09-05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312CD6">
      <w:pPr>
        <w:pStyle w:val="T1"/>
        <w:spacing w:after="120"/>
        <w:rPr>
          <w:sz w:val="22"/>
        </w:rPr>
      </w:pPr>
      <w:r w:rsidRPr="00312CD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E1F3F" w:rsidRDefault="001E1F3F">
                  <w:pPr>
                    <w:pStyle w:val="T1"/>
                    <w:spacing w:after="120"/>
                  </w:pPr>
                  <w:r>
                    <w:t>Abstract</w:t>
                  </w:r>
                </w:p>
                <w:p w:rsidR="001E1F3F" w:rsidRPr="009A6A3F" w:rsidRDefault="001E1F3F">
                  <w:pPr>
                    <w:jc w:val="both"/>
                  </w:pPr>
                  <w:r>
                    <w:t xml:space="preserve">This submission proposes resolutions for MAC CIDs </w:t>
                  </w:r>
                  <w:r w:rsidR="003507C5" w:rsidRPr="003507C5">
                    <w:t>3023, 3313, 3314, 3318, 3323, 3324, 3359, 336</w:t>
                  </w:r>
                  <w:r w:rsidR="003507C5">
                    <w:t xml:space="preserve">0, 3365, 3377, 3382, 3478, 3479 </w:t>
                  </w:r>
                  <w:r>
                    <w:t xml:space="preserve">and </w:t>
                  </w:r>
                  <w:r w:rsidRPr="00E63A82">
                    <w:t>security CIDs 3426, 3427, 3429, 3432, 3439</w:t>
                  </w:r>
                  <w:r>
                    <w:t xml:space="preserve"> </w:t>
                  </w:r>
                  <w:r w:rsidRPr="009A6A3F">
                    <w:t>on 11mc/D3.0.</w:t>
                  </w:r>
                </w:p>
                <w:p w:rsidR="001E1F3F" w:rsidRDefault="001E1F3F">
                  <w:pPr>
                    <w:jc w:val="both"/>
                  </w:pPr>
                </w:p>
              </w:txbxContent>
            </v:textbox>
          </v:shape>
        </w:pict>
      </w:r>
    </w:p>
    <w:p w:rsidR="00CA09B2" w:rsidRDefault="00CA09B2">
      <w:r>
        <w:br w:type="page"/>
      </w:r>
    </w:p>
    <w:tbl>
      <w:tblPr>
        <w:tblStyle w:val="TableGrid"/>
        <w:tblW w:w="0" w:type="auto"/>
        <w:tblLook w:val="04A0"/>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rx support for a given combination of VHT-MCS, NSS and bandwidth covers both long and short GI, inasmuch as short GI is supported at that bandwidth (as indicated by the Short GI for </w:t>
      </w:r>
      <w:r w:rsidR="002F6CBA">
        <w:t>$nnn</w:t>
      </w:r>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Tx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What is the Tx Supported VHT-MCS and NSS Set actually used for, though?  I had a vague recollection it was used for some control response rules or something, but have been unable to find this by grepping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t>REVISED</w:t>
      </w:r>
    </w:p>
    <w:p w:rsidR="00066C64" w:rsidRDefault="00066C64" w:rsidP="006F0F82"/>
    <w:p w:rsidR="00F70C97" w:rsidRDefault="00066C64">
      <w:r>
        <w:t>Change the NOTE to read “</w:t>
      </w:r>
      <w:r w:rsidR="00A450AF" w:rsidRPr="00A450AF">
        <w:rPr>
          <w:u w:val="single"/>
        </w:rPr>
        <w:t>In contrast to reception, s</w:t>
      </w:r>
      <w:r w:rsidRPr="00A450AF">
        <w:rPr>
          <w:strike/>
        </w:rPr>
        <w:t>S</w:t>
      </w:r>
      <w:r>
        <w:t xml:space="preserve">upport for short GI </w:t>
      </w:r>
      <w:r w:rsidR="00AB069B" w:rsidRPr="00AB069B">
        <w:rPr>
          <w:strike/>
        </w:rPr>
        <w:t xml:space="preserve">on </w:t>
      </w:r>
      <w:r w:rsidR="008C11F3" w:rsidRPr="00AB069B">
        <w:t>transmi</w:t>
      </w:r>
      <w:r w:rsidR="00AB069B" w:rsidRPr="00AB069B">
        <w:rPr>
          <w:strike/>
        </w:rPr>
        <w:t>t</w:t>
      </w:r>
      <w:r w:rsidR="008C11F3">
        <w:rPr>
          <w:u w:val="single"/>
        </w:rPr>
        <w:t xml:space="preserve">ssions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773933">
        <w:t xml:space="preserve">  Give the </w:t>
      </w:r>
      <w:r w:rsidR="00A91F68">
        <w:t>commenter</w:t>
      </w:r>
      <w:r w:rsidR="00773933">
        <w:t xml:space="preserve"> a carrot.</w:t>
      </w:r>
      <w:r w:rsidR="00F70C97">
        <w:br w:type="page"/>
      </w:r>
    </w:p>
    <w:tbl>
      <w:tblPr>
        <w:tblStyle w:val="TableGrid"/>
        <w:tblW w:w="0" w:type="auto"/>
        <w:tblLook w:val="04A0"/>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implemented and enabled (there are moves afoot in the ARC SC, at TGmc’s behest, to canonicalise this).</w:t>
      </w:r>
    </w:p>
    <w:p w:rsidR="006320F2" w:rsidRDefault="006320F2" w:rsidP="00FF305B"/>
    <w:p w:rsidR="00FF305B" w:rsidRDefault="00FF305B" w:rsidP="00FF305B">
      <w:r>
        <w:t>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CandidateMCSSet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Acks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t>REVISED</w:t>
      </w:r>
    </w:p>
    <w:p w:rsidR="00FF305B" w:rsidRDefault="00FF305B" w:rsidP="00FF305B"/>
    <w:p w:rsidR="001A0CA3" w:rsidRDefault="00FF305B" w:rsidP="00FF305B">
      <w:r w:rsidRPr="00FF305B">
        <w:t>Make the changes described in $thisdoc under</w:t>
      </w:r>
      <w:r>
        <w:t xml:space="preserve"> “Proposed changes:” for CID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Heuristics such as the TXOP responder’s previous choices and channel conditions might be used to minimise the inexactitude.</w:t>
      </w:r>
    </w:p>
    <w:p w:rsidR="00784C52" w:rsidRDefault="00784C52"/>
    <w:p w:rsidR="005D2CDA" w:rsidRDefault="00784C52">
      <w:r>
        <w:t>Number the existing NOTE as NOTE 2.</w:t>
      </w:r>
      <w:r w:rsidR="005D2CDA">
        <w:br w:type="page"/>
      </w:r>
    </w:p>
    <w:tbl>
      <w:tblPr>
        <w:tblStyle w:val="TableGrid"/>
        <w:tblW w:w="0" w:type="auto"/>
        <w:tblLook w:val="04A0"/>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It's not clear whether the SM Power Save subfield of the HT Capabilities Info is a capability or a current state, nor whether it's support on tx or rx.  10.2.4 suggests that at least for non-AP STAs it's actually a current state and for rx,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Clarify.  Note that the current situation appears to be that for non-AP STAs it's a state not a capability, which is contrary to the agreed intent of the HT Capabilties IE (and more generally with the principle that capabilities are fixed, and things which change are in other elements, called e.g. operation)</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p>
    <w:p w:rsidR="00FB6677" w:rsidRDefault="00FB6677"/>
    <w:p w:rsidR="00DE104F" w:rsidRDefault="00FB6677">
      <w:r>
        <w:t>There is also suggestion that SM can be enabled “during” association.  This is vague, and makes little sense since the AP only finds out the STA’s SMPS mode after association.</w:t>
      </w:r>
      <w:r w:rsidR="00461B0E">
        <w:t xml:space="preserve">  </w:t>
      </w:r>
      <w:r w:rsidR="00461B0E" w:rsidRPr="00461B0E">
        <w:rPr>
          <w:highlight w:val="yellow"/>
        </w:rPr>
        <w:t xml:space="preserve">Or is the intent to apply the SMPS mode to the (Re)Association Response?  </w:t>
      </w:r>
      <w:r w:rsidR="00461B0E">
        <w:rPr>
          <w:highlight w:val="yellow"/>
        </w:rPr>
        <w:t>Is this really worth it, given that the Authentication would not have benefited from this (assuming the AP had determined the STA supported 2SS, from e.g. a Probe Request)</w:t>
      </w:r>
      <w:r w:rsidR="006A54A7">
        <w:rPr>
          <w:highlight w:val="yellow"/>
        </w:rPr>
        <w:t>?  Also 1561.45 only mentions “after association”.</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Oh, and a STA in SMPS mode might have decided to constrain rx to 1SS for other reasons, e.g. operating mode (not useful per se, but might help reduce signalling overheads).</w:t>
      </w:r>
      <w:r w:rsidR="00F47ACF">
        <w:t xml:space="preserve">  Ah, and MCSes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B24E59" w:rsidP="00531363">
      <w:pPr>
        <w:ind w:left="720"/>
      </w:pPr>
      <w:r>
        <w:t>Reserved for an AP STA.</w:t>
      </w:r>
      <w:r w:rsidR="00531363">
        <w:t xml:space="preserve">  </w:t>
      </w:r>
      <w:r w:rsidR="00531363" w:rsidRPr="00531363">
        <w:rPr>
          <w:highlight w:val="yellow"/>
        </w:rPr>
        <w:t xml:space="preserve">Hm, or might </w:t>
      </w:r>
      <w:r w:rsidR="00467855">
        <w:rPr>
          <w:highlight w:val="yellow"/>
        </w:rPr>
        <w:t xml:space="preserve">existing </w:t>
      </w:r>
      <w:r w:rsidR="00531363" w:rsidRPr="00531363">
        <w:rPr>
          <w:highlight w:val="yellow"/>
        </w:rPr>
        <w:t>AP STAs be using 3 = disabled</w:t>
      </w:r>
      <w:r w:rsidR="00531363">
        <w:rPr>
          <w:highlight w:val="yellow"/>
        </w:rPr>
        <w:t>, rather than 0 = static SMPS</w:t>
      </w:r>
      <w:r w:rsidR="00531363" w:rsidRPr="00531363">
        <w:rPr>
          <w:highlight w:val="yellow"/>
        </w:rPr>
        <w:t>?</w:t>
      </w:r>
    </w:p>
    <w:p w:rsidR="00531363" w:rsidRDefault="00531363" w:rsidP="00531363">
      <w:pPr>
        <w:ind w:left="720"/>
      </w:pPr>
    </w:p>
    <w:p w:rsidR="005D2CDA" w:rsidRDefault="005D2CDA" w:rsidP="00531363">
      <w:pPr>
        <w:ind w:left="720"/>
      </w:pPr>
      <w:r>
        <w:t>NOTE—This subfield ind</w:t>
      </w:r>
      <w:r w:rsidR="00980F1D">
        <w:t>icates an operational state,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r w:rsidRPr="005D2CDA">
        <w:rPr>
          <w:strike/>
        </w:rPr>
        <w:t>P</w:t>
      </w:r>
      <w:r w:rsidRPr="005D2CDA">
        <w:rPr>
          <w:u w:val="single"/>
        </w:rPr>
        <w:t>p</w:t>
      </w:r>
      <w:r w:rsidRPr="005D2CDA">
        <w:t xml:space="preserve">ower </w:t>
      </w:r>
      <w:r w:rsidRPr="005D2CDA">
        <w:rPr>
          <w:strike/>
        </w:rPr>
        <w:t>S</w:t>
      </w:r>
      <w:r w:rsidRPr="005D2CDA">
        <w:rPr>
          <w:u w:val="single"/>
        </w:rPr>
        <w:t>s</w:t>
      </w:r>
      <w:r w:rsidRPr="005D2CDA">
        <w:t>ave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 xml:space="preserve">Change “STA” to “non-AP </w:t>
      </w:r>
      <w:r w:rsidR="0027514D">
        <w:t>V</w:t>
      </w:r>
      <w:r w:rsidRPr="001D66B4">
        <w:t>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r w:rsidR="00917B11">
        <w:t xml:space="preserve">  </w:t>
      </w:r>
      <w:r w:rsidR="00917B11" w:rsidRPr="00917B11">
        <w:rPr>
          <w:highlight w:val="yellow"/>
        </w:rPr>
        <w:t>Should we allow a let-out for the case where all these DLS peers would only use 1SS anyway (e.g. through use of OMN or because of their tx capability)</w:t>
      </w:r>
      <w:r w:rsidR="00917B11">
        <w:rPr>
          <w:highlight w:val="yellow"/>
        </w:rPr>
        <w:t>, i.e. only the AP might use &gt;1SS to the STA</w:t>
      </w:r>
      <w:r w:rsidR="00917B11" w:rsidRPr="00917B11">
        <w:rPr>
          <w:highlight w:val="yellow"/>
        </w:rP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A STA i</w:t>
      </w:r>
      <w:r w:rsidRPr="00734781">
        <w:rPr>
          <w:u w:val="single"/>
        </w:rPr>
        <w:t>I</w:t>
      </w:r>
      <w:r w:rsidRPr="00CB0DCA">
        <w:t>n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w:t>
            </w:r>
            <w:r>
              <w:lastRenderedPageBreak/>
              <w:t xml:space="preserve">HT </w:t>
            </w:r>
            <w:r w:rsidRPr="00C40BDD">
              <w:rPr>
                <w:strike/>
              </w:rPr>
              <w:t>c</w:t>
            </w:r>
            <w:r w:rsidR="00C40BDD" w:rsidRPr="00C40BDD">
              <w:rPr>
                <w:u w:val="single"/>
              </w:rPr>
              <w:t>C</w:t>
            </w:r>
            <w:r>
              <w:t>apabilities</w:t>
            </w:r>
            <w:r w:rsidR="00C40BDD" w:rsidRPr="00C40BDD">
              <w:rPr>
                <w:u w:val="single"/>
              </w:rPr>
              <w:t xml:space="preserve"> element</w:t>
            </w:r>
            <w:r>
              <w:t>, or SM Power Save frame</w:t>
            </w:r>
          </w:p>
        </w:tc>
        <w:tc>
          <w:tcPr>
            <w:tcW w:w="1523" w:type="dxa"/>
          </w:tcPr>
          <w:p w:rsidR="00674F4E" w:rsidRDefault="00674F4E" w:rsidP="00674F4E">
            <w:r>
              <w:lastRenderedPageBreak/>
              <w:t>8.6.12.3 (SM</w:t>
            </w:r>
          </w:p>
          <w:p w:rsidR="00674F4E" w:rsidRDefault="00674F4E" w:rsidP="00674F4E">
            <w:r>
              <w:t>Power Save</w:t>
            </w:r>
          </w:p>
          <w:p w:rsidR="00674F4E" w:rsidRDefault="00674F4E" w:rsidP="00674F4E">
            <w:r>
              <w:lastRenderedPageBreak/>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lastRenderedPageBreak/>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r w:rsidR="00FD6EE6" w:rsidRPr="00FD6EE6">
              <w:rPr>
                <w:u w:val="single"/>
              </w:rPr>
              <w:t>mode</w:t>
            </w:r>
            <w:r w:rsidRPr="00FD6EE6">
              <w:rPr>
                <w:strike/>
              </w:rPr>
              <w:t>STAs</w:t>
            </w:r>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t>REVISED</w:t>
      </w:r>
    </w:p>
    <w:p w:rsidR="00727815" w:rsidRDefault="00727815"/>
    <w:p w:rsidR="006C3C55" w:rsidRDefault="00663DF7">
      <w:r w:rsidRPr="00663DF7">
        <w:t xml:space="preserve">Make the changes described in </w:t>
      </w:r>
      <w:r w:rsidR="002173AC">
        <w:t>$thisdoc</w:t>
      </w:r>
      <w:r w:rsidRPr="00663DF7">
        <w:t xml:space="preserve"> under </w:t>
      </w:r>
      <w:r>
        <w:t>“Proposed changes:” for CID 3323</w:t>
      </w:r>
      <w:r w:rsidRPr="00663DF7">
        <w:t>, which address the issue raised by the commenter.</w:t>
      </w:r>
      <w:r w:rsidR="006C3C55">
        <w:br w:type="page"/>
      </w:r>
    </w:p>
    <w:tbl>
      <w:tblPr>
        <w:tblStyle w:val="TableGrid"/>
        <w:tblW w:w="0" w:type="auto"/>
        <w:tblLook w:val="04A0"/>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The interpretation suggested by the commenter in the proposed change seems plausible.  It would make little sense for OMN to override SMPS, since the whole point of SMPS is to allow quiescent operation with fewer SSes.</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The OperationalRateSet is a set of integers in the range 0-127 representing pre-11n datarates (as rate / 500 kbps) and hence does not contain anything to do with MCSes</w:t>
            </w:r>
          </w:p>
        </w:tc>
        <w:tc>
          <w:tcPr>
            <w:tcW w:w="3384" w:type="dxa"/>
          </w:tcPr>
          <w:p w:rsidR="006B7EC3" w:rsidRPr="003E5D07" w:rsidRDefault="006B7EC3" w:rsidP="006B7EC3">
            <w:r w:rsidRPr="003E5D07">
              <w:t>Make sure that all references to "operational rate" or "OperationalRate" do not involve MCSes</w:t>
            </w:r>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Fix OperationalRateSet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"OperationalRateSet, which is a parameter of the MLME-JOIN.request primitive" -- also the START</w:t>
            </w:r>
          </w:p>
        </w:tc>
        <w:tc>
          <w:tcPr>
            <w:tcW w:w="3384" w:type="dxa"/>
          </w:tcPr>
          <w:p w:rsidR="006B7EC3" w:rsidRPr="003E5D07" w:rsidRDefault="006B7EC3" w:rsidP="006B7EC3">
            <w:r w:rsidRPr="003E5D07">
              <w:t>Add "and MLME-START.request primitive"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the operational MCS set, used for 11n PPDUs, and the operational VHT-MCS and NSS set, used for 11ac PPDUs.  The first is expressed in terms of the PHY datarate,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and all devices need to be able to both tx and rx</w:t>
      </w:r>
      <w:r w:rsidR="003C5230" w:rsidRPr="005B1BCD">
        <w:t xml:space="preserve"> at the MCSes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6A12B0" w:rsidRDefault="006A12B0"/>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This set is a superset of the rates contained in the BSSBasicRateSet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shall be supported by a</w:t>
      </w:r>
      <w:r w:rsidR="00C04EE8">
        <w:t>A</w:t>
      </w:r>
      <w:r>
        <w:t xml:space="preserve">ll STAs </w:t>
      </w:r>
      <w:r w:rsidRPr="00C04EE8">
        <w:rPr>
          <w:strike/>
        </w:rPr>
        <w:t>that join</w:t>
      </w:r>
      <w:r w:rsidR="00C04EE8" w:rsidRPr="00C04EE8">
        <w:rPr>
          <w:u w:val="single"/>
        </w:rPr>
        <w:t>in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lastRenderedPageBreak/>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shall be</w:t>
      </w:r>
      <w:r w:rsidRPr="00FD1859">
        <w:rPr>
          <w:u w:val="single"/>
        </w:rPr>
        <w:t>is</w:t>
      </w:r>
      <w:r>
        <w:t xml:space="preserve"> able to receive at each of the data rates listed in the set. This set is a superset of the rates contained in the BSSBasicRateSet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 xml:space="preserve">Change 158.63 as follows: “If the MLME of a VHT STA receives an MLME-JOIN.request primitive with a SelectedBSS parameter containing </w:t>
      </w:r>
      <w:r w:rsidRPr="007D4B62">
        <w:rPr>
          <w:strike/>
        </w:rPr>
        <w:t xml:space="preserve">a BSSDescription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 xml:space="preserve">.3: “If the MLME of a DMG STA receives an MLME-JOIN.request primitive with the SelectedBSS parameter containing a BSSBasicRateSet </w:t>
      </w:r>
      <w:r>
        <w:t>parameter</w:t>
      </w:r>
      <w:r w:rsidR="00BA1DA3">
        <w:t xml:space="preserve"> that </w:t>
      </w:r>
      <w:r w:rsidR="00C92403">
        <w:t>is not empty, or with the OperationalRateSet parameter containing</w:t>
      </w:r>
      <w:r w:rsidR="00BA1DA3">
        <w:t xml:space="preserve"> any unsupported MCSs, the MLME response in the resulting MLME-JOIN.confirm primitive shall contain a ResultCode parameter that is not set to the value SUCCESS.”</w:t>
      </w:r>
    </w:p>
    <w:p w:rsidR="00F96DC6" w:rsidRDefault="00F96DC6" w:rsidP="00BA1DA3"/>
    <w:p w:rsidR="00F96DC6" w:rsidRDefault="00F96DC6" w:rsidP="00BA1DA3">
      <w:r>
        <w:t>Change “BSSBasicRateSet element” to “BSSBasicRateSet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HT Operation row of the SelectedBSS parameter</w:t>
      </w:r>
      <w:r>
        <w:t>” to “HT Operation parameter</w:t>
      </w:r>
      <w:r w:rsidRPr="003B52E6">
        <w:t xml:space="preserve"> of the SelectedBSS parameter</w:t>
      </w:r>
      <w:r>
        <w:t>” throughout the document; there are 17 instances.</w:t>
      </w:r>
    </w:p>
    <w:p w:rsidR="003B52E6" w:rsidRDefault="003B52E6" w:rsidP="00BA1DA3"/>
    <w:p w:rsidR="003C5230" w:rsidRDefault="003C5230" w:rsidP="003C5230">
      <w:r>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shall be</w:t>
      </w:r>
      <w:r w:rsidRPr="00FD1859">
        <w:rPr>
          <w:u w:val="single"/>
        </w:rPr>
        <w:t>is</w:t>
      </w:r>
      <w:r>
        <w:t xml:space="preserve"> able to receive at each of the data rates listed in the set.</w:t>
      </w:r>
      <w:r w:rsidR="00333E50">
        <w:t xml:space="preserve"> </w:t>
      </w:r>
      <w:r>
        <w:t>This set is a superset of the rates contained in the BSSBasicRateSet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shall be supported by a</w:t>
      </w:r>
      <w:r w:rsidRPr="00C04EE8">
        <w:rPr>
          <w:u w:val="single"/>
        </w:rPr>
        <w:t>A</w:t>
      </w:r>
      <w:r>
        <w:t xml:space="preserve">ll STAs </w:t>
      </w:r>
      <w:r w:rsidRPr="00C04EE8">
        <w:rPr>
          <w:strike/>
        </w:rPr>
        <w:t>to join this</w:t>
      </w:r>
      <w:r w:rsidRPr="00C04EE8">
        <w:rPr>
          <w:u w:val="single"/>
        </w:rPr>
        <w:t>in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shall be</w:t>
      </w:r>
      <w:r w:rsidR="00BA1DA3" w:rsidRPr="00BA1DA3">
        <w:rPr>
          <w:u w:val="single"/>
        </w:rPr>
        <w:t>are</w:t>
      </w:r>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MLME-START.request primitive with a BSSBasicRateSet parameter containing any rates, or with the OperationalRateSet parameter containing any unsupported MCSs, the MLME response in the resulting MLME-START.confirm primitive shall contain a ResultCode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BSSBasicRateSet parameter of the MLME-START.request primitive or BSSBasicRateSet parameter of </w:t>
      </w:r>
      <w:r w:rsidRPr="00F96DC6">
        <w:rPr>
          <w:strike/>
        </w:rPr>
        <w:t xml:space="preserve">the BSSDescription representing </w:t>
      </w:r>
      <w:r>
        <w:t>the SelectedBSS parameter of the MLME-JOIN.request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MLME-START.request primitive or Basic MCS Set field of the HT Operation parameter of </w:t>
      </w:r>
      <w:r w:rsidRPr="003B52E6">
        <w:rPr>
          <w:strike/>
        </w:rPr>
        <w:t xml:space="preserve">the BSSDescription representing </w:t>
      </w:r>
      <w:r>
        <w:t>the SelectedBSS parameter of the MLME-JOIN.request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w:t>
      </w:r>
      <w:r w:rsidR="00E26BA0" w:rsidRPr="00E26BA0">
        <w:rPr>
          <w:u w:val="single"/>
        </w:rPr>
        <w:lastRenderedPageBreak/>
        <w:t>STAs that are members of a BSS are able to receive and transmit using all of the MCSs in the OperationalRateSet parameter of the MLME-START.request primitive or OperationalRateSet parameter of the SelectedBSS parameter of the MLME-JOIN.request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r w:rsidRPr="00720830">
        <w:t>BSSDescription parameter</w:t>
      </w:r>
      <w:r>
        <w:t>” to “SelectedBSS parameter” at 1529.5.</w:t>
      </w:r>
    </w:p>
    <w:p w:rsidR="00720830" w:rsidRDefault="00720830" w:rsidP="00333E50"/>
    <w:p w:rsidR="00720830" w:rsidRDefault="00720830" w:rsidP="00333E50">
      <w:r>
        <w:t>Change “BSSDescription</w:t>
      </w:r>
      <w:r w:rsidRPr="00720830">
        <w:t>” to “</w:t>
      </w:r>
      <w:r>
        <w:t>SelectedBSS parameter” at 1529.23</w:t>
      </w:r>
      <w:r w:rsidRPr="00720830">
        <w:t>.</w:t>
      </w:r>
    </w:p>
    <w:p w:rsidR="00720830" w:rsidRDefault="00720830" w:rsidP="00333E50"/>
    <w:p w:rsidR="00752A5F" w:rsidRDefault="00752A5F" w:rsidP="00752A5F">
      <w:r>
        <w:t xml:space="preserve">Change </w:t>
      </w:r>
      <w:r w:rsidR="001E6443">
        <w:t xml:space="preserve">“BSSDescription” to “BSSDescriptionSet”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higher than the greatest rate in the OperationalRateSet parameter of the MLME-JOIN.request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A STA shall not transmit a frame at an MCS index higher than the highest Transmission MCS in the OperationalRateSet, which is a parameter of the MLME-JOIN.request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it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may transmit</w:t>
      </w:r>
      <w:r w:rsidR="005371C2" w:rsidRPr="00076AA4">
        <w:rPr>
          <w:rFonts w:ascii="Courier New" w:hAnsi="Courier New" w:cs="Courier New"/>
          <w:sz w:val="18"/>
          <w:u w:val="single"/>
        </w:rPr>
        <w:t>is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“BSSBasicMCSSet” to “BSS basic HT MCS set” at 1274.20.</w:t>
      </w:r>
    </w:p>
    <w:p w:rsidR="00C9643A" w:rsidRDefault="00C9643A" w:rsidP="008624BD"/>
    <w:p w:rsidR="008624BD" w:rsidRDefault="008624BD" w:rsidP="008624BD">
      <w:r>
        <w:lastRenderedPageBreak/>
        <w:t>Change 1278.40 to delete the space/linebreak in “BSS BasicRateSet”.</w:t>
      </w:r>
    </w:p>
    <w:p w:rsidR="008624BD" w:rsidRDefault="008624BD"/>
    <w:p w:rsidR="001E7789" w:rsidRDefault="001E7789">
      <w:r>
        <w:t xml:space="preserve">Change </w:t>
      </w:r>
      <w:r w:rsidRPr="001E7789">
        <w:t>“</w:t>
      </w:r>
      <w:r>
        <w:t>SupportedVHTMCS_NSSSet” to “o</w:t>
      </w:r>
      <w:r w:rsidRPr="001E7789">
        <w:t>perationalVHT-MCS and NSS set” at</w:t>
      </w:r>
      <w:r>
        <w:t xml:space="preserve"> 1278.57</w:t>
      </w:r>
    </w:p>
    <w:p w:rsidR="001E7789" w:rsidRDefault="001E7789" w:rsidP="004A7A5B"/>
    <w:p w:rsidR="004A7A5B" w:rsidRDefault="004A7A5B" w:rsidP="004A7A5B">
      <w:r>
        <w:t>Change “BSSBasicVHTMCS_NSSSet” to “BSS basic VHT-MCS and NSS set” at 1829.48.  Delete the definition at 25.20.</w:t>
      </w:r>
    </w:p>
    <w:p w:rsidR="004A7A5B" w:rsidRDefault="004A7A5B" w:rsidP="004A7A5B"/>
    <w:p w:rsidR="004A7A5B" w:rsidRDefault="004A7A5B" w:rsidP="004A7A5B">
      <w:r>
        <w:t xml:space="preserve">Change </w:t>
      </w:r>
      <w:r w:rsidR="001E7789">
        <w:t>“OperationalVHTMCS_NSSSet” to “o</w:t>
      </w:r>
      <w:r>
        <w:t>perationalVHT-MCS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the MLME-START.request primitive </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4110BC" w:rsidRDefault="00A760BC">
      <w:r>
        <w:t xml:space="preserve">Make the changes described in </w:t>
      </w:r>
      <w:r w:rsidR="002173AC">
        <w:t>$thisdoc</w:t>
      </w:r>
      <w:r>
        <w:t xml:space="preserve"> under “Proposed changes:” for CID 3360, which address the issue raised by the commenter.</w:t>
      </w:r>
      <w:r w:rsidR="004110BC">
        <w:br w:type="page"/>
      </w:r>
    </w:p>
    <w:tbl>
      <w:tblPr>
        <w:tblStyle w:val="TableGrid"/>
        <w:tblW w:w="0" w:type="auto"/>
        <w:tblLook w:val="04A0"/>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specifiers)</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i</w:t>
      </w:r>
      <w:r w:rsidRPr="009C29FF">
        <w:rPr>
          <w:strike/>
        </w:rPr>
        <w:t>I</w:t>
      </w:r>
      <w:r>
        <w:t>t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r w:rsidRPr="00880A5C">
        <w:rPr>
          <w:strike/>
          <w:sz w:val="24"/>
        </w:rPr>
        <w:t>are</w:t>
      </w:r>
      <w:r w:rsidR="00880A5C">
        <w:t xml:space="preserve">are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r w:rsidRPr="009C29FF">
        <w:rPr>
          <w:strike/>
        </w:rPr>
        <w:t>are</w:t>
      </w:r>
      <w:r w:rsidRPr="009C29FF">
        <w:rPr>
          <w:u w:val="single"/>
        </w:rPr>
        <w:t>is</w:t>
      </w:r>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$thisdoc</w:t>
      </w:r>
      <w:r w:rsidR="00773933">
        <w:t xml:space="preserve"> under </w:t>
      </w:r>
      <w:r>
        <w:t xml:space="preserve">“Proposed changes:” for </w:t>
      </w:r>
      <w:r w:rsidR="00773933">
        <w:t>CID 3365.</w:t>
      </w:r>
      <w:r w:rsidR="00180818">
        <w:br w:type="page"/>
      </w:r>
    </w:p>
    <w:tbl>
      <w:tblPr>
        <w:tblStyle w:val="TableGrid"/>
        <w:tblW w:w="0" w:type="auto"/>
        <w:tblLook w:val="04A0"/>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r>
        <w:t>Futhermore:</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There is also rather loose wording for TXOP Limit 0 in QoS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Many references to 9.22.2.2 (EDCA backoff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hyphenphobic)</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w:t>
      </w:r>
      <w:r w:rsidR="00D44F60" w:rsidRPr="00D44F60">
        <w:rPr>
          <w:rFonts w:ascii="Courier New" w:hAnsi="Courier New" w:cs="Courier New"/>
          <w:strike/>
          <w:sz w:val="18"/>
        </w:rPr>
        <w:t>-</w:t>
      </w:r>
      <w:r w:rsidRPr="00D44F60">
        <w:rPr>
          <w:rFonts w:ascii="Courier New" w:hAnsi="Courier New" w:cs="Courier New"/>
          <w:strike/>
          <w:sz w:val="18"/>
        </w:rPr>
        <w:t>fication)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spec-ification)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(0..65535)</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r w:rsidRPr="00180818">
        <w:t>TXOPlimit</w:t>
      </w:r>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one MPDU or one QoS Null frame is to be transmitted immediately following the QoS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$thisdoc</w:t>
      </w:r>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800EE0" w:rsidRPr="000362C7" w:rsidTr="00CE6B54">
        <w:tc>
          <w:tcPr>
            <w:tcW w:w="1809" w:type="dxa"/>
          </w:tcPr>
          <w:p w:rsidR="00800EE0" w:rsidRDefault="00800EE0" w:rsidP="00CE6B54">
            <w:r>
              <w:t>CID 3426</w:t>
            </w:r>
          </w:p>
          <w:p w:rsidR="00800EE0" w:rsidRDefault="00800EE0" w:rsidP="00CE6B54">
            <w:r>
              <w:t>Mark RISON</w:t>
            </w:r>
          </w:p>
          <w:p w:rsidR="00800EE0" w:rsidRDefault="00800EE0" w:rsidP="00CE6B54"/>
        </w:tc>
        <w:tc>
          <w:tcPr>
            <w:tcW w:w="4383" w:type="dxa"/>
          </w:tcPr>
          <w:p w:rsidR="00800EE0" w:rsidRPr="00CE6B54" w:rsidRDefault="00800EE0" w:rsidP="00CE6B54">
            <w:r w:rsidRPr="00800EE0">
              <w:t>"HMAC-SHA-256" (6 instances) is confusing as 256 is not the output length</w:t>
            </w:r>
          </w:p>
        </w:tc>
        <w:tc>
          <w:tcPr>
            <w:tcW w:w="3384" w:type="dxa"/>
          </w:tcPr>
          <w:p w:rsidR="00800EE0" w:rsidRPr="00CE6B54" w:rsidRDefault="00800EE0" w:rsidP="00CE6B54">
            <w:r w:rsidRPr="00800EE0">
              <w:t>"HMAC-SHA256"</w:t>
            </w:r>
          </w:p>
        </w:tc>
      </w:tr>
      <w:tr w:rsidR="009C73A1" w:rsidRPr="000362C7" w:rsidTr="00CE6B54">
        <w:tc>
          <w:tcPr>
            <w:tcW w:w="1809" w:type="dxa"/>
          </w:tcPr>
          <w:p w:rsidR="009C73A1" w:rsidRDefault="009C73A1" w:rsidP="00CE6B54">
            <w:r>
              <w:t>CID 3427</w:t>
            </w:r>
          </w:p>
          <w:p w:rsidR="009C73A1" w:rsidRDefault="009C73A1" w:rsidP="00CE6B54">
            <w:r>
              <w:t>Mark RISON</w:t>
            </w:r>
          </w:p>
          <w:p w:rsidR="009C73A1" w:rsidRDefault="009C73A1" w:rsidP="00CE6B54">
            <w:r>
              <w:t>11.6.1.3</w:t>
            </w:r>
          </w:p>
          <w:p w:rsidR="009C73A1" w:rsidRDefault="009C73A1" w:rsidP="00CE6B54">
            <w:r>
              <w:t>1932.36</w:t>
            </w:r>
          </w:p>
        </w:tc>
        <w:tc>
          <w:tcPr>
            <w:tcW w:w="4383" w:type="dxa"/>
          </w:tcPr>
          <w:p w:rsidR="009C73A1" w:rsidRPr="00800EE0" w:rsidRDefault="009C73A1" w:rsidP="00CE6B54">
            <w:r w:rsidRPr="009C73A1">
              <w:t>"HMAC-SHA1-128"</w:t>
            </w:r>
          </w:p>
        </w:tc>
        <w:tc>
          <w:tcPr>
            <w:tcW w:w="3384" w:type="dxa"/>
          </w:tcPr>
          <w:p w:rsidR="009C73A1" w:rsidRPr="00800EE0" w:rsidRDefault="009C73A1" w:rsidP="00CE6B54">
            <w:r w:rsidRPr="009C73A1">
              <w:t>"Truncate128(HMAC-SHA1-160" for consistency with other PMKIDs.  Also at 1935.35</w:t>
            </w:r>
          </w:p>
        </w:tc>
      </w:tr>
      <w:tr w:rsidR="007F0830" w:rsidRPr="000362C7" w:rsidTr="00CE6B54">
        <w:tc>
          <w:tcPr>
            <w:tcW w:w="1809" w:type="dxa"/>
          </w:tcPr>
          <w:p w:rsidR="007F0830" w:rsidRDefault="007F0830" w:rsidP="00CE6B54">
            <w:r>
              <w:t>CID 3429</w:t>
            </w:r>
          </w:p>
          <w:p w:rsidR="007F0830" w:rsidRDefault="007F0830" w:rsidP="00CE6B54">
            <w:r>
              <w:t>Mark RISON</w:t>
            </w:r>
          </w:p>
        </w:tc>
        <w:tc>
          <w:tcPr>
            <w:tcW w:w="4383" w:type="dxa"/>
          </w:tcPr>
          <w:p w:rsidR="007F0830" w:rsidRPr="00800EE0" w:rsidRDefault="007F0830" w:rsidP="00CE6B54">
            <w:r w:rsidRPr="007F0830">
              <w:t>Is it SHA25</w:t>
            </w:r>
            <w:r>
              <w:t>6 or is it SHA-256?  Ditto SHA(</w:t>
            </w:r>
            <w:r>
              <w:noBreakHyphen/>
            </w:r>
            <w:r w:rsidRPr="007F0830">
              <w:t>)384</w:t>
            </w:r>
          </w:p>
        </w:tc>
        <w:tc>
          <w:tcPr>
            <w:tcW w:w="3384" w:type="dxa"/>
          </w:tcPr>
          <w:p w:rsidR="007F0830" w:rsidRPr="00800EE0" w:rsidRDefault="007F0830" w:rsidP="00CE6B54">
            <w:r w:rsidRPr="007F0830">
              <w:t>Pick one (or two, if the answers for the hash name on its own and when combined to form a HMAC (e.g. HMAC-SHA256) are different, to avoid confusion between the hash name and the output length)</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CE6B54"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r w:rsidR="00417B6E" w:rsidRPr="00417B6E">
        <w:rPr>
          <w:i/>
        </w:rPr>
        <w:t>len</w:t>
      </w:r>
      <w:r w:rsidR="00417B6E">
        <w:t xml:space="preserve"> does not irretrievably delete</w:t>
      </w:r>
      <w:r w:rsidR="009F7F6E">
        <w:t xml:space="preserve"> the unused bits while Truncate</w:t>
      </w:r>
      <w:r w:rsidR="009F7F6E">
        <w:noBreakHyphen/>
      </w:r>
      <w:r w:rsidR="00417B6E">
        <w:t xml:space="preserve">128 does. </w:t>
      </w:r>
      <w:r w:rsidR="00880A5C">
        <w:t>Finally there are requirements which inappropriately constrain implementations (e.g. talk of “memory pool”s).</w:t>
      </w:r>
    </w:p>
    <w:p w:rsidR="007F0830" w:rsidRDefault="007F0830" w:rsidP="00773933"/>
    <w:p w:rsidR="007F0830" w:rsidRDefault="007F0830" w:rsidP="00773933">
      <w:r>
        <w:t>Regarding terminology, it seems the hashes themselves are SHA-1, SHA-256 and SHA-384.  However, the HMACs which use the latter two should be</w:t>
      </w:r>
      <w:r w:rsidR="00AC4C0D" w:rsidRPr="00AC4C0D">
        <w:t xml:space="preserve"> (and generally are)</w:t>
      </w:r>
      <w:r>
        <w:t xml:space="preserve"> HMAC-SHA</w:t>
      </w:r>
      <w:r w:rsidRPr="007F0830">
        <w:rPr>
          <w:i/>
        </w:rPr>
        <w:t>n</w:t>
      </w:r>
      <w:r w:rsidR="009C73A1" w:rsidRPr="009C73A1">
        <w:t>[</w:t>
      </w:r>
      <w:r>
        <w:t>-</w:t>
      </w:r>
      <w:r w:rsidRPr="007F0830">
        <w:rPr>
          <w:i/>
        </w:rPr>
        <w:t>len</w:t>
      </w:r>
      <w:r w:rsidR="009C73A1">
        <w:t>]</w:t>
      </w:r>
      <w:r>
        <w:t xml:space="preserve"> to avoid confusion</w:t>
      </w:r>
      <w:r w:rsidR="009C73A1">
        <w:t xml:space="preserve"> with the truncated HMACs</w:t>
      </w:r>
      <w:r>
        <w:t xml:space="preserve">.  It seems OK, though, to keep HMAC-SHA-1 since it seems harder to think the 1 might be a </w:t>
      </w:r>
      <w:r w:rsidR="009C73A1">
        <w:t xml:space="preserve">truncation </w:t>
      </w:r>
      <w:r>
        <w:t>length</w:t>
      </w:r>
      <w:r w:rsidR="001B4046">
        <w:t xml:space="preserve">, </w:t>
      </w:r>
      <w:r w:rsidR="00FE79C6">
        <w:t xml:space="preserve">and </w:t>
      </w:r>
      <w:r w:rsidR="001B4046">
        <w:t xml:space="preserve">this </w:t>
      </w:r>
      <w:r w:rsidR="00FE79C6">
        <w:t>aligns with the referenced RFC 2202</w:t>
      </w:r>
      <w:r w:rsidR="007E75BF">
        <w:t xml:space="preserve"> at 2619.48</w:t>
      </w:r>
      <w:r>
        <w:t>.</w:t>
      </w:r>
    </w:p>
    <w:p w:rsidR="00CE6B54" w:rsidRDefault="00CE6B54"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102.55, 102.56, 103.7, 103.13, 238.62, 1671.12, 1695.5, 169</w:t>
      </w:r>
      <w:r w:rsidR="007E75BF">
        <w:t>5.40, 1862.12, 1863.33, 1867.52, 1870.5</w:t>
      </w:r>
      <w:r>
        <w:t>, 1870.14, 1870.20, 1870.25, 1911.1, 1922.49, 192</w:t>
      </w:r>
      <w:r w:rsidR="00880A5C">
        <w:t>2.50, 1938.43, 2010.18, 2062.45.</w:t>
      </w:r>
    </w:p>
    <w:p w:rsidR="00880A5C" w:rsidRDefault="00880A5C" w:rsidP="00773933"/>
    <w:p w:rsidR="00CE6B54" w:rsidRDefault="00880A5C" w:rsidP="00773933">
      <w:r>
        <w:t>Change “destruction” to “deletion” at 1173.24.</w:t>
      </w:r>
      <w:r w:rsidR="00CE6B54">
        <w:t xml:space="preserve"> </w:t>
      </w:r>
    </w:p>
    <w:p w:rsidR="00CE6B54" w:rsidRDefault="00CE6B54" w:rsidP="00773933"/>
    <w:p w:rsidR="00417B6E" w:rsidRDefault="00417B6E" w:rsidP="006C720F">
      <w:r>
        <w:t>Add at 959.5: “HMAC-SHA1-64 is the first 64</w:t>
      </w:r>
      <w:r w:rsidRPr="00417B6E">
        <w:t xml:space="preserve"> bits of the HMAC-SHA</w:t>
      </w:r>
      <w:r>
        <w:t>-</w:t>
      </w:r>
      <w:r w:rsidRPr="00417B6E">
        <w:t>1 of its argument list.</w:t>
      </w:r>
      <w:r>
        <w:t>”</w:t>
      </w:r>
    </w:p>
    <w:p w:rsidR="00417B6E" w:rsidRDefault="00417B6E" w:rsidP="006C720F"/>
    <w:p w:rsidR="00417B6E" w:rsidRDefault="00417B6E" w:rsidP="00417B6E">
      <w:r>
        <w:t xml:space="preserve">Change 1767.6 as follows: “shall be computed using </w:t>
      </w:r>
      <w:r w:rsidRPr="00417B6E">
        <w:rPr>
          <w:u w:val="single"/>
        </w:rPr>
        <w:t xml:space="preserve">the </w:t>
      </w:r>
      <w:r>
        <w:t>HMAC-SHA1-64 hash algorithm”.</w:t>
      </w:r>
    </w:p>
    <w:p w:rsidR="00417B6E" w:rsidRDefault="00417B6E" w:rsidP="006C720F"/>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lastRenderedPageBreak/>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4F76F9" w:rsidRDefault="004F76F9" w:rsidP="004F76F9">
      <w:r>
        <w:t xml:space="preserve">Change 1932.36 as follows: “PMKID = </w:t>
      </w:r>
      <w:r w:rsidRPr="004F76F9">
        <w:rPr>
          <w:u w:val="single"/>
        </w:rPr>
        <w:t>Truncate-128(</w:t>
      </w:r>
      <w:r>
        <w:t>HMAC-SHA</w:t>
      </w:r>
      <w:r w:rsidRPr="004F76F9">
        <w:rPr>
          <w:u w:val="single"/>
        </w:rPr>
        <w:t>-</w:t>
      </w:r>
      <w:r>
        <w:t>1</w:t>
      </w:r>
      <w:r w:rsidRPr="004F76F9">
        <w:rPr>
          <w:strike/>
        </w:rPr>
        <w:t>-128</w:t>
      </w:r>
      <w:r>
        <w:t>(PMK, "PMK Name" || AA || SPA)</w:t>
      </w:r>
      <w:r w:rsidRPr="004F76F9">
        <w:rPr>
          <w:u w:val="single"/>
        </w:rPr>
        <w:t>)</w:t>
      </w:r>
    </w:p>
    <w:p w:rsidR="004F76F9" w:rsidRDefault="004F76F9" w:rsidP="004F76F9">
      <w:r w:rsidRPr="004F76F9">
        <w:rPr>
          <w:strike/>
        </w:rPr>
        <w:t>Here, HMAC-SHA1-128 is the first 128 bits of the HMAC-SHA1 of its argument list.</w:t>
      </w:r>
      <w:r>
        <w:t>”</w:t>
      </w:r>
    </w:p>
    <w:p w:rsidR="006C720F" w:rsidRDefault="006C720F" w:rsidP="00773933"/>
    <w:p w:rsidR="004F76F9" w:rsidRDefault="004F76F9" w:rsidP="004F76F9">
      <w:r>
        <w:t>Change 1932.58 as follows: “NOTE 5—When the PMKID is calculated for the PMKSA as part of RSN preauthentication, the AKM has not yet been negotiated. In this case, the HMAC-SHA</w:t>
      </w:r>
      <w:r w:rsidRPr="004F76F9">
        <w:rPr>
          <w:u w:val="single"/>
        </w:rPr>
        <w:t>-</w:t>
      </w:r>
      <w:r>
        <w:t>1-</w:t>
      </w:r>
      <w:r w:rsidRPr="004F76F9">
        <w:rPr>
          <w:strike/>
        </w:rPr>
        <w:t xml:space="preserve">128 </w:t>
      </w:r>
      <w:r>
        <w:t>based derivation is used for the PMKID calculation.”</w:t>
      </w:r>
      <w:r w:rsidR="00417B6E">
        <w:t xml:space="preserve">  </w:t>
      </w:r>
      <w:r w:rsidR="00417B6E" w:rsidRPr="00417B6E">
        <w:rPr>
          <w:highlight w:val="yellow"/>
        </w:rPr>
        <w:t>Shouldn’t this be normative</w:t>
      </w:r>
      <w:r w:rsidR="00EA0945">
        <w:rPr>
          <w:highlight w:val="yellow"/>
        </w:rPr>
        <w:t xml:space="preserve"> (probably with the deletion of the term “RSN”, since “RSN preauthentication” appears nowhere else)</w:t>
      </w:r>
      <w:r w:rsidR="00417B6E" w:rsidRPr="00417B6E">
        <w:rPr>
          <w:highlight w:val="yellow"/>
        </w:rPr>
        <w:t>?</w:t>
      </w:r>
    </w:p>
    <w:p w:rsidR="004F76F9" w:rsidRDefault="004F76F9" w:rsidP="00773933"/>
    <w:p w:rsidR="00417B6E" w:rsidRDefault="00417B6E" w:rsidP="00417B6E">
      <w:r>
        <w:t xml:space="preserve">Change 1935.34 as follows: “SMKID = </w:t>
      </w:r>
      <w:r w:rsidRPr="00417B6E">
        <w:rPr>
          <w:u w:val="single"/>
        </w:rPr>
        <w:t>Truncate</w:t>
      </w:r>
      <w:r w:rsidR="00A65B45">
        <w:rPr>
          <w:u w:val="single"/>
        </w:rPr>
        <w:t>-</w:t>
      </w:r>
      <w:r w:rsidRPr="00417B6E">
        <w:rPr>
          <w:u w:val="single"/>
        </w:rPr>
        <w:t>128(</w:t>
      </w:r>
      <w:r>
        <w:t>HMAC-SHA</w:t>
      </w:r>
      <w:r w:rsidRPr="00417B6E">
        <w:rPr>
          <w:u w:val="single"/>
        </w:rPr>
        <w:t>-</w:t>
      </w:r>
      <w:r>
        <w:t>1</w:t>
      </w:r>
      <w:r w:rsidRPr="00417B6E">
        <w:rPr>
          <w:strike/>
        </w:rPr>
        <w:t>-128</w:t>
      </w:r>
      <w:r>
        <w:t>(SMK, "SMK Name" || PNonce || MAC_P || INonce || MAC_I)</w:t>
      </w:r>
      <w:r w:rsidRPr="00417B6E">
        <w:rPr>
          <w:u w:val="single"/>
        </w:rPr>
        <w:t>)</w:t>
      </w:r>
    </w:p>
    <w:p w:rsidR="00417B6E" w:rsidRDefault="00417B6E" w:rsidP="00417B6E">
      <w:r w:rsidRPr="00417B6E">
        <w:rPr>
          <w:strike/>
        </w:rPr>
        <w:t>Here, HMAC-SHA1-128 is the first 128 bits of the HMAC-SHA1 of its argument list.</w:t>
      </w:r>
      <w:r>
        <w:t>”</w:t>
      </w:r>
    </w:p>
    <w:p w:rsidR="00417B6E" w:rsidRDefault="00417B6E" w:rsidP="00773933"/>
    <w:p w:rsidR="008B4FDC" w:rsidRDefault="008B4FDC" w:rsidP="008B4FDC">
      <w:r>
        <w:t>Delete the line at 1938.43</w:t>
      </w:r>
      <w:r w:rsidR="001B5214">
        <w:t xml:space="preserve"> (“</w:t>
      </w:r>
      <w:r w:rsidR="001B5214" w:rsidRPr="001B5214">
        <w:t>— Truncate-128(-) returns the first 128 bits of its argument and securely destroys the remainder.</w:t>
      </w:r>
      <w:r w:rsidR="001B5214">
        <w:t>”)</w:t>
      </w:r>
      <w:r>
        <w:t>.</w:t>
      </w:r>
    </w:p>
    <w:p w:rsidR="008B4FDC" w:rsidRDefault="008B4FDC" w:rsidP="008B4FDC"/>
    <w:p w:rsidR="008B4FDC" w:rsidRDefault="008B4FDC" w:rsidP="008B4FDC">
      <w:r>
        <w:t>Insert at 1929.5 the following line: “—    Truncate-128(</w:t>
      </w:r>
      <w:r w:rsidRPr="008B4FDC">
        <w:rPr>
          <w:i/>
        </w:rPr>
        <w:t>Str</w:t>
      </w:r>
      <w:r>
        <w:t xml:space="preserve">)    From </w:t>
      </w:r>
      <w:r w:rsidRPr="008B4FDC">
        <w:rPr>
          <w:i/>
        </w:rPr>
        <w:t>Str</w:t>
      </w:r>
      <w:r>
        <w:t xml:space="preserve"> starting from the left, extract bits 0 to 127, using the IEEE Std 802.11 bit conventions from 8.2.2 (Conventions).  Irretrievably discard bits 128 onwards.”  Also move the tab stop for this list to the right so that you don’t get “)From” at 1928.3.</w:t>
      </w:r>
      <w:r w:rsidR="00A320B7">
        <w:t xml:space="preserve">  </w:t>
      </w:r>
      <w:r w:rsidR="00A320B7" w:rsidRPr="00A320B7">
        <w:rPr>
          <w:highlight w:val="yellow"/>
        </w:rPr>
        <w:t>Or would “delete” be preferred over “discard”?</w:t>
      </w:r>
    </w:p>
    <w:p w:rsidR="008B4FDC" w:rsidRDefault="008B4FDC" w:rsidP="00FE79C6"/>
    <w:p w:rsidR="00FE79C6" w:rsidRDefault="00FE79C6" w:rsidP="00FE79C6">
      <w:r>
        <w:t>Change “HMAC-SHA-256” to “HMAC-SHA256” at 1932.40, 1932.44, 1932.46, 1932.50, 1935.39, 1935.43.</w:t>
      </w:r>
    </w:p>
    <w:p w:rsidR="00FE79C6" w:rsidRDefault="00FE79C6" w:rsidP="00FE79C6"/>
    <w:p w:rsidR="00FE79C6" w:rsidRDefault="00FE79C6" w:rsidP="00FE79C6">
      <w:r>
        <w:t>Change “HMAC-SHA-384” to “HMAC-SHA384” at 1932.52, 1932.56.</w:t>
      </w:r>
    </w:p>
    <w:p w:rsidR="00FE79C6" w:rsidRDefault="00FE79C6" w:rsidP="00FE79C6"/>
    <w:p w:rsidR="00800EE0" w:rsidRDefault="00417B6E" w:rsidP="00773933">
      <w:r>
        <w:t xml:space="preserve">Change “HMAC-SHA1” to “HMAC-SHA-1” at 1941.63.  </w:t>
      </w:r>
      <w:r w:rsidRPr="00417B6E">
        <w:rPr>
          <w:highlight w:val="yellow"/>
        </w:rPr>
        <w:t xml:space="preserve">Do the msbs need to be </w:t>
      </w:r>
      <w:r w:rsidRPr="00E83DA3">
        <w:rPr>
          <w:highlight w:val="yellow"/>
        </w:rPr>
        <w:t>irretrievably</w:t>
      </w:r>
      <w:r w:rsidRPr="00417B6E">
        <w:rPr>
          <w:highlight w:val="yellow"/>
        </w:rPr>
        <w:t xml:space="preserve"> deleted</w:t>
      </w:r>
      <w:r w:rsidR="008B4FDC">
        <w:rPr>
          <w:highlight w:val="yellow"/>
        </w:rPr>
        <w:t xml:space="preserve"> here</w:t>
      </w:r>
      <w:r w:rsidR="00E83DA3">
        <w:rPr>
          <w:highlight w:val="yellow"/>
        </w:rPr>
        <w:t>?  What about at 1896.4 (BIP-CMAC)</w:t>
      </w:r>
      <w:r w:rsidR="00213D3E">
        <w:rPr>
          <w:highlight w:val="yellow"/>
        </w:rPr>
        <w:t>?  And 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7A0F4C" w:rsidRDefault="007A0F4C" w:rsidP="00773933">
      <w:r>
        <w:t>Change “SHA256” to “SHA-256” at 812.55 (twice), 812.58, 812.61, 813.20, 813.36.</w:t>
      </w:r>
    </w:p>
    <w:p w:rsidR="007A0F4C" w:rsidRDefault="007A0F4C" w:rsidP="00773933"/>
    <w:p w:rsidR="007A0F4C" w:rsidRDefault="007A0F4C" w:rsidP="00773933">
      <w:r>
        <w:t>Change “SHA1” to “SHA-1” at 1941.62.</w:t>
      </w:r>
    </w:p>
    <w:p w:rsidR="00800EE0" w:rsidRDefault="00800EE0" w:rsidP="00773933"/>
    <w:p w:rsidR="00CE6B54" w:rsidRDefault="006C720F" w:rsidP="00773933">
      <w:r>
        <w:t>Change “</w:t>
      </w:r>
      <w:r w:rsidRPr="006C720F">
        <w:t>from the keyseed</w:t>
      </w:r>
      <w:r>
        <w:t xml:space="preserve">” to “from </w:t>
      </w:r>
      <w:r w:rsidRPr="006C720F">
        <w:rPr>
          <w:i/>
        </w:rPr>
        <w:t>keyseed</w:t>
      </w:r>
      <w:r>
        <w:t>” at 2009.50 and c</w:t>
      </w:r>
      <w:r w:rsidR="00CE6B54">
        <w:t>hange “Keyseed” to “</w:t>
      </w:r>
      <w:r w:rsidR="00CE6B54" w:rsidRPr="00CE6B54">
        <w:rPr>
          <w:i/>
        </w:rPr>
        <w:t>keyseed</w:t>
      </w:r>
      <w:r w:rsidR="00CE6B54">
        <w:t>” at 2010.18.</w:t>
      </w:r>
    </w:p>
    <w:p w:rsidR="00CE6B54" w:rsidRDefault="00CE6B54" w:rsidP="00773933"/>
    <w:p w:rsidR="004110BC" w:rsidRPr="00AC63A4" w:rsidRDefault="004110BC" w:rsidP="004110BC">
      <w:pPr>
        <w:rPr>
          <w:u w:val="single"/>
        </w:rPr>
      </w:pPr>
      <w:r w:rsidRPr="00AC63A4">
        <w:rPr>
          <w:u w:val="single"/>
        </w:rPr>
        <w:t>Proposed resolution</w:t>
      </w:r>
      <w:r w:rsidR="005C4A53">
        <w:rPr>
          <w:u w:val="single"/>
        </w:rPr>
        <w:t xml:space="preserve"> for CIDs 3432 and 342</w:t>
      </w:r>
      <w:r>
        <w:rPr>
          <w:u w:val="single"/>
        </w:rPr>
        <w:t>9</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$thisdoc</w:t>
      </w:r>
      <w:r w:rsidRPr="00AC63A4">
        <w:t xml:space="preserve"> under </w:t>
      </w:r>
      <w:r>
        <w:t xml:space="preserve">“Proposed changes:” for CID </w:t>
      </w:r>
      <w:r w:rsidRPr="004110BC">
        <w:t>3432</w:t>
      </w:r>
      <w:r w:rsidR="005C4A53">
        <w:t xml:space="preserve"> and 342</w:t>
      </w:r>
      <w:r>
        <w:t>9</w:t>
      </w:r>
      <w:r w:rsidRPr="00AC63A4">
        <w:t>.</w:t>
      </w:r>
    </w:p>
    <w:p w:rsidR="004110BC" w:rsidRDefault="004110BC" w:rsidP="004110BC"/>
    <w:p w:rsidR="004110BC" w:rsidRDefault="004110BC" w:rsidP="004110BC">
      <w:pPr>
        <w:rPr>
          <w:u w:val="single"/>
        </w:rPr>
      </w:pPr>
      <w:r w:rsidRPr="00AC63A4">
        <w:rPr>
          <w:u w:val="single"/>
        </w:rPr>
        <w:t>Proposed resolution</w:t>
      </w:r>
      <w:r w:rsidR="00B74B21">
        <w:rPr>
          <w:u w:val="single"/>
        </w:rPr>
        <w:t xml:space="preserve"> for CID</w:t>
      </w:r>
      <w:r>
        <w:rPr>
          <w:u w:val="single"/>
        </w:rPr>
        <w:t xml:space="preserve"> 3426:</w:t>
      </w:r>
    </w:p>
    <w:p w:rsidR="004110BC" w:rsidRDefault="004110BC" w:rsidP="004110BC">
      <w:pPr>
        <w:rPr>
          <w:u w:val="single"/>
        </w:rPr>
      </w:pPr>
    </w:p>
    <w:p w:rsidR="004110BC" w:rsidRPr="004110BC" w:rsidRDefault="004110BC" w:rsidP="004110BC">
      <w:r w:rsidRPr="004110BC">
        <w:t>ACCEPTED</w:t>
      </w:r>
    </w:p>
    <w:p w:rsidR="004110BC" w:rsidRDefault="004110BC" w:rsidP="004110BC">
      <w:pPr>
        <w:rPr>
          <w:u w:val="single"/>
        </w:rPr>
      </w:pPr>
    </w:p>
    <w:p w:rsidR="008E333F" w:rsidRPr="008E333F" w:rsidRDefault="008E333F" w:rsidP="004110BC">
      <w:r>
        <w:t xml:space="preserve">Note to the editor: the 6 instances are </w:t>
      </w:r>
      <w:r w:rsidRPr="008E333F">
        <w:t>1932.40, 1932.44, 1932.46, 1932.50, 1935.39, 1935.43</w:t>
      </w:r>
      <w:r>
        <w:t>.</w:t>
      </w:r>
      <w:r w:rsidR="005C4A53">
        <w:t xml:space="preserve">  </w:t>
      </w:r>
      <w:r w:rsidR="008348F7">
        <w:t>The resolution</w:t>
      </w:r>
      <w:r w:rsidR="005C4A53">
        <w:t xml:space="preserve"> to CID 3429 addresses the two instances of </w:t>
      </w:r>
      <w:r w:rsidR="005C4A53" w:rsidRPr="005C4A53">
        <w:t xml:space="preserve">“HMAC-SHA-384” </w:t>
      </w:r>
      <w:r w:rsidR="005C4A53">
        <w:t xml:space="preserve">at </w:t>
      </w:r>
      <w:r w:rsidR="005C4A53" w:rsidRPr="005C4A53">
        <w:t>1932.52, 1932.56</w:t>
      </w:r>
      <w:r w:rsidR="005C4A53">
        <w:t>.</w:t>
      </w:r>
    </w:p>
    <w:p w:rsidR="008E333F" w:rsidRDefault="008E333F" w:rsidP="004110BC">
      <w:pPr>
        <w:rPr>
          <w:u w:val="single"/>
        </w:rPr>
      </w:pPr>
    </w:p>
    <w:p w:rsidR="004110BC" w:rsidRPr="00AC63A4" w:rsidRDefault="004110BC" w:rsidP="004110BC">
      <w:pPr>
        <w:rPr>
          <w:u w:val="single"/>
        </w:rPr>
      </w:pPr>
      <w:r>
        <w:rPr>
          <w:u w:val="single"/>
        </w:rPr>
        <w:t>Proposed resolution for CID 3427</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 w:rsidRPr="00AC63A4">
        <w:t xml:space="preserve">Make the changes described in </w:t>
      </w:r>
      <w:r w:rsidR="002173AC">
        <w:t>$thisdoc</w:t>
      </w:r>
      <w:r w:rsidRPr="00AC63A4">
        <w:t xml:space="preserve"> under </w:t>
      </w:r>
      <w:r>
        <w:t xml:space="preserve">“Proposed changes:” for CID </w:t>
      </w:r>
      <w:r w:rsidRPr="004110BC">
        <w:t>34</w:t>
      </w:r>
      <w:r>
        <w:t xml:space="preserve">27, </w:t>
      </w:r>
      <w:r w:rsidR="006C3C55">
        <w:t>which effect</w:t>
      </w:r>
      <w:r w:rsidRPr="004110BC">
        <w:t xml:space="preserve"> the change proposed by the commenter</w:t>
      </w:r>
      <w:r w:rsidRPr="00AC63A4">
        <w:t>.</w:t>
      </w:r>
      <w:r>
        <w:br w:type="page"/>
      </w:r>
    </w:p>
    <w:tbl>
      <w:tblPr>
        <w:tblStyle w:val="TableGrid"/>
        <w:tblW w:w="0" w:type="auto"/>
        <w:tblLook w:val="04A0"/>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 xml:space="preserve">are passed strings, but nowhere except for FT-related ones is the encoding of these string specified.  Most importantly, it is not specified whether these strings are to be considered to have a terminating NUL (as in C).  Less importantly, the encoding is not specified, so in theory it could be EBCDIC or even </w:t>
      </w:r>
      <w:hyperlink r:id="rId8"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1858.48: pwd-value = KDF-z(pwd-seed, “SAE Hunting and Pecking”</w:t>
      </w:r>
    </w:p>
    <w:p w:rsidR="00AC17D0" w:rsidRDefault="003E20CC" w:rsidP="00AC17D0">
      <w:r>
        <w:t xml:space="preserve">1861.9: </w:t>
      </w:r>
      <w:r w:rsidR="00AC17D0">
        <w:t>pwd-value = KDF-z(pwd-seed, “SAE Hunting and Pecking”</w:t>
      </w:r>
    </w:p>
    <w:p w:rsidR="00AC17D0" w:rsidRDefault="00AC17D0" w:rsidP="00AC17D0">
      <w:r>
        <w:t>1862.56: KCK || PMK = KDF-512(keyseed, “SAE KCK and PMK”</w:t>
      </w:r>
    </w:p>
    <w:p w:rsidR="00AC17D0" w:rsidRDefault="00AC17D0" w:rsidP="00AC17D0">
      <w:r>
        <w:t>1975.41: TPK = KDF-N_KEY(TPK-Key-Input, "TDLS PMK"</w:t>
      </w:r>
    </w:p>
    <w:p w:rsidR="00AC17D0" w:rsidRDefault="00AC17D0" w:rsidP="00AC17D0">
      <w:r>
        <w:t>2009.54: PMK = KDF-256(keyseed, “AP Peerkey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KDF-Hash-Z(XXKey, "FT-R0"</w:t>
      </w:r>
    </w:p>
    <w:p w:rsidR="00AC17D0" w:rsidRDefault="00AC17D0" w:rsidP="00AC17D0">
      <w:r>
        <w:t>1938.54: PMK-R1 = KDF-Hash-Z(PMK-R0, "FT-R1"</w:t>
      </w:r>
    </w:p>
    <w:p w:rsidR="00AC17D0" w:rsidRDefault="00AC17D0" w:rsidP="00AC17D0">
      <w:r>
        <w:t>1939.23: PTK = KDF-Hash-PTKLen(PMK-R1,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1940.20: PTKName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treated as a sequence of ASCII-encoded octets without a terminating NUL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treated as a sequence of ASCII-encoded octets without a terminating NUL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"ES_ALERT" is treated as a sequence of ASCII-encoded octets without a terminating NUL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In all these cases, "PMK Name" is treated as a sequence of ASCII-encoded octets without a terminating NUL.</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In both these cases, "SMK Name" is treated as a sequence of ASCII-encoded octets without a terminating NUL.</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NUL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NUL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NUL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$thisdoc</w:t>
      </w:r>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A-MPDU subframes</w:t>
      </w:r>
      <w:r w:rsidR="00C26025">
        <w:t xml:space="preserve"> starting from the first A-MPDU subframe with 0 in the MPDU Length field and 1 in the EOF field</w:t>
      </w:r>
      <w:r w:rsidR="00256E50">
        <w:t>, if any</w:t>
      </w:r>
      <w:r>
        <w:t>,</w:t>
      </w:r>
      <w:r w:rsidR="00C26025">
        <w:t xml:space="preserve"> any subframe padding in the last subframe (though 1215.2 is ambiguous as to which subframe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subframe before the first A-MPDU subframe with 0 in the MPDU Length field and 1 in the EOF field, if there is one, or the last A-MPDU subframe if there is no A-MPDU subframe with 0 in the MPDU Length field and 1 in the EOF field</w:t>
      </w:r>
      <w:r>
        <w:rPr>
          <w:u w:val="single"/>
        </w:rPr>
        <w:t>;</w:t>
      </w:r>
      <w:r w:rsidRPr="00AC71A6">
        <w:rPr>
          <w:u w:val="single"/>
        </w:rPr>
        <w:t xml:space="preserve"> plus the A-MPDU subframes starting with the first A-MPDU subframe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The portion of the A-MPDU up to but excluding the first A-MPDU subframe with 0 in the MPDU Length field and 1 in the EOF field and also excluding any subframe padding in the last subframe</w:t>
      </w:r>
      <w:r w:rsidRPr="00C26025">
        <w:rPr>
          <w:u w:val="single"/>
        </w:rPr>
        <w:t xml:space="preserve"> before the first A-MPDU subframe with 0 in the MPDU Length field and 1 in the EOF field</w:t>
      </w:r>
      <w:r>
        <w:t>, or</w:t>
      </w:r>
    </w:p>
    <w:p w:rsidR="00C26025" w:rsidRDefault="00C26025" w:rsidP="00C26025">
      <w:pPr>
        <w:ind w:left="720"/>
      </w:pPr>
      <w:r>
        <w:t>— The portion of the A-MPDU up to and including the last A-MPDU subframe if no A-MPDU subframes with 0 in the MPDU Length field and 1 in the EOF field are present, but excluding any subframe padding in the last subframe.</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lastRenderedPageBreak/>
        <w:t>REVISED</w:t>
      </w:r>
    </w:p>
    <w:p w:rsidR="00727815" w:rsidRDefault="00727815" w:rsidP="00C26025"/>
    <w:p w:rsidR="00A91F68" w:rsidRDefault="00C26025">
      <w:r w:rsidRPr="00C26025">
        <w:t xml:space="preserve">Make the changes described in </w:t>
      </w:r>
      <w:r w:rsidR="002173AC">
        <w:t>$thisdoc</w:t>
      </w:r>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802.11ac introduced a lot of things to clean up, hopefully once for all, the hodge-podge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r w:rsidRPr="00C267F9">
        <w:rPr>
          <w:strike/>
        </w:rPr>
        <w:t>Beacon</w:t>
      </w:r>
      <w:r w:rsidRPr="00C267F9">
        <w:rPr>
          <w:u w:val="single"/>
        </w:rPr>
        <w:t>Probe Response</w:t>
      </w:r>
      <w:r>
        <w:t xml:space="preserve"> frame and the Channel Switch Wrapper element contains at least one subelement.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Announcement element is also present in the Beacon frame and the Channel Switch Wrapper element contains at least one subelement.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808D8" w:rsidRDefault="00F808D8" w:rsidP="00F808D8">
      <w:r w:rsidRPr="00220E9C">
        <w:t>Insert at 1304.58: “</w:t>
      </w: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r w:rsidRPr="00220E9C">
        <w:t>”</w:t>
      </w:r>
      <w:r>
        <w:t xml:space="preserve">  </w:t>
      </w:r>
      <w:r w:rsidRPr="0027514D">
        <w:rPr>
          <w:highlight w:val="yellow"/>
        </w:rPr>
        <w:t>Or does “non-VHT STA” also mean “non-TVHT STA” per 4.3.13?</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If a Channel Switch Announcement element in a Beacon or Probe Response frame is used to announce a switch to a 20 MHz operating channel width, then a Wide Bandwidth Channel Switch subelement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Channel Switch subelement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s if the element contains zero subelements.</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subelement shall be present in the same frame. [WBCSse in CSWe covered by 8.4.2.162 at 1038.34</w:t>
      </w:r>
      <w:r w:rsidR="000D077C" w:rsidRPr="000D077C">
        <w:rPr>
          <w:highlight w:val="yellow"/>
        </w:rPr>
        <w:t>; WBCSe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Channel Switch subelement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subelement in </w:t>
      </w:r>
      <w:r w:rsidRPr="007C2CEF">
        <w:rPr>
          <w:strike/>
        </w:rPr>
        <w:t>the</w:t>
      </w:r>
      <w:r w:rsidR="007C2CEF" w:rsidRPr="007C2CEF">
        <w:rPr>
          <w:u w:val="single"/>
        </w:rPr>
        <w:t>a</w:t>
      </w:r>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w:t>
      </w:r>
      <w:r w:rsidR="003E16DE">
        <w:t>If the Wide Bandwidth Channel Switch subelement is included in a</w:t>
      </w:r>
      <w:r w:rsidR="003E16DE">
        <w:t xml:space="preserve"> </w:t>
      </w:r>
      <w:r w:rsidR="003E16DE">
        <w:t>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subelement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subelement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subelement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subelement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subelement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9643BC">
            <w:pPr>
              <w:jc w:val="center"/>
              <w:rPr>
                <w:u w:val="single"/>
              </w:rPr>
            </w:pPr>
            <w:r w:rsidRPr="00EA78DD">
              <w:rPr>
                <w:u w:val="single"/>
              </w:rPr>
              <w:t>163</w:t>
            </w:r>
          </w:p>
        </w:tc>
        <w:tc>
          <w:tcPr>
            <w:tcW w:w="3544" w:type="dxa"/>
          </w:tcPr>
          <w:p w:rsidR="00EA78DD" w:rsidRPr="00EA78DD" w:rsidRDefault="00EA78DD" w:rsidP="009643BC">
            <w:pPr>
              <w:rPr>
                <w:u w:val="single"/>
              </w:rPr>
            </w:pPr>
            <w:r w:rsidRPr="00EA78DD">
              <w:rPr>
                <w:u w:val="single"/>
              </w:rPr>
              <w:t>Wide Bandwidth Channel Switch</w:t>
            </w:r>
          </w:p>
        </w:tc>
        <w:tc>
          <w:tcPr>
            <w:tcW w:w="1134" w:type="dxa"/>
          </w:tcPr>
          <w:p w:rsidR="00EA78DD" w:rsidRPr="00EA78DD" w:rsidRDefault="00EA78DD" w:rsidP="009643B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tblPr>
      <w:tblGrid>
        <w:gridCol w:w="1219"/>
        <w:gridCol w:w="3544"/>
        <w:gridCol w:w="1134"/>
      </w:tblGrid>
      <w:tr w:rsidR="00EA78DD" w:rsidTr="009643BC">
        <w:trPr>
          <w:jc w:val="center"/>
        </w:trPr>
        <w:tc>
          <w:tcPr>
            <w:tcW w:w="1219" w:type="dxa"/>
          </w:tcPr>
          <w:p w:rsidR="00EA78DD" w:rsidRDefault="00261EB2" w:rsidP="009643B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9643BC">
            <w:r>
              <w:t>Reserved</w:t>
            </w:r>
          </w:p>
        </w:tc>
        <w:tc>
          <w:tcPr>
            <w:tcW w:w="1134" w:type="dxa"/>
          </w:tcPr>
          <w:p w:rsidR="00EA78DD" w:rsidRDefault="00EA78DD" w:rsidP="009643BC">
            <w:pPr>
              <w:jc w:val="center"/>
            </w:pPr>
          </w:p>
        </w:tc>
      </w:tr>
      <w:tr w:rsidR="00EA78DD" w:rsidTr="009643BC">
        <w:trPr>
          <w:jc w:val="center"/>
        </w:trPr>
        <w:tc>
          <w:tcPr>
            <w:tcW w:w="1219" w:type="dxa"/>
          </w:tcPr>
          <w:p w:rsidR="00EA78DD" w:rsidRPr="00EA78DD" w:rsidRDefault="00EA78DD" w:rsidP="009643BC">
            <w:pPr>
              <w:jc w:val="center"/>
              <w:rPr>
                <w:u w:val="single"/>
              </w:rPr>
            </w:pPr>
            <w:r w:rsidRPr="00EA78DD">
              <w:rPr>
                <w:u w:val="single"/>
              </w:rPr>
              <w:t>163</w:t>
            </w:r>
          </w:p>
        </w:tc>
        <w:tc>
          <w:tcPr>
            <w:tcW w:w="3544" w:type="dxa"/>
          </w:tcPr>
          <w:p w:rsidR="00EA78DD" w:rsidRPr="00EA78DD" w:rsidRDefault="00EA78DD" w:rsidP="009643BC">
            <w:pPr>
              <w:rPr>
                <w:u w:val="single"/>
              </w:rPr>
            </w:pPr>
            <w:r w:rsidRPr="00EA78DD">
              <w:rPr>
                <w:u w:val="single"/>
              </w:rPr>
              <w:t>Wide Bandwidth Channel Switch</w:t>
            </w:r>
          </w:p>
        </w:tc>
        <w:tc>
          <w:tcPr>
            <w:tcW w:w="1134" w:type="dxa"/>
          </w:tcPr>
          <w:p w:rsidR="00EA78DD" w:rsidRPr="00EA78DD" w:rsidRDefault="00EA78DD" w:rsidP="009643BC">
            <w:pPr>
              <w:jc w:val="center"/>
              <w:rPr>
                <w:u w:val="single"/>
              </w:rPr>
            </w:pPr>
            <w:r w:rsidRPr="00EA78DD">
              <w:rPr>
                <w:u w:val="single"/>
              </w:rPr>
              <w:t>Yes</w:t>
            </w:r>
          </w:p>
        </w:tc>
      </w:tr>
      <w:tr w:rsidR="00EA78DD" w:rsidTr="009643BC">
        <w:trPr>
          <w:jc w:val="center"/>
        </w:trPr>
        <w:tc>
          <w:tcPr>
            <w:tcW w:w="1219" w:type="dxa"/>
          </w:tcPr>
          <w:p w:rsidR="00EA78DD" w:rsidRPr="00EA78DD" w:rsidRDefault="00EA78DD" w:rsidP="009643BC">
            <w:pPr>
              <w:jc w:val="center"/>
              <w:rPr>
                <w:u w:val="single"/>
              </w:rPr>
            </w:pPr>
            <w:r w:rsidRPr="00EA78DD">
              <w:rPr>
                <w:u w:val="single"/>
              </w:rPr>
              <w:t>164-220</w:t>
            </w:r>
          </w:p>
        </w:tc>
        <w:tc>
          <w:tcPr>
            <w:tcW w:w="3544" w:type="dxa"/>
          </w:tcPr>
          <w:p w:rsidR="00EA78DD" w:rsidRPr="00EA78DD" w:rsidRDefault="00EA78DD" w:rsidP="009643BC">
            <w:pPr>
              <w:rPr>
                <w:u w:val="single"/>
              </w:rPr>
            </w:pPr>
            <w:r w:rsidRPr="00EA78DD">
              <w:rPr>
                <w:u w:val="single"/>
              </w:rPr>
              <w:t>Reserved</w:t>
            </w:r>
          </w:p>
        </w:tc>
        <w:tc>
          <w:tcPr>
            <w:tcW w:w="1134" w:type="dxa"/>
          </w:tcPr>
          <w:p w:rsidR="00EA78DD" w:rsidRPr="00EA78DD" w:rsidRDefault="00EA78DD" w:rsidP="009643B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The Wide Bandwidth Channel Switch subelement has the same format as the corresponding element (see</w:t>
      </w:r>
      <w:r>
        <w:t xml:space="preserve"> </w:t>
      </w:r>
      <w:r>
        <w:t>8.4.2.160 (Wide Bandwidth Channel Switch element)), with the constraint that the New Channel Width field</w:t>
      </w:r>
      <w:r>
        <w:t xml:space="preserve"> </w:t>
      </w:r>
      <w:r>
        <w:t>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If the PPDU carrying the received frame comprises noncontiguous frequency segments, the Operating Class and Channel Number fields identify the center frequency of frequency segment 0, and a Wide Bandwidth Channel Switch subelement is included</w:t>
      </w:r>
      <w:r w:rsidRPr="00032C91">
        <w:rPr>
          <w:u w:val="single"/>
        </w:rPr>
        <w:t xml:space="preserve"> to identify the center frequency of frequency segment 1</w:t>
      </w:r>
      <w:r>
        <w:rPr>
          <w:u w:val="single"/>
        </w:rPr>
        <w:t xml:space="preserve"> (the other fields in the subelement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MHz width and the same center frequency of frequency segment 0?</w:t>
      </w:r>
      <w:r>
        <w:rPr>
          <w:u w:val="single"/>
        </w:rPr>
        <w:t>)</w:t>
      </w:r>
      <w:r w:rsidR="00261EB2" w:rsidRPr="00032C91">
        <w:rPr>
          <w:u w:val="single"/>
        </w:rPr>
        <w:t>; otherwise the Wide Bandwidth Channel Switch subelement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“subelement”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r w:rsidRPr="00A77188">
        <w:rPr>
          <w:strike/>
        </w:rPr>
        <w:t>When</w:t>
      </w:r>
      <w:r w:rsidRPr="00A77188">
        <w:rPr>
          <w:u w:val="single"/>
        </w:rPr>
        <w:t>If</w:t>
      </w:r>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neighbor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mesh STA’s Mesh Peering Open frame to the neighbor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and has received a VHT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rsidR="00A613BA" w:rsidRDefault="00A613BA" w:rsidP="00A613BA">
      <w:pPr>
        <w:ind w:left="720"/>
      </w:pPr>
      <w:r>
        <w:t xml:space="preserve">— </w:t>
      </w:r>
      <w:r w:rsidR="00C30802">
        <w:rPr>
          <w:u w:val="single"/>
        </w:rPr>
        <w:t>If the STA is extended spectrum management capable, a</w:t>
      </w:r>
      <w:r w:rsidRPr="00C30802">
        <w:rPr>
          <w:strike/>
        </w:rPr>
        <w:t>A</w:t>
      </w:r>
      <w:r>
        <w:t>ny local maximum transmit power received in a VHT Transmit Power Envelope element from the AP in its BSS, another STA in its IBSS, or a neighbor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that have dot11RadioMeasurementActivated equal to true should be able to reduce their EIRP to 0 dBm.</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At least one New VHT Transmit Power Envelope subelement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channel 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 Interpretation subfield, and New VHT Transmit Power Envelope elements and subelements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A New Country subelement in a transmitted Channel Wrapper element.</w:t>
      </w:r>
    </w:p>
    <w:p w:rsidR="00A613BA" w:rsidRDefault="00A613BA" w:rsidP="00A613BA">
      <w:pPr>
        <w:ind w:left="720"/>
      </w:pPr>
    </w:p>
    <w:p w:rsidR="00A613BA" w:rsidRDefault="00A613BA" w:rsidP="00A613BA">
      <w:pPr>
        <w:ind w:left="720"/>
      </w:pPr>
      <w:r>
        <w:t xml:space="preserve">The New Country element or subelement shall contain all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elements and subelements in order to maintain regulatory compliance. If both New Country elements and New Country subelements are transmitted for the switch, their fields shall be the same.</w:t>
      </w:r>
    </w:p>
    <w:p w:rsidR="00A613BA" w:rsidRDefault="00A613BA" w:rsidP="00A613BA">
      <w:pPr>
        <w:ind w:left="720"/>
      </w:pPr>
    </w:p>
    <w:p w:rsidR="00A613BA" w:rsidRDefault="00A613BA" w:rsidP="00A613BA">
      <w:pPr>
        <w:ind w:left="720"/>
      </w:pPr>
      <w:r>
        <w:t>A Channel Switch Wrapper element shall not be included in Beacons and Probe Responses if the element contains zero subelements.</w:t>
      </w:r>
    </w:p>
    <w:p w:rsidR="00A613BA" w:rsidRDefault="00A613BA" w:rsidP="00A613BA">
      <w:pPr>
        <w:ind w:left="720"/>
      </w:pPr>
    </w:p>
    <w:p w:rsidR="00A613BA" w:rsidRPr="00A66785" w:rsidRDefault="00A613BA" w:rsidP="00A613BA">
      <w:pPr>
        <w:ind w:left="720"/>
        <w:rPr>
          <w:sz w:val="18"/>
        </w:rPr>
      </w:pPr>
      <w:r w:rsidRPr="00A66785">
        <w:rPr>
          <w:sz w:val="18"/>
        </w:rPr>
        <w:t>NOTE 4—Channel Switch Wrapper is not defined to carry subelements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615190">
        <w:t xml:space="preserve"> </w:t>
      </w:r>
      <w:r>
        <w:t>for TPC of 80 MHz, 160 MHz, and 80+80 MHz transmissions. In the Country element, a VHT STA shall include zero Subband Triplet fields in a Operating/Subband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MLME-DELTS.request primitive with a ReasonCode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Note: I can’t find where the use/non-use of Transmit Power Envelope subelements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SYNTAX TruthValue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CA09B2" w:rsidRPr="00773933" w:rsidRDefault="00A66785" w:rsidP="00A66785">
      <w:r>
        <w:lastRenderedPageBreak/>
        <w:t>Make the changes described in $thisdoc under “Proposed changes:” for CID 3479, which effect the change proposed by the commenter.</w:t>
      </w:r>
      <w:r w:rsidR="00CA09B2">
        <w:br w:type="page"/>
      </w:r>
      <w:r w:rsidR="00CA09B2">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9A" w:rsidRDefault="00DC369A">
      <w:r>
        <w:separator/>
      </w:r>
    </w:p>
  </w:endnote>
  <w:endnote w:type="continuationSeparator" w:id="0">
    <w:p w:rsidR="00DC369A" w:rsidRDefault="00DC3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3F" w:rsidRDefault="001E1F3F">
    <w:pPr>
      <w:pStyle w:val="Footer"/>
      <w:tabs>
        <w:tab w:val="clear" w:pos="6480"/>
        <w:tab w:val="center" w:pos="4680"/>
        <w:tab w:val="right" w:pos="9360"/>
      </w:tabs>
    </w:pPr>
    <w:fldSimple w:instr=" SUBJECT  \* MERGEFORMAT ">
      <w:r>
        <w:t>Submission</w:t>
      </w:r>
    </w:fldSimple>
    <w:r>
      <w:tab/>
      <w:t xml:space="preserve">page </w:t>
    </w:r>
    <w:fldSimple w:instr="page ">
      <w:r w:rsidR="009F72B3">
        <w:rPr>
          <w:noProof/>
        </w:rPr>
        <w:t>33</w:t>
      </w:r>
    </w:fldSimple>
    <w:r>
      <w:tab/>
    </w:r>
    <w:fldSimple w:instr=" COMMENTS  \* MERGEFORMAT ">
      <w:r>
        <w:t>Mark RISON (Samsung)</w:t>
      </w:r>
    </w:fldSimple>
  </w:p>
  <w:p w:rsidR="001E1F3F" w:rsidRDefault="001E1F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9A" w:rsidRDefault="00DC369A">
      <w:r>
        <w:separator/>
      </w:r>
    </w:p>
  </w:footnote>
  <w:footnote w:type="continuationSeparator" w:id="0">
    <w:p w:rsidR="00DC369A" w:rsidRDefault="00DC3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3F" w:rsidRDefault="001E1F3F">
    <w:pPr>
      <w:pStyle w:val="Header"/>
      <w:tabs>
        <w:tab w:val="clear" w:pos="6480"/>
        <w:tab w:val="center" w:pos="4680"/>
        <w:tab w:val="right" w:pos="9360"/>
      </w:tabs>
    </w:pPr>
    <w:fldSimple w:instr=" KEYWORDS  \* MERGEFORMAT ">
      <w:r w:rsidR="00E75511">
        <w:t>September 2014</w:t>
      </w:r>
    </w:fldSimple>
    <w:r>
      <w:tab/>
    </w:r>
    <w:r>
      <w:tab/>
    </w:r>
    <w:fldSimple w:instr=" TITLE  \* MERGEFORMAT ">
      <w:r w:rsidR="00E75511">
        <w:t>doc.: IEEE 802.11-14/1104r0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6F0F82"/>
    <w:rsid w:val="00000699"/>
    <w:rsid w:val="00012507"/>
    <w:rsid w:val="00025487"/>
    <w:rsid w:val="00032C91"/>
    <w:rsid w:val="00034B66"/>
    <w:rsid w:val="000362C7"/>
    <w:rsid w:val="0003791B"/>
    <w:rsid w:val="000460A0"/>
    <w:rsid w:val="00047AB1"/>
    <w:rsid w:val="00054337"/>
    <w:rsid w:val="000640AE"/>
    <w:rsid w:val="00066C64"/>
    <w:rsid w:val="00076AA4"/>
    <w:rsid w:val="00083A87"/>
    <w:rsid w:val="00091EDD"/>
    <w:rsid w:val="00097264"/>
    <w:rsid w:val="000B236F"/>
    <w:rsid w:val="000D077C"/>
    <w:rsid w:val="000D377F"/>
    <w:rsid w:val="000D3DAD"/>
    <w:rsid w:val="000E0ED7"/>
    <w:rsid w:val="00102B34"/>
    <w:rsid w:val="00113C6C"/>
    <w:rsid w:val="00121C94"/>
    <w:rsid w:val="00152FF4"/>
    <w:rsid w:val="0015600E"/>
    <w:rsid w:val="001678C2"/>
    <w:rsid w:val="00180818"/>
    <w:rsid w:val="00190C49"/>
    <w:rsid w:val="001A0CA3"/>
    <w:rsid w:val="001A0FF2"/>
    <w:rsid w:val="001A6081"/>
    <w:rsid w:val="001B4046"/>
    <w:rsid w:val="001B4E96"/>
    <w:rsid w:val="001B5214"/>
    <w:rsid w:val="001C1344"/>
    <w:rsid w:val="001C43BB"/>
    <w:rsid w:val="001D66B4"/>
    <w:rsid w:val="001D723B"/>
    <w:rsid w:val="001E1F3F"/>
    <w:rsid w:val="001E6443"/>
    <w:rsid w:val="001E7789"/>
    <w:rsid w:val="0020254A"/>
    <w:rsid w:val="00213D3E"/>
    <w:rsid w:val="00215480"/>
    <w:rsid w:val="00215ECA"/>
    <w:rsid w:val="002173AC"/>
    <w:rsid w:val="00220E9C"/>
    <w:rsid w:val="00224023"/>
    <w:rsid w:val="00236E6F"/>
    <w:rsid w:val="00243F76"/>
    <w:rsid w:val="00256B72"/>
    <w:rsid w:val="00256E50"/>
    <w:rsid w:val="00261EB2"/>
    <w:rsid w:val="0027037B"/>
    <w:rsid w:val="00270FC0"/>
    <w:rsid w:val="0027514D"/>
    <w:rsid w:val="00276D9C"/>
    <w:rsid w:val="0029020B"/>
    <w:rsid w:val="002A0A4A"/>
    <w:rsid w:val="002A64AB"/>
    <w:rsid w:val="002C1619"/>
    <w:rsid w:val="002C6A20"/>
    <w:rsid w:val="002C6F32"/>
    <w:rsid w:val="002C73DF"/>
    <w:rsid w:val="002D44BE"/>
    <w:rsid w:val="002D7F02"/>
    <w:rsid w:val="002E76BE"/>
    <w:rsid w:val="002F1F8F"/>
    <w:rsid w:val="002F6CBA"/>
    <w:rsid w:val="00305344"/>
    <w:rsid w:val="00311DA6"/>
    <w:rsid w:val="00312CD6"/>
    <w:rsid w:val="00333E50"/>
    <w:rsid w:val="003357B8"/>
    <w:rsid w:val="00335822"/>
    <w:rsid w:val="00343D18"/>
    <w:rsid w:val="003507C5"/>
    <w:rsid w:val="00382211"/>
    <w:rsid w:val="003A2CAF"/>
    <w:rsid w:val="003B353B"/>
    <w:rsid w:val="003B4DC6"/>
    <w:rsid w:val="003B52E6"/>
    <w:rsid w:val="003B72BF"/>
    <w:rsid w:val="003C5230"/>
    <w:rsid w:val="003D5563"/>
    <w:rsid w:val="003E16DE"/>
    <w:rsid w:val="003E20CC"/>
    <w:rsid w:val="003E3194"/>
    <w:rsid w:val="003E5D07"/>
    <w:rsid w:val="003F22BC"/>
    <w:rsid w:val="003F45BA"/>
    <w:rsid w:val="003F75B5"/>
    <w:rsid w:val="00405804"/>
    <w:rsid w:val="00410044"/>
    <w:rsid w:val="004110BC"/>
    <w:rsid w:val="00414A40"/>
    <w:rsid w:val="004156FF"/>
    <w:rsid w:val="00417B6E"/>
    <w:rsid w:val="00442037"/>
    <w:rsid w:val="004445B7"/>
    <w:rsid w:val="004470FA"/>
    <w:rsid w:val="00461B0E"/>
    <w:rsid w:val="00467855"/>
    <w:rsid w:val="00474BC6"/>
    <w:rsid w:val="00495CAC"/>
    <w:rsid w:val="00496291"/>
    <w:rsid w:val="004A33F0"/>
    <w:rsid w:val="004A7A5B"/>
    <w:rsid w:val="004B064B"/>
    <w:rsid w:val="004B1139"/>
    <w:rsid w:val="004C3650"/>
    <w:rsid w:val="004E31B7"/>
    <w:rsid w:val="004E73C8"/>
    <w:rsid w:val="004F76F9"/>
    <w:rsid w:val="0050594E"/>
    <w:rsid w:val="0051352E"/>
    <w:rsid w:val="00516A3C"/>
    <w:rsid w:val="00531363"/>
    <w:rsid w:val="00531706"/>
    <w:rsid w:val="005371C2"/>
    <w:rsid w:val="00552DC3"/>
    <w:rsid w:val="00554103"/>
    <w:rsid w:val="00575BB3"/>
    <w:rsid w:val="00583C4B"/>
    <w:rsid w:val="005B0B6E"/>
    <w:rsid w:val="005B1BCD"/>
    <w:rsid w:val="005B390B"/>
    <w:rsid w:val="005C2326"/>
    <w:rsid w:val="005C338F"/>
    <w:rsid w:val="005C4A53"/>
    <w:rsid w:val="005D2CDA"/>
    <w:rsid w:val="005F34E5"/>
    <w:rsid w:val="005F4CCB"/>
    <w:rsid w:val="006031A0"/>
    <w:rsid w:val="00610E62"/>
    <w:rsid w:val="00615190"/>
    <w:rsid w:val="00622013"/>
    <w:rsid w:val="0062440B"/>
    <w:rsid w:val="006249BC"/>
    <w:rsid w:val="006320F2"/>
    <w:rsid w:val="00636FD4"/>
    <w:rsid w:val="00642E40"/>
    <w:rsid w:val="00663DF7"/>
    <w:rsid w:val="006705DF"/>
    <w:rsid w:val="00672620"/>
    <w:rsid w:val="00674F4E"/>
    <w:rsid w:val="00680F5E"/>
    <w:rsid w:val="00684955"/>
    <w:rsid w:val="0069411F"/>
    <w:rsid w:val="006A12B0"/>
    <w:rsid w:val="006A54A7"/>
    <w:rsid w:val="006B7EC3"/>
    <w:rsid w:val="006C0727"/>
    <w:rsid w:val="006C3C55"/>
    <w:rsid w:val="006C720F"/>
    <w:rsid w:val="006D1A6A"/>
    <w:rsid w:val="006E145F"/>
    <w:rsid w:val="006E33BE"/>
    <w:rsid w:val="006F0F82"/>
    <w:rsid w:val="006F4E55"/>
    <w:rsid w:val="00701E0C"/>
    <w:rsid w:val="00701E88"/>
    <w:rsid w:val="00720830"/>
    <w:rsid w:val="00724AD3"/>
    <w:rsid w:val="00725D0D"/>
    <w:rsid w:val="00727815"/>
    <w:rsid w:val="00734781"/>
    <w:rsid w:val="00744AA5"/>
    <w:rsid w:val="00752A5F"/>
    <w:rsid w:val="00756227"/>
    <w:rsid w:val="00757BB7"/>
    <w:rsid w:val="00770572"/>
    <w:rsid w:val="00773933"/>
    <w:rsid w:val="007767F2"/>
    <w:rsid w:val="00784C52"/>
    <w:rsid w:val="00790A4B"/>
    <w:rsid w:val="00794DCE"/>
    <w:rsid w:val="007A0F4C"/>
    <w:rsid w:val="007A29A7"/>
    <w:rsid w:val="007A52B5"/>
    <w:rsid w:val="007B5C46"/>
    <w:rsid w:val="007C2CEF"/>
    <w:rsid w:val="007D2C82"/>
    <w:rsid w:val="007D4B62"/>
    <w:rsid w:val="007E75BF"/>
    <w:rsid w:val="007F0830"/>
    <w:rsid w:val="007F24EA"/>
    <w:rsid w:val="007F4FE4"/>
    <w:rsid w:val="007F73BE"/>
    <w:rsid w:val="00800EE0"/>
    <w:rsid w:val="00801239"/>
    <w:rsid w:val="008150D7"/>
    <w:rsid w:val="00815996"/>
    <w:rsid w:val="008231B1"/>
    <w:rsid w:val="008319F3"/>
    <w:rsid w:val="008348F7"/>
    <w:rsid w:val="00835CBC"/>
    <w:rsid w:val="00845FF2"/>
    <w:rsid w:val="00855123"/>
    <w:rsid w:val="008624BD"/>
    <w:rsid w:val="0086448F"/>
    <w:rsid w:val="00872007"/>
    <w:rsid w:val="0087707D"/>
    <w:rsid w:val="00880A5C"/>
    <w:rsid w:val="00885132"/>
    <w:rsid w:val="00894852"/>
    <w:rsid w:val="008A5736"/>
    <w:rsid w:val="008B4FDC"/>
    <w:rsid w:val="008C11F3"/>
    <w:rsid w:val="008D2CEC"/>
    <w:rsid w:val="008E333F"/>
    <w:rsid w:val="008E4764"/>
    <w:rsid w:val="008F70F0"/>
    <w:rsid w:val="00904BA8"/>
    <w:rsid w:val="009127AC"/>
    <w:rsid w:val="00917B11"/>
    <w:rsid w:val="0092604C"/>
    <w:rsid w:val="00931B71"/>
    <w:rsid w:val="00954254"/>
    <w:rsid w:val="00961224"/>
    <w:rsid w:val="009713FA"/>
    <w:rsid w:val="00977198"/>
    <w:rsid w:val="00980F1D"/>
    <w:rsid w:val="00996BE5"/>
    <w:rsid w:val="009A4F34"/>
    <w:rsid w:val="009A6A3F"/>
    <w:rsid w:val="009B2490"/>
    <w:rsid w:val="009C0632"/>
    <w:rsid w:val="009C29FF"/>
    <w:rsid w:val="009C57A1"/>
    <w:rsid w:val="009C6869"/>
    <w:rsid w:val="009C73A1"/>
    <w:rsid w:val="009E5A6D"/>
    <w:rsid w:val="009F2FBC"/>
    <w:rsid w:val="009F4784"/>
    <w:rsid w:val="009F72B3"/>
    <w:rsid w:val="009F7F6E"/>
    <w:rsid w:val="00A03B46"/>
    <w:rsid w:val="00A04BCF"/>
    <w:rsid w:val="00A06C14"/>
    <w:rsid w:val="00A1694C"/>
    <w:rsid w:val="00A26284"/>
    <w:rsid w:val="00A27E54"/>
    <w:rsid w:val="00A317B8"/>
    <w:rsid w:val="00A320B7"/>
    <w:rsid w:val="00A450AF"/>
    <w:rsid w:val="00A453BB"/>
    <w:rsid w:val="00A613BA"/>
    <w:rsid w:val="00A65B45"/>
    <w:rsid w:val="00A66785"/>
    <w:rsid w:val="00A760BC"/>
    <w:rsid w:val="00A76D83"/>
    <w:rsid w:val="00A77188"/>
    <w:rsid w:val="00A774A4"/>
    <w:rsid w:val="00A87E33"/>
    <w:rsid w:val="00A91F68"/>
    <w:rsid w:val="00AA420E"/>
    <w:rsid w:val="00AA427C"/>
    <w:rsid w:val="00AB069B"/>
    <w:rsid w:val="00AC17D0"/>
    <w:rsid w:val="00AC4C0D"/>
    <w:rsid w:val="00AC63A4"/>
    <w:rsid w:val="00AC71A6"/>
    <w:rsid w:val="00AF2FB7"/>
    <w:rsid w:val="00B02FFE"/>
    <w:rsid w:val="00B0310F"/>
    <w:rsid w:val="00B041E9"/>
    <w:rsid w:val="00B11602"/>
    <w:rsid w:val="00B24E59"/>
    <w:rsid w:val="00B30BCC"/>
    <w:rsid w:val="00B4120D"/>
    <w:rsid w:val="00B733B0"/>
    <w:rsid w:val="00B74B21"/>
    <w:rsid w:val="00B826F3"/>
    <w:rsid w:val="00B9068B"/>
    <w:rsid w:val="00B93D2D"/>
    <w:rsid w:val="00BA1DA3"/>
    <w:rsid w:val="00BB1833"/>
    <w:rsid w:val="00BB62F7"/>
    <w:rsid w:val="00BC1176"/>
    <w:rsid w:val="00BE4644"/>
    <w:rsid w:val="00BE68C2"/>
    <w:rsid w:val="00C04EE8"/>
    <w:rsid w:val="00C14AF5"/>
    <w:rsid w:val="00C22656"/>
    <w:rsid w:val="00C22F48"/>
    <w:rsid w:val="00C26025"/>
    <w:rsid w:val="00C267F9"/>
    <w:rsid w:val="00C27064"/>
    <w:rsid w:val="00C30802"/>
    <w:rsid w:val="00C33A75"/>
    <w:rsid w:val="00C40BDD"/>
    <w:rsid w:val="00C44740"/>
    <w:rsid w:val="00C52051"/>
    <w:rsid w:val="00C53050"/>
    <w:rsid w:val="00C67A47"/>
    <w:rsid w:val="00C80609"/>
    <w:rsid w:val="00C92403"/>
    <w:rsid w:val="00C9643A"/>
    <w:rsid w:val="00CA09B2"/>
    <w:rsid w:val="00CB0DCA"/>
    <w:rsid w:val="00CB1544"/>
    <w:rsid w:val="00CB603C"/>
    <w:rsid w:val="00CD4FC0"/>
    <w:rsid w:val="00CE6B54"/>
    <w:rsid w:val="00CE7DA6"/>
    <w:rsid w:val="00D44F60"/>
    <w:rsid w:val="00D526DA"/>
    <w:rsid w:val="00D777B2"/>
    <w:rsid w:val="00D8300D"/>
    <w:rsid w:val="00D84153"/>
    <w:rsid w:val="00DA5431"/>
    <w:rsid w:val="00DC369A"/>
    <w:rsid w:val="00DC5A7B"/>
    <w:rsid w:val="00DE104F"/>
    <w:rsid w:val="00DE4EDB"/>
    <w:rsid w:val="00DF73C7"/>
    <w:rsid w:val="00DF7CEB"/>
    <w:rsid w:val="00E14D18"/>
    <w:rsid w:val="00E17B91"/>
    <w:rsid w:val="00E26BA0"/>
    <w:rsid w:val="00E32AE7"/>
    <w:rsid w:val="00E40579"/>
    <w:rsid w:val="00E5691C"/>
    <w:rsid w:val="00E6278E"/>
    <w:rsid w:val="00E63A82"/>
    <w:rsid w:val="00E63F01"/>
    <w:rsid w:val="00E75511"/>
    <w:rsid w:val="00E83DA3"/>
    <w:rsid w:val="00E96E1F"/>
    <w:rsid w:val="00EA0945"/>
    <w:rsid w:val="00EA78DD"/>
    <w:rsid w:val="00EB4DFD"/>
    <w:rsid w:val="00EC0FFF"/>
    <w:rsid w:val="00ED14E4"/>
    <w:rsid w:val="00EE723A"/>
    <w:rsid w:val="00EE7DB5"/>
    <w:rsid w:val="00EF3968"/>
    <w:rsid w:val="00F03105"/>
    <w:rsid w:val="00F157ED"/>
    <w:rsid w:val="00F328B0"/>
    <w:rsid w:val="00F477AF"/>
    <w:rsid w:val="00F47ACF"/>
    <w:rsid w:val="00F52E36"/>
    <w:rsid w:val="00F54379"/>
    <w:rsid w:val="00F70C97"/>
    <w:rsid w:val="00F8004E"/>
    <w:rsid w:val="00F808D8"/>
    <w:rsid w:val="00F96DC6"/>
    <w:rsid w:val="00FA6A6D"/>
    <w:rsid w:val="00FB6677"/>
    <w:rsid w:val="00FD1859"/>
    <w:rsid w:val="00FD6A02"/>
    <w:rsid w:val="00FD6EE6"/>
    <w:rsid w:val="00FE79C6"/>
    <w:rsid w:val="00FF0787"/>
    <w:rsid w:val="00FF305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rPr>
  </w:style>
  <w:style w:type="paragraph" w:styleId="ListParagraph">
    <w:name w:val="List Paragraph"/>
    <w:basedOn w:val="Normal"/>
    <w:uiPriority w:val="34"/>
    <w:qFormat/>
    <w:rsid w:val="009C29FF"/>
    <w:pPr>
      <w:ind w:left="720"/>
      <w:contextualSpacing/>
    </w:pPr>
  </w:style>
</w:styles>
</file>

<file path=word/webSettings.xml><?xml version="1.0" encoding="utf-8"?>
<w:webSettings xmlns:r="http://schemas.openxmlformats.org/officeDocument/2006/relationships" xmlns:w="http://schemas.openxmlformats.org/wordprocessingml/2006/main">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oxlamps.com/zx81_files/ZX81_charset.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28244-950D-41A3-B86D-06AF935A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11429</TotalTime>
  <Pages>35</Pages>
  <Words>10172</Words>
  <Characters>57982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802.11-14/1104r0</dc:title>
  <dc:subject>Submission</dc:subject>
  <dc:creator>Mark RISON</dc:creator>
  <cp:keywords>September 2014</cp:keywords>
  <dc:description>Mark RISON (Samsung)</dc:description>
  <cp:lastModifiedBy>mrison'</cp:lastModifiedBy>
  <cp:revision>251</cp:revision>
  <cp:lastPrinted>1601-01-01T00:00:00Z</cp:lastPrinted>
  <dcterms:created xsi:type="dcterms:W3CDTF">2014-08-03T17:16:00Z</dcterms:created>
  <dcterms:modified xsi:type="dcterms:W3CDTF">2014-09-05T12:41:00Z</dcterms:modified>
</cp:coreProperties>
</file>