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7825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794B85" w:rsidP="00794B85">
            <w:pPr>
              <w:pStyle w:val="T2"/>
            </w:pPr>
            <w:r>
              <w:rPr>
                <w:lang w:eastAsia="ko-KR"/>
              </w:rPr>
              <w:t xml:space="preserve">11aj </w:t>
            </w:r>
            <w:r w:rsidR="00C723BC">
              <w:rPr>
                <w:lang w:eastAsia="ko-KR"/>
              </w:rPr>
              <w:t xml:space="preserve">Comment Resolution for </w:t>
            </w:r>
            <w:r>
              <w:rPr>
                <w:lang w:eastAsia="ko-KR"/>
              </w:rPr>
              <w:t>25.6</w:t>
            </w:r>
            <w:r w:rsidR="00677697">
              <w:rPr>
                <w:lang w:eastAsia="ko-KR"/>
              </w:rPr>
              <w:t xml:space="preserve"> </w:t>
            </w:r>
          </w:p>
        </w:tc>
      </w:tr>
      <w:tr w:rsidR="00C723BC" w:rsidRPr="00183F4C" w:rsidTr="007825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5C7F7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B6166F">
              <w:rPr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B6166F">
              <w:rPr>
                <w:b w:val="0"/>
                <w:sz w:val="20"/>
                <w:lang w:eastAsia="ko-KR"/>
              </w:rPr>
              <w:t>0</w:t>
            </w:r>
            <w:r w:rsidR="001609B5">
              <w:rPr>
                <w:b w:val="0"/>
                <w:sz w:val="20"/>
                <w:lang w:eastAsia="ko-KR"/>
              </w:rPr>
              <w:t>8</w:t>
            </w:r>
            <w:r w:rsidR="006F6532">
              <w:rPr>
                <w:b w:val="0"/>
                <w:sz w:val="20"/>
                <w:lang w:eastAsia="ko-KR"/>
              </w:rPr>
              <w:t>-</w:t>
            </w:r>
            <w:r w:rsidR="005C7F72">
              <w:rPr>
                <w:b w:val="0"/>
                <w:sz w:val="20"/>
                <w:lang w:eastAsia="ko-KR"/>
              </w:rPr>
              <w:t>25</w:t>
            </w:r>
          </w:p>
        </w:tc>
      </w:tr>
      <w:tr w:rsidR="00C723BC" w:rsidRPr="00183F4C" w:rsidTr="007825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7825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7825CE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7825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7825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7825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7825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7825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66882" w:rsidRPr="00183F4C" w:rsidTr="007825CE">
        <w:trPr>
          <w:trHeight w:val="359"/>
          <w:jc w:val="center"/>
        </w:trPr>
        <w:tc>
          <w:tcPr>
            <w:tcW w:w="1548" w:type="dxa"/>
            <w:vAlign w:val="center"/>
          </w:tcPr>
          <w:p w:rsidR="00E66882" w:rsidRPr="00183F4C" w:rsidRDefault="00E66882" w:rsidP="007825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440" w:type="dxa"/>
            <w:vMerge w:val="restart"/>
            <w:vAlign w:val="center"/>
          </w:tcPr>
          <w:p w:rsidR="00E66882" w:rsidRPr="00183F4C" w:rsidRDefault="00E66882" w:rsidP="0013337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:rsidR="00E66882" w:rsidRPr="00183F4C" w:rsidRDefault="00E66882" w:rsidP="007825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2860 Junction Ave., San Jose, CA, 95134</w:t>
            </w:r>
          </w:p>
        </w:tc>
        <w:tc>
          <w:tcPr>
            <w:tcW w:w="1620" w:type="dxa"/>
            <w:vAlign w:val="center"/>
          </w:tcPr>
          <w:p w:rsidR="00E66882" w:rsidRPr="00183F4C" w:rsidRDefault="00E66882" w:rsidP="0066788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E66882" w:rsidRPr="00183F4C" w:rsidRDefault="00E66882" w:rsidP="0066788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Jianhan.liu</w:t>
            </w:r>
            <w:r w:rsidRPr="001D7948">
              <w:rPr>
                <w:b w:val="0"/>
                <w:sz w:val="18"/>
                <w:szCs w:val="18"/>
                <w:lang w:eastAsia="ko-KR"/>
              </w:rPr>
              <w:t>@</w:t>
            </w:r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r w:rsidRPr="001D7948"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  <w:tr w:rsidR="00E66882" w:rsidRPr="00183F4C" w:rsidTr="007825CE">
        <w:trPr>
          <w:trHeight w:val="359"/>
          <w:jc w:val="center"/>
        </w:trPr>
        <w:tc>
          <w:tcPr>
            <w:tcW w:w="1548" w:type="dxa"/>
            <w:vAlign w:val="center"/>
          </w:tcPr>
          <w:p w:rsidR="00E66882" w:rsidRDefault="00E66882" w:rsidP="007825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James Wang</w:t>
            </w:r>
          </w:p>
        </w:tc>
        <w:tc>
          <w:tcPr>
            <w:tcW w:w="1440" w:type="dxa"/>
            <w:vMerge/>
            <w:vAlign w:val="center"/>
          </w:tcPr>
          <w:p w:rsidR="00E66882" w:rsidRDefault="00E66882" w:rsidP="0013337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E66882" w:rsidRDefault="00E66882" w:rsidP="007825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E66882" w:rsidRPr="00183F4C" w:rsidRDefault="00E66882" w:rsidP="0066788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E66882" w:rsidRDefault="00E66882" w:rsidP="0066788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66882" w:rsidRPr="00183F4C" w:rsidTr="007825CE">
        <w:trPr>
          <w:trHeight w:val="359"/>
          <w:jc w:val="center"/>
        </w:trPr>
        <w:tc>
          <w:tcPr>
            <w:tcW w:w="1548" w:type="dxa"/>
            <w:vAlign w:val="center"/>
          </w:tcPr>
          <w:p w:rsidR="00E66882" w:rsidRDefault="00E66882" w:rsidP="007825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James Yee</w:t>
            </w:r>
          </w:p>
        </w:tc>
        <w:tc>
          <w:tcPr>
            <w:tcW w:w="1440" w:type="dxa"/>
            <w:vMerge/>
            <w:vAlign w:val="center"/>
          </w:tcPr>
          <w:p w:rsidR="00E66882" w:rsidRDefault="00E66882" w:rsidP="0013337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E66882" w:rsidRDefault="00E66882" w:rsidP="007825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E66882" w:rsidRPr="00183F4C" w:rsidRDefault="00E66882" w:rsidP="0066788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E66882" w:rsidRDefault="00E66882" w:rsidP="0066788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380D95">
      <w:pPr>
        <w:pStyle w:val="T1"/>
        <w:spacing w:after="120"/>
        <w:rPr>
          <w:sz w:val="22"/>
        </w:rPr>
      </w:pPr>
      <w:r w:rsidRPr="00380D9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<v:textbox>
              <w:txbxContent>
                <w:p w:rsidR="007825CE" w:rsidRDefault="007825C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825CE" w:rsidRDefault="007825CE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This submission propos</w:t>
                  </w:r>
                  <w:r>
                    <w:rPr>
                      <w:lang w:eastAsia="ko-KR"/>
                    </w:rPr>
                    <w:t>es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>s</w:t>
                  </w:r>
                  <w:r>
                    <w:rPr>
                      <w:lang w:eastAsia="ko-KR"/>
                    </w:rPr>
                    <w:t xml:space="preserve"> for comments in </w:t>
                  </w:r>
                  <w:proofErr w:type="spellStart"/>
                  <w:r>
                    <w:rPr>
                      <w:lang w:eastAsia="ko-KR"/>
                    </w:rPr>
                    <w:t>subclause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 w:rsidR="007C59DC">
                    <w:rPr>
                      <w:lang w:eastAsia="ko-KR"/>
                    </w:rPr>
                    <w:t xml:space="preserve">25.6 </w:t>
                  </w:r>
                  <w:r>
                    <w:rPr>
                      <w:lang w:eastAsia="ko-KR"/>
                    </w:rPr>
                    <w:t xml:space="preserve">of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</w:t>
                  </w:r>
                  <w:r w:rsidR="007C59DC">
                    <w:rPr>
                      <w:lang w:eastAsia="ko-KR"/>
                    </w:rPr>
                    <w:t>j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</w:t>
                  </w:r>
                  <w:r w:rsidR="007C59DC">
                    <w:rPr>
                      <w:lang w:eastAsia="ko-KR"/>
                    </w:rPr>
                    <w:t>0.5</w:t>
                  </w:r>
                  <w:r w:rsidR="008667E9">
                    <w:rPr>
                      <w:lang w:eastAsia="ko-KR"/>
                    </w:rPr>
                    <w:t xml:space="preserve"> with the following CIDs</w:t>
                  </w:r>
                  <w:r>
                    <w:rPr>
                      <w:lang w:eastAsia="ko-KR"/>
                    </w:rPr>
                    <w:t>:</w:t>
                  </w:r>
                </w:p>
                <w:p w:rsidR="007825CE" w:rsidRDefault="008667E9" w:rsidP="008667E9">
                  <w:pPr>
                    <w:ind w:firstLine="720"/>
                    <w:jc w:val="both"/>
                  </w:pPr>
                  <w:r>
                    <w:t>-</w:t>
                  </w:r>
                  <w:r w:rsidRPr="008667E9">
                    <w:t>3</w:t>
                  </w:r>
                  <w:r w:rsidR="007C59DC">
                    <w:t>2</w:t>
                  </w:r>
                  <w:r>
                    <w:t xml:space="preserve">, </w:t>
                  </w:r>
                  <w:r w:rsidR="007C59DC">
                    <w:t>33</w:t>
                  </w:r>
                  <w:r w:rsidR="00291705">
                    <w:t xml:space="preserve">, </w:t>
                  </w:r>
                  <w:r w:rsidR="007C59DC">
                    <w:t>61,62,71,72</w:t>
                  </w:r>
                </w:p>
                <w:p w:rsidR="007825CE" w:rsidRDefault="007825CE" w:rsidP="00B200F0">
                  <w:pPr>
                    <w:jc w:val="both"/>
                  </w:pPr>
                  <w:r>
                    <w:t>Revisions:</w:t>
                  </w:r>
                </w:p>
                <w:p w:rsidR="007825CE" w:rsidRDefault="008667E9" w:rsidP="00B200F0">
                  <w:pPr>
                    <w:pStyle w:val="ListParagraph"/>
                    <w:numPr>
                      <w:ilvl w:val="0"/>
                      <w:numId w:val="48"/>
                    </w:numPr>
                    <w:ind w:leftChars="0"/>
                    <w:jc w:val="both"/>
                  </w:pPr>
                  <w:r>
                    <w:t xml:space="preserve">Rev </w:t>
                  </w:r>
                  <w:r w:rsidR="00646929">
                    <w:t>0</w:t>
                  </w:r>
                  <w:r>
                    <w:t>.</w:t>
                  </w:r>
                </w:p>
                <w:p w:rsidR="004C686D" w:rsidRDefault="004C686D" w:rsidP="00B200F0">
                  <w:pPr>
                    <w:pStyle w:val="ListParagraph"/>
                    <w:numPr>
                      <w:ilvl w:val="0"/>
                      <w:numId w:val="48"/>
                    </w:numPr>
                    <w:ind w:leftChars="0"/>
                    <w:jc w:val="both"/>
                  </w:pP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C63602" w:rsidRDefault="00C63602">
      <w:pPr>
        <w:rPr>
          <w:szCs w:val="22"/>
          <w:lang w:val="en-US" w:eastAsia="ko-KR"/>
        </w:rPr>
      </w:pPr>
    </w:p>
    <w:tbl>
      <w:tblPr>
        <w:tblStyle w:val="TableGrid"/>
        <w:tblW w:w="10209" w:type="dxa"/>
        <w:tblLayout w:type="fixed"/>
        <w:tblLook w:val="04A0"/>
      </w:tblPr>
      <w:tblGrid>
        <w:gridCol w:w="671"/>
        <w:gridCol w:w="946"/>
        <w:gridCol w:w="676"/>
        <w:gridCol w:w="905"/>
        <w:gridCol w:w="1788"/>
        <w:gridCol w:w="2190"/>
        <w:gridCol w:w="3033"/>
      </w:tblGrid>
      <w:tr w:rsidR="00677697" w:rsidRPr="007E57AA" w:rsidTr="00BC3820">
        <w:trPr>
          <w:trHeight w:val="410"/>
        </w:trPr>
        <w:tc>
          <w:tcPr>
            <w:tcW w:w="671" w:type="dxa"/>
          </w:tcPr>
          <w:p w:rsidR="00677697" w:rsidRPr="007E57AA" w:rsidRDefault="00677697" w:rsidP="007825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7E57AA">
              <w:rPr>
                <w:b/>
                <w:bCs/>
                <w:sz w:val="18"/>
                <w:szCs w:val="18"/>
                <w:lang w:eastAsia="ko-KR"/>
              </w:rPr>
              <w:t>CID</w:t>
            </w:r>
          </w:p>
        </w:tc>
        <w:tc>
          <w:tcPr>
            <w:tcW w:w="946" w:type="dxa"/>
          </w:tcPr>
          <w:p w:rsidR="00677697" w:rsidRPr="007E57AA" w:rsidRDefault="00677697" w:rsidP="007825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7E57AA">
              <w:rPr>
                <w:b/>
                <w:bCs/>
                <w:sz w:val="18"/>
                <w:szCs w:val="18"/>
                <w:lang w:eastAsia="ko-KR"/>
              </w:rPr>
              <w:t>Commenter</w:t>
            </w:r>
          </w:p>
        </w:tc>
        <w:tc>
          <w:tcPr>
            <w:tcW w:w="676" w:type="dxa"/>
          </w:tcPr>
          <w:p w:rsidR="00677697" w:rsidRPr="007E57AA" w:rsidRDefault="00677697" w:rsidP="007825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7E57AA">
              <w:rPr>
                <w:b/>
                <w:bCs/>
                <w:sz w:val="18"/>
                <w:szCs w:val="18"/>
                <w:lang w:eastAsia="ko-KR"/>
              </w:rPr>
              <w:t>P.L</w:t>
            </w:r>
          </w:p>
        </w:tc>
        <w:tc>
          <w:tcPr>
            <w:tcW w:w="905" w:type="dxa"/>
          </w:tcPr>
          <w:p w:rsidR="00677697" w:rsidRPr="007E57AA" w:rsidRDefault="00677697" w:rsidP="007825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7E57AA">
              <w:rPr>
                <w:b/>
                <w:bCs/>
                <w:sz w:val="18"/>
                <w:szCs w:val="18"/>
                <w:lang w:eastAsia="ko-KR"/>
              </w:rPr>
              <w:t>Clause</w:t>
            </w:r>
          </w:p>
        </w:tc>
        <w:tc>
          <w:tcPr>
            <w:tcW w:w="1788" w:type="dxa"/>
          </w:tcPr>
          <w:p w:rsidR="00677697" w:rsidRPr="007E57AA" w:rsidRDefault="00677697" w:rsidP="007825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7E57AA">
              <w:rPr>
                <w:b/>
                <w:bCs/>
                <w:sz w:val="18"/>
                <w:szCs w:val="18"/>
                <w:lang w:eastAsia="ko-KR"/>
              </w:rPr>
              <w:t>Comment</w:t>
            </w:r>
          </w:p>
        </w:tc>
        <w:tc>
          <w:tcPr>
            <w:tcW w:w="2190" w:type="dxa"/>
          </w:tcPr>
          <w:p w:rsidR="00677697" w:rsidRPr="007E57AA" w:rsidRDefault="00677697" w:rsidP="007825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7E57AA">
              <w:rPr>
                <w:b/>
                <w:bCs/>
                <w:sz w:val="18"/>
                <w:szCs w:val="18"/>
                <w:lang w:eastAsia="ko-KR"/>
              </w:rPr>
              <w:t>Proposed Change</w:t>
            </w:r>
          </w:p>
        </w:tc>
        <w:tc>
          <w:tcPr>
            <w:tcW w:w="3033" w:type="dxa"/>
          </w:tcPr>
          <w:p w:rsidR="00677697" w:rsidRPr="007E57AA" w:rsidRDefault="00677697" w:rsidP="007825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7E57AA">
              <w:rPr>
                <w:b/>
                <w:bCs/>
                <w:sz w:val="18"/>
                <w:szCs w:val="18"/>
                <w:lang w:eastAsia="ko-KR"/>
              </w:rPr>
              <w:t>Resolution</w:t>
            </w:r>
          </w:p>
        </w:tc>
      </w:tr>
      <w:tr w:rsidR="00677697" w:rsidRPr="007E57AA" w:rsidTr="00BC3820">
        <w:trPr>
          <w:trHeight w:val="1665"/>
        </w:trPr>
        <w:tc>
          <w:tcPr>
            <w:tcW w:w="671" w:type="dxa"/>
          </w:tcPr>
          <w:p w:rsidR="00677697" w:rsidRPr="007E57AA" w:rsidRDefault="00783305" w:rsidP="007833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46" w:type="dxa"/>
          </w:tcPr>
          <w:p w:rsidR="00677697" w:rsidRPr="007E57AA" w:rsidRDefault="00783305" w:rsidP="007E5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James June Wang</w:t>
            </w:r>
          </w:p>
        </w:tc>
        <w:tc>
          <w:tcPr>
            <w:tcW w:w="676" w:type="dxa"/>
          </w:tcPr>
          <w:p w:rsidR="00677697" w:rsidRPr="007E57AA" w:rsidRDefault="00783305" w:rsidP="00677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81.16</w:t>
            </w:r>
          </w:p>
        </w:tc>
        <w:tc>
          <w:tcPr>
            <w:tcW w:w="905" w:type="dxa"/>
          </w:tcPr>
          <w:p w:rsidR="00677697" w:rsidRPr="007E57AA" w:rsidRDefault="00783305" w:rsidP="00677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1788" w:type="dxa"/>
          </w:tcPr>
          <w:p w:rsidR="00677697" w:rsidRPr="007E57AA" w:rsidRDefault="00783305" w:rsidP="00677697">
            <w:pPr>
              <w:rPr>
                <w:sz w:val="18"/>
                <w:szCs w:val="18"/>
              </w:rPr>
            </w:pPr>
            <w:r w:rsidRPr="00783305">
              <w:rPr>
                <w:sz w:val="18"/>
                <w:szCs w:val="18"/>
              </w:rPr>
              <w:t>Current no MCSs for CDMG SC PHY that required lower SNR for devices which do not have beamforming. CDMG MCS allows more robust data transmission modes to be supported.</w:t>
            </w:r>
          </w:p>
        </w:tc>
        <w:tc>
          <w:tcPr>
            <w:tcW w:w="2190" w:type="dxa"/>
          </w:tcPr>
          <w:p w:rsidR="00677697" w:rsidRPr="007E57AA" w:rsidRDefault="00783305" w:rsidP="00DB6C4D">
            <w:pPr>
              <w:rPr>
                <w:sz w:val="18"/>
                <w:szCs w:val="18"/>
              </w:rPr>
            </w:pPr>
            <w:r w:rsidRPr="00783305">
              <w:rPr>
                <w:sz w:val="18"/>
                <w:szCs w:val="18"/>
              </w:rPr>
              <w:t xml:space="preserve">Add CDMG MCSs for CDMG SC PHY such that a robust data transmission mode that </w:t>
            </w:r>
            <w:proofErr w:type="spellStart"/>
            <w:r w:rsidRPr="00783305">
              <w:rPr>
                <w:sz w:val="18"/>
                <w:szCs w:val="18"/>
              </w:rPr>
              <w:t>reuires</w:t>
            </w:r>
            <w:proofErr w:type="spellEnd"/>
            <w:r w:rsidRPr="00783305">
              <w:rPr>
                <w:sz w:val="18"/>
                <w:szCs w:val="18"/>
              </w:rPr>
              <w:t xml:space="preserve"> less SNR is supported.</w:t>
            </w:r>
          </w:p>
        </w:tc>
        <w:tc>
          <w:tcPr>
            <w:tcW w:w="3033" w:type="dxa"/>
          </w:tcPr>
          <w:p w:rsidR="00677697" w:rsidRDefault="00E471CF" w:rsidP="00677697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proofErr w:type="spellStart"/>
            <w:r>
              <w:rPr>
                <w:bCs/>
                <w:sz w:val="18"/>
                <w:szCs w:val="18"/>
                <w:lang w:eastAsia="ko-KR"/>
              </w:rPr>
              <w:t>Revisede</w:t>
            </w:r>
            <w:r w:rsidR="00DB6C4D">
              <w:rPr>
                <w:bCs/>
                <w:sz w:val="18"/>
                <w:szCs w:val="18"/>
                <w:lang w:eastAsia="ko-KR"/>
              </w:rPr>
              <w:t>d</w:t>
            </w:r>
            <w:proofErr w:type="spellEnd"/>
            <w:r w:rsidR="007E57AA">
              <w:rPr>
                <w:bCs/>
                <w:sz w:val="18"/>
                <w:szCs w:val="18"/>
                <w:lang w:eastAsia="ko-KR"/>
              </w:rPr>
              <w:t xml:space="preserve"> –</w:t>
            </w:r>
          </w:p>
          <w:p w:rsidR="007E57AA" w:rsidRDefault="007E57AA" w:rsidP="00677697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066B5B" w:rsidRDefault="00066B5B" w:rsidP="0078330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Accept the concept. </w:t>
            </w:r>
          </w:p>
          <w:p w:rsidR="00066B5B" w:rsidRDefault="00066B5B" w:rsidP="0078330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0C367F" w:rsidRPr="007E57AA" w:rsidRDefault="00EC2CD5" w:rsidP="0078330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Please see the discussion part for detailed resolution. </w:t>
            </w:r>
          </w:p>
        </w:tc>
      </w:tr>
      <w:tr w:rsidR="00A76A7B" w:rsidRPr="007E57AA" w:rsidTr="00BC3820">
        <w:trPr>
          <w:trHeight w:val="2086"/>
        </w:trPr>
        <w:tc>
          <w:tcPr>
            <w:tcW w:w="671" w:type="dxa"/>
          </w:tcPr>
          <w:p w:rsidR="00A76A7B" w:rsidRPr="007E57AA" w:rsidRDefault="00A76A7B" w:rsidP="007833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46" w:type="dxa"/>
          </w:tcPr>
          <w:p w:rsidR="00A76A7B" w:rsidRPr="007E57AA" w:rsidRDefault="00A76A7B" w:rsidP="007E5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James June Wang</w:t>
            </w:r>
          </w:p>
        </w:tc>
        <w:tc>
          <w:tcPr>
            <w:tcW w:w="676" w:type="dxa"/>
          </w:tcPr>
          <w:p w:rsidR="00A76A7B" w:rsidRPr="007E57AA" w:rsidRDefault="00A76A7B" w:rsidP="00677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81.62</w:t>
            </w:r>
          </w:p>
        </w:tc>
        <w:tc>
          <w:tcPr>
            <w:tcW w:w="905" w:type="dxa"/>
          </w:tcPr>
          <w:p w:rsidR="00A76A7B" w:rsidRPr="007E57AA" w:rsidRDefault="00A76A7B" w:rsidP="00F56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25.6.3.1.1</w:t>
            </w:r>
          </w:p>
        </w:tc>
        <w:tc>
          <w:tcPr>
            <w:tcW w:w="1788" w:type="dxa"/>
          </w:tcPr>
          <w:p w:rsidR="00A76A7B" w:rsidRPr="007E57AA" w:rsidRDefault="00A76A7B" w:rsidP="00677697">
            <w:pPr>
              <w:rPr>
                <w:sz w:val="18"/>
                <w:szCs w:val="18"/>
              </w:rPr>
            </w:pPr>
            <w:r w:rsidRPr="00783305">
              <w:rPr>
                <w:sz w:val="18"/>
                <w:szCs w:val="18"/>
              </w:rPr>
              <w:t>A robust mobile support mode indication in SC Header fields should be added.</w:t>
            </w:r>
          </w:p>
        </w:tc>
        <w:tc>
          <w:tcPr>
            <w:tcW w:w="2190" w:type="dxa"/>
          </w:tcPr>
          <w:p w:rsidR="00A76A7B" w:rsidRPr="007E57AA" w:rsidRDefault="00A76A7B" w:rsidP="00677697">
            <w:pPr>
              <w:rPr>
                <w:sz w:val="18"/>
                <w:szCs w:val="18"/>
              </w:rPr>
            </w:pPr>
            <w:r w:rsidRPr="00783305">
              <w:rPr>
                <w:sz w:val="18"/>
                <w:szCs w:val="18"/>
              </w:rPr>
              <w:t>Use one of the 3 Reserved bits to indicate the robust mobile support mode in SC Header fields.</w:t>
            </w:r>
          </w:p>
        </w:tc>
        <w:tc>
          <w:tcPr>
            <w:tcW w:w="3033" w:type="dxa"/>
          </w:tcPr>
          <w:p w:rsidR="00A76A7B" w:rsidRDefault="00A76A7B" w:rsidP="00DB5A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proofErr w:type="spellStart"/>
            <w:r>
              <w:rPr>
                <w:bCs/>
                <w:sz w:val="18"/>
                <w:szCs w:val="18"/>
                <w:lang w:eastAsia="ko-KR"/>
              </w:rPr>
              <w:t>Reviseded</w:t>
            </w:r>
            <w:proofErr w:type="spellEnd"/>
            <w:r>
              <w:rPr>
                <w:bCs/>
                <w:sz w:val="18"/>
                <w:szCs w:val="18"/>
                <w:lang w:eastAsia="ko-KR"/>
              </w:rPr>
              <w:t xml:space="preserve"> –</w:t>
            </w:r>
          </w:p>
          <w:p w:rsidR="00A76A7B" w:rsidRDefault="00A76A7B" w:rsidP="00DB5A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066B5B" w:rsidRDefault="00066B5B" w:rsidP="00066B5B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Accept the concept. </w:t>
            </w:r>
          </w:p>
          <w:p w:rsidR="00066B5B" w:rsidRDefault="00066B5B" w:rsidP="00DB5A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A76A7B" w:rsidRPr="007E57AA" w:rsidRDefault="00066B5B" w:rsidP="00DB5A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 Please see the discussion part for detailed resolution.</w:t>
            </w:r>
          </w:p>
        </w:tc>
      </w:tr>
      <w:tr w:rsidR="00A76A7B" w:rsidRPr="007E57AA" w:rsidTr="00BC3820">
        <w:trPr>
          <w:trHeight w:val="1665"/>
        </w:trPr>
        <w:tc>
          <w:tcPr>
            <w:tcW w:w="671" w:type="dxa"/>
          </w:tcPr>
          <w:p w:rsidR="00A76A7B" w:rsidRPr="007E57AA" w:rsidRDefault="00A76A7B" w:rsidP="00D245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46" w:type="dxa"/>
          </w:tcPr>
          <w:p w:rsidR="00A76A7B" w:rsidRPr="007E57AA" w:rsidRDefault="00A76A7B" w:rsidP="009C7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Jianhan Liu</w:t>
            </w:r>
          </w:p>
        </w:tc>
        <w:tc>
          <w:tcPr>
            <w:tcW w:w="676" w:type="dxa"/>
          </w:tcPr>
          <w:p w:rsidR="00A76A7B" w:rsidRPr="007E57AA" w:rsidRDefault="00A76A7B" w:rsidP="00677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81.16</w:t>
            </w:r>
          </w:p>
        </w:tc>
        <w:tc>
          <w:tcPr>
            <w:tcW w:w="905" w:type="dxa"/>
          </w:tcPr>
          <w:p w:rsidR="00A76A7B" w:rsidRPr="007E57AA" w:rsidRDefault="00A76A7B" w:rsidP="00677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1788" w:type="dxa"/>
          </w:tcPr>
          <w:p w:rsidR="00A76A7B" w:rsidRPr="007E57AA" w:rsidRDefault="00A76A7B" w:rsidP="00677697">
            <w:pPr>
              <w:rPr>
                <w:sz w:val="18"/>
                <w:szCs w:val="18"/>
              </w:rPr>
            </w:pPr>
            <w:r w:rsidRPr="00D24528">
              <w:rPr>
                <w:sz w:val="18"/>
                <w:szCs w:val="18"/>
              </w:rPr>
              <w:t xml:space="preserve">To better support </w:t>
            </w:r>
            <w:proofErr w:type="spellStart"/>
            <w:r w:rsidRPr="00D24528">
              <w:rPr>
                <w:sz w:val="18"/>
                <w:szCs w:val="18"/>
              </w:rPr>
              <w:t>modile</w:t>
            </w:r>
            <w:proofErr w:type="spellEnd"/>
            <w:r w:rsidRPr="00D24528">
              <w:rPr>
                <w:sz w:val="18"/>
                <w:szCs w:val="18"/>
              </w:rPr>
              <w:t xml:space="preserve"> devices that are equipped with less number of </w:t>
            </w:r>
            <w:proofErr w:type="spellStart"/>
            <w:r w:rsidRPr="00D24528">
              <w:rPr>
                <w:sz w:val="18"/>
                <w:szCs w:val="18"/>
              </w:rPr>
              <w:t>Tx</w:t>
            </w:r>
            <w:proofErr w:type="spellEnd"/>
            <w:r w:rsidRPr="00D24528">
              <w:rPr>
                <w:sz w:val="18"/>
                <w:szCs w:val="18"/>
              </w:rPr>
              <w:t xml:space="preserve"> and Rx antenna elements, the SNR gap between CDMG Control PHY and CDMG SC PHY should be reduced.</w:t>
            </w:r>
          </w:p>
        </w:tc>
        <w:tc>
          <w:tcPr>
            <w:tcW w:w="2190" w:type="dxa"/>
          </w:tcPr>
          <w:p w:rsidR="00A76A7B" w:rsidRPr="007E57AA" w:rsidRDefault="00A76A7B" w:rsidP="00677697">
            <w:pPr>
              <w:rPr>
                <w:sz w:val="18"/>
                <w:szCs w:val="18"/>
              </w:rPr>
            </w:pPr>
            <w:r w:rsidRPr="00D24528">
              <w:rPr>
                <w:sz w:val="18"/>
                <w:szCs w:val="18"/>
              </w:rPr>
              <w:t xml:space="preserve">Add </w:t>
            </w:r>
            <w:proofErr w:type="gramStart"/>
            <w:r w:rsidRPr="00D24528">
              <w:rPr>
                <w:sz w:val="18"/>
                <w:szCs w:val="18"/>
              </w:rPr>
              <w:t>an</w:t>
            </w:r>
            <w:proofErr w:type="gramEnd"/>
            <w:r w:rsidRPr="00D24528">
              <w:rPr>
                <w:sz w:val="18"/>
                <w:szCs w:val="18"/>
              </w:rPr>
              <w:t xml:space="preserve"> robust SC PHY mode to better support mobile devices use. These modes can be easily implemented using modified control PHY.</w:t>
            </w:r>
          </w:p>
        </w:tc>
        <w:tc>
          <w:tcPr>
            <w:tcW w:w="3033" w:type="dxa"/>
          </w:tcPr>
          <w:p w:rsidR="00A76A7B" w:rsidRDefault="00A76A7B" w:rsidP="00DB5A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proofErr w:type="spellStart"/>
            <w:r>
              <w:rPr>
                <w:bCs/>
                <w:sz w:val="18"/>
                <w:szCs w:val="18"/>
                <w:lang w:eastAsia="ko-KR"/>
              </w:rPr>
              <w:t>Reviseded</w:t>
            </w:r>
            <w:proofErr w:type="spellEnd"/>
            <w:r>
              <w:rPr>
                <w:bCs/>
                <w:sz w:val="18"/>
                <w:szCs w:val="18"/>
                <w:lang w:eastAsia="ko-KR"/>
              </w:rPr>
              <w:t xml:space="preserve"> –</w:t>
            </w:r>
          </w:p>
          <w:p w:rsidR="00A76A7B" w:rsidRDefault="00A76A7B" w:rsidP="00DB5A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A76A7B" w:rsidRPr="007E57AA" w:rsidRDefault="00A76A7B" w:rsidP="00DB5A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Please see the discussion part for detailed resolution. </w:t>
            </w:r>
          </w:p>
        </w:tc>
      </w:tr>
      <w:tr w:rsidR="00A76A7B" w:rsidRPr="007E57AA" w:rsidTr="00BC3820">
        <w:trPr>
          <w:trHeight w:val="1665"/>
        </w:trPr>
        <w:tc>
          <w:tcPr>
            <w:tcW w:w="671" w:type="dxa"/>
          </w:tcPr>
          <w:p w:rsidR="00A76A7B" w:rsidRDefault="00A76A7B" w:rsidP="00677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46" w:type="dxa"/>
          </w:tcPr>
          <w:p w:rsidR="00A76A7B" w:rsidRDefault="00A76A7B" w:rsidP="009C7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Jianhan Liu</w:t>
            </w:r>
          </w:p>
        </w:tc>
        <w:tc>
          <w:tcPr>
            <w:tcW w:w="676" w:type="dxa"/>
          </w:tcPr>
          <w:p w:rsidR="00A76A7B" w:rsidRDefault="00A76A7B" w:rsidP="00677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81.62</w:t>
            </w:r>
          </w:p>
        </w:tc>
        <w:tc>
          <w:tcPr>
            <w:tcW w:w="905" w:type="dxa"/>
          </w:tcPr>
          <w:p w:rsidR="00A76A7B" w:rsidRDefault="00A76A7B" w:rsidP="00677697">
            <w:pPr>
              <w:rPr>
                <w:sz w:val="18"/>
                <w:szCs w:val="18"/>
              </w:rPr>
            </w:pPr>
            <w:r w:rsidRPr="002F5ABF">
              <w:rPr>
                <w:sz w:val="18"/>
                <w:szCs w:val="18"/>
              </w:rPr>
              <w:t>25.6.3.1.1</w:t>
            </w:r>
          </w:p>
        </w:tc>
        <w:tc>
          <w:tcPr>
            <w:tcW w:w="1788" w:type="dxa"/>
          </w:tcPr>
          <w:p w:rsidR="00A76A7B" w:rsidRPr="00D24528" w:rsidRDefault="00A76A7B" w:rsidP="00677697">
            <w:pPr>
              <w:rPr>
                <w:sz w:val="18"/>
                <w:szCs w:val="18"/>
              </w:rPr>
            </w:pPr>
            <w:r w:rsidRPr="002F5ABF">
              <w:rPr>
                <w:sz w:val="18"/>
                <w:szCs w:val="18"/>
              </w:rPr>
              <w:t>Add two bits indication to indicate the robust mobile support mode in SC Header fields.</w:t>
            </w:r>
          </w:p>
        </w:tc>
        <w:tc>
          <w:tcPr>
            <w:tcW w:w="2190" w:type="dxa"/>
          </w:tcPr>
          <w:p w:rsidR="00A76A7B" w:rsidRPr="00D24528" w:rsidRDefault="00A76A7B" w:rsidP="00677697">
            <w:pPr>
              <w:rPr>
                <w:sz w:val="18"/>
                <w:szCs w:val="18"/>
              </w:rPr>
            </w:pPr>
            <w:r w:rsidRPr="002F5ABF">
              <w:rPr>
                <w:sz w:val="18"/>
                <w:szCs w:val="18"/>
              </w:rPr>
              <w:t>Using two reserved bits to indicate the robust mobile support mode in SC Header fields.</w:t>
            </w:r>
          </w:p>
        </w:tc>
        <w:tc>
          <w:tcPr>
            <w:tcW w:w="3033" w:type="dxa"/>
          </w:tcPr>
          <w:p w:rsidR="00A76A7B" w:rsidRDefault="00A76A7B" w:rsidP="00DB5A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proofErr w:type="spellStart"/>
            <w:r>
              <w:rPr>
                <w:bCs/>
                <w:sz w:val="18"/>
                <w:szCs w:val="18"/>
                <w:lang w:eastAsia="ko-KR"/>
              </w:rPr>
              <w:t>Reviseded</w:t>
            </w:r>
            <w:proofErr w:type="spellEnd"/>
            <w:r>
              <w:rPr>
                <w:bCs/>
                <w:sz w:val="18"/>
                <w:szCs w:val="18"/>
                <w:lang w:eastAsia="ko-KR"/>
              </w:rPr>
              <w:t xml:space="preserve"> –</w:t>
            </w:r>
          </w:p>
          <w:p w:rsidR="00A76A7B" w:rsidRDefault="00A76A7B" w:rsidP="00DB5A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066B5B" w:rsidRDefault="00066B5B" w:rsidP="00066B5B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Accept the concept. </w:t>
            </w:r>
          </w:p>
          <w:p w:rsidR="00A76A7B" w:rsidRPr="007E57AA" w:rsidRDefault="00A76A7B" w:rsidP="00DB5A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Please see the discussion part for detailed resolution. </w:t>
            </w:r>
          </w:p>
        </w:tc>
      </w:tr>
      <w:tr w:rsidR="00A76A7B" w:rsidRPr="007E57AA" w:rsidTr="00BC3820">
        <w:trPr>
          <w:trHeight w:val="1665"/>
        </w:trPr>
        <w:tc>
          <w:tcPr>
            <w:tcW w:w="671" w:type="dxa"/>
          </w:tcPr>
          <w:p w:rsidR="00A76A7B" w:rsidRDefault="00A76A7B" w:rsidP="00677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46" w:type="dxa"/>
          </w:tcPr>
          <w:p w:rsidR="00A76A7B" w:rsidRDefault="00A76A7B" w:rsidP="009C7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Jianhan Liu</w:t>
            </w:r>
          </w:p>
        </w:tc>
        <w:tc>
          <w:tcPr>
            <w:tcW w:w="676" w:type="dxa"/>
          </w:tcPr>
          <w:p w:rsidR="00A76A7B" w:rsidRDefault="00A76A7B" w:rsidP="00677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83.83</w:t>
            </w:r>
          </w:p>
        </w:tc>
        <w:tc>
          <w:tcPr>
            <w:tcW w:w="905" w:type="dxa"/>
          </w:tcPr>
          <w:p w:rsidR="00A76A7B" w:rsidRDefault="00A76A7B" w:rsidP="00677697">
            <w:pPr>
              <w:rPr>
                <w:sz w:val="18"/>
                <w:szCs w:val="18"/>
              </w:rPr>
            </w:pPr>
            <w:r w:rsidRPr="00604CEC">
              <w:rPr>
                <w:sz w:val="18"/>
                <w:szCs w:val="18"/>
              </w:rPr>
              <w:t>25.6.3.1.2</w:t>
            </w:r>
          </w:p>
        </w:tc>
        <w:tc>
          <w:tcPr>
            <w:tcW w:w="1788" w:type="dxa"/>
          </w:tcPr>
          <w:p w:rsidR="00A76A7B" w:rsidRPr="00D24528" w:rsidRDefault="00A76A7B" w:rsidP="00677697">
            <w:pPr>
              <w:rPr>
                <w:sz w:val="18"/>
                <w:szCs w:val="18"/>
              </w:rPr>
            </w:pPr>
            <w:r w:rsidRPr="00604CEC">
              <w:rPr>
                <w:sz w:val="18"/>
                <w:szCs w:val="18"/>
              </w:rPr>
              <w:t>Adding the Modulation and Coding Scheme for mobile support mode.</w:t>
            </w:r>
          </w:p>
        </w:tc>
        <w:tc>
          <w:tcPr>
            <w:tcW w:w="2190" w:type="dxa"/>
          </w:tcPr>
          <w:p w:rsidR="00A76A7B" w:rsidRPr="00D24528" w:rsidRDefault="00A76A7B" w:rsidP="00677697">
            <w:pPr>
              <w:rPr>
                <w:sz w:val="18"/>
                <w:szCs w:val="18"/>
              </w:rPr>
            </w:pPr>
            <w:r w:rsidRPr="00604CEC">
              <w:rPr>
                <w:sz w:val="18"/>
                <w:szCs w:val="18"/>
              </w:rPr>
              <w:t>Adding the Modulation and Coding Scheme for mobile support mode.</w:t>
            </w:r>
          </w:p>
        </w:tc>
        <w:tc>
          <w:tcPr>
            <w:tcW w:w="3033" w:type="dxa"/>
          </w:tcPr>
          <w:p w:rsidR="00A76A7B" w:rsidRDefault="00A76A7B" w:rsidP="00DB5A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proofErr w:type="spellStart"/>
            <w:r>
              <w:rPr>
                <w:bCs/>
                <w:sz w:val="18"/>
                <w:szCs w:val="18"/>
                <w:lang w:eastAsia="ko-KR"/>
              </w:rPr>
              <w:t>Reviseded</w:t>
            </w:r>
            <w:proofErr w:type="spellEnd"/>
            <w:r>
              <w:rPr>
                <w:bCs/>
                <w:sz w:val="18"/>
                <w:szCs w:val="18"/>
                <w:lang w:eastAsia="ko-KR"/>
              </w:rPr>
              <w:t xml:space="preserve"> –</w:t>
            </w:r>
          </w:p>
          <w:p w:rsidR="00A76A7B" w:rsidRDefault="00A76A7B" w:rsidP="00DB5A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0D36B4" w:rsidRDefault="000D36B4" w:rsidP="000D36B4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Accept the concept. </w:t>
            </w:r>
          </w:p>
          <w:p w:rsidR="00A76A7B" w:rsidRPr="007E57AA" w:rsidRDefault="00A76A7B" w:rsidP="00DB5A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Please see the discussion part for detailed resolution. </w:t>
            </w:r>
          </w:p>
        </w:tc>
      </w:tr>
      <w:tr w:rsidR="00A76A7B" w:rsidRPr="007E57AA" w:rsidTr="00BC3820">
        <w:trPr>
          <w:trHeight w:val="1665"/>
        </w:trPr>
        <w:tc>
          <w:tcPr>
            <w:tcW w:w="671" w:type="dxa"/>
          </w:tcPr>
          <w:p w:rsidR="00A76A7B" w:rsidRDefault="00A76A7B" w:rsidP="00677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46" w:type="dxa"/>
          </w:tcPr>
          <w:p w:rsidR="00A76A7B" w:rsidRDefault="00A76A7B" w:rsidP="009C7801">
            <w:pPr>
              <w:rPr>
                <w:sz w:val="18"/>
                <w:szCs w:val="18"/>
              </w:rPr>
            </w:pPr>
            <w:r w:rsidRPr="00511886">
              <w:rPr>
                <w:sz w:val="18"/>
                <w:szCs w:val="18"/>
              </w:rPr>
              <w:t>Tianyu Wu</w:t>
            </w:r>
          </w:p>
        </w:tc>
        <w:tc>
          <w:tcPr>
            <w:tcW w:w="676" w:type="dxa"/>
          </w:tcPr>
          <w:p w:rsidR="00A76A7B" w:rsidRDefault="00A76A7B" w:rsidP="00677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81.16</w:t>
            </w:r>
          </w:p>
        </w:tc>
        <w:tc>
          <w:tcPr>
            <w:tcW w:w="905" w:type="dxa"/>
          </w:tcPr>
          <w:p w:rsidR="00A76A7B" w:rsidRPr="00604CEC" w:rsidRDefault="00A76A7B" w:rsidP="00677697">
            <w:pPr>
              <w:rPr>
                <w:sz w:val="18"/>
                <w:szCs w:val="18"/>
              </w:rPr>
            </w:pPr>
            <w:r w:rsidRPr="006104AA">
              <w:rPr>
                <w:sz w:val="18"/>
                <w:szCs w:val="18"/>
              </w:rPr>
              <w:t>25.6</w:t>
            </w:r>
          </w:p>
        </w:tc>
        <w:tc>
          <w:tcPr>
            <w:tcW w:w="1788" w:type="dxa"/>
          </w:tcPr>
          <w:p w:rsidR="00A76A7B" w:rsidRPr="00604CEC" w:rsidRDefault="00A76A7B" w:rsidP="00677697">
            <w:pPr>
              <w:rPr>
                <w:sz w:val="18"/>
                <w:szCs w:val="18"/>
              </w:rPr>
            </w:pPr>
            <w:r w:rsidRPr="007C59DC">
              <w:rPr>
                <w:sz w:val="18"/>
                <w:szCs w:val="18"/>
              </w:rPr>
              <w:t>Add MCSs for CDMG SC PHY that required lower SNR such that more robust data transmission modes are supported.</w:t>
            </w:r>
          </w:p>
        </w:tc>
        <w:tc>
          <w:tcPr>
            <w:tcW w:w="2190" w:type="dxa"/>
          </w:tcPr>
          <w:p w:rsidR="00A76A7B" w:rsidRPr="00604CEC" w:rsidRDefault="00A76A7B" w:rsidP="00677697">
            <w:pPr>
              <w:rPr>
                <w:sz w:val="18"/>
                <w:szCs w:val="18"/>
              </w:rPr>
            </w:pPr>
            <w:r w:rsidRPr="007C59DC">
              <w:rPr>
                <w:sz w:val="18"/>
                <w:szCs w:val="18"/>
              </w:rPr>
              <w:t xml:space="preserve">Add CDMG MCSs for CDMG SC PHY such that a robust data transmission mode that </w:t>
            </w:r>
            <w:proofErr w:type="spellStart"/>
            <w:r w:rsidRPr="007C59DC">
              <w:rPr>
                <w:sz w:val="18"/>
                <w:szCs w:val="18"/>
              </w:rPr>
              <w:t>reuires</w:t>
            </w:r>
            <w:proofErr w:type="spellEnd"/>
            <w:r w:rsidRPr="007C59DC">
              <w:rPr>
                <w:sz w:val="18"/>
                <w:szCs w:val="18"/>
              </w:rPr>
              <w:t xml:space="preserve"> less SNR is supported.</w:t>
            </w:r>
          </w:p>
        </w:tc>
        <w:tc>
          <w:tcPr>
            <w:tcW w:w="3033" w:type="dxa"/>
          </w:tcPr>
          <w:p w:rsidR="00A76A7B" w:rsidRDefault="00A76A7B" w:rsidP="00DB5A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proofErr w:type="spellStart"/>
            <w:r>
              <w:rPr>
                <w:bCs/>
                <w:sz w:val="18"/>
                <w:szCs w:val="18"/>
                <w:lang w:eastAsia="ko-KR"/>
              </w:rPr>
              <w:t>Reviseded</w:t>
            </w:r>
            <w:proofErr w:type="spellEnd"/>
            <w:r>
              <w:rPr>
                <w:bCs/>
                <w:sz w:val="18"/>
                <w:szCs w:val="18"/>
                <w:lang w:eastAsia="ko-KR"/>
              </w:rPr>
              <w:t xml:space="preserve"> –</w:t>
            </w:r>
          </w:p>
          <w:p w:rsidR="00A76A7B" w:rsidRDefault="00A76A7B" w:rsidP="00DB5A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0D36B4" w:rsidRDefault="000D36B4" w:rsidP="000D36B4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Accept the concept. </w:t>
            </w:r>
          </w:p>
          <w:p w:rsidR="00A76A7B" w:rsidRPr="007E57AA" w:rsidRDefault="00A76A7B" w:rsidP="00DB5A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Please see the discussion part for detailed resolution. </w:t>
            </w:r>
          </w:p>
        </w:tc>
      </w:tr>
      <w:tr w:rsidR="00A76A7B" w:rsidRPr="007E57AA" w:rsidTr="00BC3820">
        <w:trPr>
          <w:trHeight w:val="1665"/>
        </w:trPr>
        <w:tc>
          <w:tcPr>
            <w:tcW w:w="671" w:type="dxa"/>
          </w:tcPr>
          <w:p w:rsidR="00A76A7B" w:rsidRDefault="00A76A7B" w:rsidP="00677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946" w:type="dxa"/>
          </w:tcPr>
          <w:p w:rsidR="00A76A7B" w:rsidRDefault="00A76A7B" w:rsidP="009C7801">
            <w:pPr>
              <w:rPr>
                <w:sz w:val="18"/>
                <w:szCs w:val="18"/>
              </w:rPr>
            </w:pPr>
            <w:r w:rsidRPr="00511886">
              <w:rPr>
                <w:sz w:val="18"/>
                <w:szCs w:val="18"/>
              </w:rPr>
              <w:t>Tianyu Wu</w:t>
            </w:r>
          </w:p>
        </w:tc>
        <w:tc>
          <w:tcPr>
            <w:tcW w:w="676" w:type="dxa"/>
          </w:tcPr>
          <w:p w:rsidR="00A76A7B" w:rsidRDefault="00A76A7B" w:rsidP="00677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81.62</w:t>
            </w:r>
          </w:p>
        </w:tc>
        <w:tc>
          <w:tcPr>
            <w:tcW w:w="905" w:type="dxa"/>
          </w:tcPr>
          <w:p w:rsidR="00A76A7B" w:rsidRPr="00604CEC" w:rsidRDefault="00A76A7B" w:rsidP="00677697">
            <w:pPr>
              <w:rPr>
                <w:sz w:val="18"/>
                <w:szCs w:val="18"/>
              </w:rPr>
            </w:pPr>
            <w:r w:rsidRPr="007C59DC">
              <w:rPr>
                <w:sz w:val="18"/>
                <w:szCs w:val="18"/>
              </w:rPr>
              <w:t>25.6.3.1.1</w:t>
            </w:r>
          </w:p>
        </w:tc>
        <w:tc>
          <w:tcPr>
            <w:tcW w:w="1788" w:type="dxa"/>
          </w:tcPr>
          <w:p w:rsidR="00A76A7B" w:rsidRPr="00604CEC" w:rsidRDefault="00A76A7B" w:rsidP="00677697">
            <w:pPr>
              <w:rPr>
                <w:sz w:val="18"/>
                <w:szCs w:val="18"/>
              </w:rPr>
            </w:pPr>
            <w:r w:rsidRPr="007C59DC">
              <w:rPr>
                <w:sz w:val="18"/>
                <w:szCs w:val="18"/>
              </w:rPr>
              <w:t>Add indication for robust mobile support mode in SC Header fields.</w:t>
            </w:r>
          </w:p>
        </w:tc>
        <w:tc>
          <w:tcPr>
            <w:tcW w:w="2190" w:type="dxa"/>
          </w:tcPr>
          <w:p w:rsidR="00A76A7B" w:rsidRPr="00604CEC" w:rsidRDefault="00A76A7B" w:rsidP="00677697">
            <w:pPr>
              <w:rPr>
                <w:sz w:val="18"/>
                <w:szCs w:val="18"/>
              </w:rPr>
            </w:pPr>
            <w:r w:rsidRPr="007C59DC">
              <w:rPr>
                <w:sz w:val="18"/>
                <w:szCs w:val="18"/>
              </w:rPr>
              <w:t>There are 3 Reserved bits can be used to indicate the robust mobile support mode in SC Header fields.</w:t>
            </w:r>
          </w:p>
        </w:tc>
        <w:tc>
          <w:tcPr>
            <w:tcW w:w="3033" w:type="dxa"/>
          </w:tcPr>
          <w:p w:rsidR="00A76A7B" w:rsidRDefault="00A76A7B" w:rsidP="00DB5A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proofErr w:type="spellStart"/>
            <w:r>
              <w:rPr>
                <w:bCs/>
                <w:sz w:val="18"/>
                <w:szCs w:val="18"/>
                <w:lang w:eastAsia="ko-KR"/>
              </w:rPr>
              <w:t>Reviseded</w:t>
            </w:r>
            <w:proofErr w:type="spellEnd"/>
            <w:r>
              <w:rPr>
                <w:bCs/>
                <w:sz w:val="18"/>
                <w:szCs w:val="18"/>
                <w:lang w:eastAsia="ko-KR"/>
              </w:rPr>
              <w:t xml:space="preserve"> –</w:t>
            </w:r>
          </w:p>
          <w:p w:rsidR="00A76A7B" w:rsidRDefault="00A76A7B" w:rsidP="00DB5A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0D36B4" w:rsidRDefault="000D36B4" w:rsidP="000D36B4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Accept the concept. </w:t>
            </w:r>
          </w:p>
          <w:p w:rsidR="00A76A7B" w:rsidRPr="007E57AA" w:rsidRDefault="00A76A7B" w:rsidP="00DB5A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Please see the discussion part for detailed resolution. </w:t>
            </w:r>
          </w:p>
        </w:tc>
      </w:tr>
    </w:tbl>
    <w:p w:rsidR="00481E31" w:rsidRDefault="00481E31">
      <w:pPr>
        <w:rPr>
          <w:b/>
          <w:szCs w:val="22"/>
          <w:u w:val="single"/>
          <w:lang w:val="en-US" w:eastAsia="ko-KR"/>
        </w:rPr>
      </w:pPr>
    </w:p>
    <w:p w:rsidR="00D60E0E" w:rsidRDefault="00D60E0E">
      <w:pPr>
        <w:rPr>
          <w:b/>
          <w:szCs w:val="22"/>
          <w:u w:val="single"/>
          <w:lang w:val="en-US" w:eastAsia="ko-KR"/>
        </w:rPr>
      </w:pPr>
    </w:p>
    <w:p w:rsidR="00C63602" w:rsidRDefault="00833B9B">
      <w:pPr>
        <w:rPr>
          <w:i/>
          <w:szCs w:val="22"/>
          <w:u w:val="single"/>
          <w:lang w:val="en-US" w:eastAsia="ko-KR"/>
        </w:rPr>
      </w:pPr>
      <w:r w:rsidRPr="00833B9B">
        <w:rPr>
          <w:b/>
          <w:szCs w:val="22"/>
          <w:u w:val="single"/>
          <w:lang w:val="en-US" w:eastAsia="ko-KR"/>
        </w:rPr>
        <w:t xml:space="preserve">Discussion: </w:t>
      </w:r>
    </w:p>
    <w:p w:rsidR="00677697" w:rsidRDefault="00677697">
      <w:pPr>
        <w:rPr>
          <w:i/>
          <w:szCs w:val="22"/>
          <w:u w:val="single"/>
          <w:lang w:val="en-US" w:eastAsia="ko-KR"/>
        </w:rPr>
      </w:pPr>
    </w:p>
    <w:p w:rsidR="006939D0" w:rsidRDefault="00BF3EDF" w:rsidP="006939D0">
      <w:pPr>
        <w:rPr>
          <w:sz w:val="18"/>
          <w:szCs w:val="18"/>
        </w:rPr>
      </w:pPr>
      <w:r w:rsidRPr="00BF3EDF">
        <w:rPr>
          <w:sz w:val="18"/>
          <w:szCs w:val="18"/>
          <w:lang w:eastAsia="ko-KR"/>
        </w:rPr>
        <w:t xml:space="preserve">To resolve the comments </w:t>
      </w:r>
      <w:r w:rsidRPr="00BF3EDF">
        <w:rPr>
          <w:sz w:val="18"/>
          <w:szCs w:val="18"/>
        </w:rPr>
        <w:t>32, 33, 61,62,71,72</w:t>
      </w:r>
      <w:r>
        <w:rPr>
          <w:sz w:val="18"/>
          <w:szCs w:val="18"/>
        </w:rPr>
        <w:t xml:space="preserve">, the following modifications are introduced. </w:t>
      </w:r>
    </w:p>
    <w:p w:rsidR="00BF3EDF" w:rsidRDefault="00BF3EDF" w:rsidP="006939D0">
      <w:pPr>
        <w:rPr>
          <w:sz w:val="18"/>
          <w:szCs w:val="18"/>
        </w:rPr>
      </w:pPr>
    </w:p>
    <w:p w:rsidR="00262918" w:rsidRPr="00262918" w:rsidRDefault="00262918" w:rsidP="00262918">
      <w:pPr>
        <w:rPr>
          <w:lang w:val="en-US" w:eastAsia="ko-KR"/>
        </w:rPr>
      </w:pPr>
    </w:p>
    <w:p w:rsidR="009E5705" w:rsidRPr="009E5705" w:rsidRDefault="00262918" w:rsidP="009E5705">
      <w:pPr>
        <w:rPr>
          <w:lang w:val="en-US" w:eastAsia="ko-KR"/>
        </w:rPr>
      </w:pPr>
      <w:r>
        <w:rPr>
          <w:noProof/>
          <w:lang w:val="en-US" w:eastAsia="zh-CN"/>
        </w:rPr>
        <w:drawing>
          <wp:inline distT="0" distB="0" distL="0" distR="0">
            <wp:extent cx="5052647" cy="4148403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893" cy="4149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18D" w:rsidRDefault="00EE618D" w:rsidP="00EE618D">
      <w:pPr>
        <w:pStyle w:val="SP13127014"/>
        <w:spacing w:before="240" w:after="240"/>
      </w:pPr>
      <w:r>
        <w:rPr>
          <w:rStyle w:val="SC13237574"/>
          <w:rFonts w:ascii="Times New Roman" w:hAnsi="Times New Roman" w:cs="Times New Roman"/>
          <w:b w:val="0"/>
          <w:sz w:val="18"/>
          <w:szCs w:val="18"/>
        </w:rPr>
        <w:t xml:space="preserve">Change </w:t>
      </w:r>
      <w:r w:rsidR="00612F14">
        <w:rPr>
          <w:rStyle w:val="SC13237574"/>
          <w:rFonts w:ascii="Times New Roman" w:hAnsi="Times New Roman" w:cs="Times New Roman"/>
          <w:b w:val="0"/>
          <w:sz w:val="18"/>
          <w:szCs w:val="18"/>
        </w:rPr>
        <w:t>the two</w:t>
      </w:r>
      <w:r w:rsidRPr="009E5705">
        <w:rPr>
          <w:rStyle w:val="SC13237574"/>
          <w:rFonts w:ascii="Times New Roman" w:hAnsi="Times New Roman" w:cs="Times New Roman"/>
          <w:b w:val="0"/>
          <w:sz w:val="18"/>
          <w:szCs w:val="18"/>
        </w:rPr>
        <w:t xml:space="preserve"> </w:t>
      </w:r>
      <w:r>
        <w:rPr>
          <w:rStyle w:val="SC13237574"/>
          <w:rFonts w:ascii="Times New Roman" w:hAnsi="Times New Roman" w:cs="Times New Roman"/>
          <w:b w:val="0"/>
          <w:sz w:val="18"/>
          <w:szCs w:val="18"/>
        </w:rPr>
        <w:t xml:space="preserve">reserved bits starting from 22 in </w:t>
      </w:r>
      <w:r w:rsidRPr="009E5705">
        <w:rPr>
          <w:rFonts w:ascii="Times New Roman" w:hAnsi="Times New Roman" w:cs="Times New Roman"/>
          <w:bCs/>
          <w:sz w:val="18"/>
          <w:szCs w:val="18"/>
        </w:rPr>
        <w:t>Table 21-11</w:t>
      </w:r>
      <w:r>
        <w:rPr>
          <w:rFonts w:ascii="Times New Roman" w:hAnsi="Times New Roman" w:cs="Times New Roman"/>
          <w:bCs/>
          <w:sz w:val="18"/>
          <w:szCs w:val="18"/>
        </w:rPr>
        <w:t xml:space="preserve"> as follows.</w:t>
      </w:r>
    </w:p>
    <w:tbl>
      <w:tblPr>
        <w:tblW w:w="9057" w:type="dxa"/>
        <w:tblCellMar>
          <w:left w:w="0" w:type="dxa"/>
          <w:right w:w="0" w:type="dxa"/>
        </w:tblCellMar>
        <w:tblLook w:val="04A0"/>
      </w:tblPr>
      <w:tblGrid>
        <w:gridCol w:w="1927"/>
        <w:gridCol w:w="1574"/>
        <w:gridCol w:w="1220"/>
        <w:gridCol w:w="4336"/>
      </w:tblGrid>
      <w:tr w:rsidR="00262918" w:rsidRPr="00B14543" w:rsidTr="00612F14">
        <w:trPr>
          <w:trHeight w:val="1267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0" w:type="dxa"/>
              <w:bottom w:w="0" w:type="dxa"/>
              <w:right w:w="50" w:type="dxa"/>
            </w:tcMar>
            <w:hideMark/>
          </w:tcPr>
          <w:p w:rsidR="00380D95" w:rsidRPr="00741B55" w:rsidRDefault="00B14543" w:rsidP="00B14543">
            <w:pPr>
              <w:pStyle w:val="SP13127014"/>
              <w:spacing w:before="240" w:after="240"/>
              <w:jc w:val="center"/>
              <w:rPr>
                <w:bCs/>
                <w:color w:val="FF0000"/>
                <w:sz w:val="18"/>
                <w:szCs w:val="18"/>
              </w:rPr>
            </w:pPr>
            <w:r w:rsidRPr="00741B55">
              <w:rPr>
                <w:bCs/>
                <w:color w:val="FF0000"/>
                <w:sz w:val="18"/>
                <w:szCs w:val="18"/>
              </w:rPr>
              <w:t>Robust</w:t>
            </w:r>
            <w:r w:rsidR="00BE7C84" w:rsidRPr="00741B55">
              <w:rPr>
                <w:bCs/>
                <w:color w:val="FF0000"/>
                <w:sz w:val="18"/>
                <w:szCs w:val="18"/>
              </w:rPr>
              <w:t xml:space="preserve"> PHY </w:t>
            </w:r>
            <w:r w:rsidR="00262918" w:rsidRPr="00741B55">
              <w:rPr>
                <w:bCs/>
                <w:color w:val="FF0000"/>
                <w:sz w:val="18"/>
                <w:szCs w:val="18"/>
              </w:rPr>
              <w:t>Mode</w:t>
            </w:r>
            <w:r w:rsidRPr="00741B55">
              <w:rPr>
                <w:bCs/>
                <w:color w:val="FF0000"/>
                <w:sz w:val="18"/>
                <w:szCs w:val="18"/>
              </w:rPr>
              <w:t xml:space="preserve"> Indication</w:t>
            </w:r>
            <w:r w:rsidR="00EE618D" w:rsidRPr="00741B55">
              <w:rPr>
                <w:bCs/>
                <w:color w:val="FF0000"/>
                <w:sz w:val="18"/>
                <w:szCs w:val="18"/>
              </w:rPr>
              <w:t>/Reserved bits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0" w:type="dxa"/>
              <w:bottom w:w="0" w:type="dxa"/>
              <w:right w:w="50" w:type="dxa"/>
            </w:tcMar>
            <w:hideMark/>
          </w:tcPr>
          <w:p w:rsidR="00380D95" w:rsidRPr="00741B55" w:rsidRDefault="00262918" w:rsidP="00B14543">
            <w:pPr>
              <w:pStyle w:val="SP13127014"/>
              <w:spacing w:before="240" w:after="240"/>
              <w:jc w:val="center"/>
              <w:rPr>
                <w:bCs/>
                <w:color w:val="FF0000"/>
                <w:sz w:val="18"/>
                <w:szCs w:val="18"/>
              </w:rPr>
            </w:pPr>
            <w:r w:rsidRPr="00741B55">
              <w:rPr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0" w:type="dxa"/>
              <w:bottom w:w="0" w:type="dxa"/>
              <w:right w:w="50" w:type="dxa"/>
            </w:tcMar>
            <w:hideMark/>
          </w:tcPr>
          <w:p w:rsidR="00380D95" w:rsidRPr="00741B55" w:rsidRDefault="00262918" w:rsidP="00B14543">
            <w:pPr>
              <w:pStyle w:val="SP13127014"/>
              <w:spacing w:before="240" w:after="240"/>
              <w:jc w:val="center"/>
              <w:rPr>
                <w:bCs/>
                <w:color w:val="FF0000"/>
                <w:sz w:val="18"/>
                <w:szCs w:val="18"/>
              </w:rPr>
            </w:pPr>
            <w:r w:rsidRPr="00741B55">
              <w:rPr>
                <w:bCs/>
                <w:color w:val="FF0000"/>
                <w:sz w:val="18"/>
                <w:szCs w:val="18"/>
              </w:rPr>
              <w:t>22</w:t>
            </w:r>
          </w:p>
        </w:tc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0" w:type="dxa"/>
              <w:bottom w:w="0" w:type="dxa"/>
              <w:right w:w="50" w:type="dxa"/>
            </w:tcMar>
            <w:hideMark/>
          </w:tcPr>
          <w:p w:rsidR="00262918" w:rsidRPr="00741B55" w:rsidRDefault="00262918" w:rsidP="00B14543">
            <w:pPr>
              <w:pStyle w:val="SP13127014"/>
              <w:spacing w:before="240" w:after="240"/>
              <w:rPr>
                <w:bCs/>
                <w:color w:val="FF0000"/>
                <w:sz w:val="18"/>
                <w:szCs w:val="18"/>
              </w:rPr>
            </w:pPr>
            <w:r w:rsidRPr="00741B55">
              <w:rPr>
                <w:bCs/>
                <w:color w:val="FF0000"/>
                <w:sz w:val="18"/>
                <w:szCs w:val="18"/>
              </w:rPr>
              <w:t>Set to 0</w:t>
            </w:r>
            <w:r w:rsidR="00612F14" w:rsidRPr="00741B55">
              <w:rPr>
                <w:bCs/>
                <w:color w:val="FF0000"/>
                <w:sz w:val="18"/>
                <w:szCs w:val="18"/>
              </w:rPr>
              <w:t>0</w:t>
            </w:r>
            <w:r w:rsidRPr="00741B55">
              <w:rPr>
                <w:bCs/>
                <w:color w:val="FF0000"/>
                <w:sz w:val="18"/>
                <w:szCs w:val="18"/>
              </w:rPr>
              <w:t>: C</w:t>
            </w:r>
            <w:r w:rsidR="00E471CF" w:rsidRPr="00741B55">
              <w:rPr>
                <w:bCs/>
                <w:color w:val="FF0000"/>
                <w:sz w:val="18"/>
                <w:szCs w:val="18"/>
              </w:rPr>
              <w:t xml:space="preserve">trl </w:t>
            </w:r>
            <w:r w:rsidRPr="00741B55">
              <w:rPr>
                <w:bCs/>
                <w:color w:val="FF0000"/>
                <w:sz w:val="18"/>
                <w:szCs w:val="18"/>
              </w:rPr>
              <w:t>PHY</w:t>
            </w:r>
          </w:p>
          <w:p w:rsidR="00262918" w:rsidRPr="00741B55" w:rsidRDefault="00262918" w:rsidP="00B14543">
            <w:pPr>
              <w:pStyle w:val="SP13127014"/>
              <w:spacing w:before="240" w:after="240"/>
              <w:rPr>
                <w:bCs/>
                <w:color w:val="FF0000"/>
                <w:sz w:val="18"/>
                <w:szCs w:val="18"/>
              </w:rPr>
            </w:pPr>
            <w:r w:rsidRPr="00741B55">
              <w:rPr>
                <w:bCs/>
                <w:color w:val="FF0000"/>
                <w:sz w:val="18"/>
                <w:szCs w:val="18"/>
              </w:rPr>
              <w:t xml:space="preserve">Set to </w:t>
            </w:r>
            <w:r w:rsidR="00612F14" w:rsidRPr="00741B55">
              <w:rPr>
                <w:bCs/>
                <w:color w:val="FF0000"/>
                <w:sz w:val="18"/>
                <w:szCs w:val="18"/>
              </w:rPr>
              <w:t>0</w:t>
            </w:r>
            <w:r w:rsidRPr="00741B55">
              <w:rPr>
                <w:bCs/>
                <w:color w:val="FF0000"/>
                <w:sz w:val="18"/>
                <w:szCs w:val="18"/>
              </w:rPr>
              <w:t xml:space="preserve">1: </w:t>
            </w:r>
            <w:r w:rsidR="00E471CF" w:rsidRPr="00741B55">
              <w:rPr>
                <w:bCs/>
                <w:color w:val="FF0000"/>
                <w:sz w:val="18"/>
                <w:szCs w:val="18"/>
              </w:rPr>
              <w:t>r</w:t>
            </w:r>
            <w:r w:rsidR="00B14543" w:rsidRPr="00741B55">
              <w:rPr>
                <w:bCs/>
                <w:color w:val="FF0000"/>
                <w:sz w:val="18"/>
                <w:szCs w:val="18"/>
              </w:rPr>
              <w:t>obust</w:t>
            </w:r>
            <w:r w:rsidR="00E471CF" w:rsidRPr="00741B55">
              <w:rPr>
                <w:bCs/>
                <w:color w:val="FF0000"/>
                <w:sz w:val="18"/>
                <w:szCs w:val="18"/>
              </w:rPr>
              <w:t xml:space="preserve"> PHY mode 0</w:t>
            </w:r>
          </w:p>
          <w:p w:rsidR="00262918" w:rsidRPr="00741B55" w:rsidRDefault="00612F14" w:rsidP="00B14543">
            <w:pPr>
              <w:pStyle w:val="SP13127014"/>
              <w:spacing w:before="240" w:after="240"/>
              <w:rPr>
                <w:bCs/>
                <w:color w:val="FF0000"/>
                <w:sz w:val="18"/>
                <w:szCs w:val="18"/>
              </w:rPr>
            </w:pPr>
            <w:r w:rsidRPr="00741B55">
              <w:rPr>
                <w:bCs/>
                <w:color w:val="FF0000"/>
                <w:sz w:val="18"/>
                <w:szCs w:val="18"/>
              </w:rPr>
              <w:t>Set to 10</w:t>
            </w:r>
            <w:r w:rsidR="00262918" w:rsidRPr="00741B55">
              <w:rPr>
                <w:bCs/>
                <w:color w:val="FF0000"/>
                <w:sz w:val="18"/>
                <w:szCs w:val="18"/>
              </w:rPr>
              <w:t xml:space="preserve">: </w:t>
            </w:r>
            <w:r w:rsidR="00517290" w:rsidRPr="00741B55">
              <w:rPr>
                <w:bCs/>
                <w:color w:val="FF0000"/>
                <w:sz w:val="18"/>
                <w:szCs w:val="18"/>
              </w:rPr>
              <w:t>robust</w:t>
            </w:r>
            <w:r w:rsidR="00B14543" w:rsidRPr="00741B55">
              <w:rPr>
                <w:bCs/>
                <w:color w:val="FF0000"/>
                <w:sz w:val="18"/>
                <w:szCs w:val="18"/>
              </w:rPr>
              <w:t xml:space="preserve"> </w:t>
            </w:r>
            <w:r w:rsidR="00262918" w:rsidRPr="00741B55">
              <w:rPr>
                <w:bCs/>
                <w:color w:val="FF0000"/>
                <w:sz w:val="18"/>
                <w:szCs w:val="18"/>
              </w:rPr>
              <w:t xml:space="preserve">PHY </w:t>
            </w:r>
            <w:r w:rsidR="00E471CF" w:rsidRPr="00741B55">
              <w:rPr>
                <w:bCs/>
                <w:color w:val="FF0000"/>
                <w:sz w:val="18"/>
                <w:szCs w:val="18"/>
              </w:rPr>
              <w:t>mode 1</w:t>
            </w:r>
          </w:p>
          <w:p w:rsidR="00380D95" w:rsidRPr="00741B55" w:rsidRDefault="00612F14" w:rsidP="00B14543">
            <w:pPr>
              <w:pStyle w:val="SP13127014"/>
              <w:spacing w:before="240" w:after="240"/>
              <w:rPr>
                <w:bCs/>
                <w:color w:val="FF0000"/>
                <w:sz w:val="18"/>
                <w:szCs w:val="18"/>
              </w:rPr>
            </w:pPr>
            <w:r w:rsidRPr="00741B55">
              <w:rPr>
                <w:bCs/>
                <w:color w:val="FF0000"/>
                <w:sz w:val="18"/>
                <w:szCs w:val="18"/>
              </w:rPr>
              <w:t>Set to 11</w:t>
            </w:r>
            <w:r w:rsidR="00262918" w:rsidRPr="00741B55">
              <w:rPr>
                <w:bCs/>
                <w:color w:val="FF0000"/>
                <w:sz w:val="18"/>
                <w:szCs w:val="18"/>
              </w:rPr>
              <w:t>: Reserved</w:t>
            </w:r>
          </w:p>
        </w:tc>
      </w:tr>
    </w:tbl>
    <w:p w:rsidR="009E5705" w:rsidRDefault="009E5705" w:rsidP="00BF3EDF">
      <w:pPr>
        <w:pStyle w:val="SP13127014"/>
        <w:spacing w:before="240" w:after="240"/>
        <w:rPr>
          <w:rStyle w:val="SC13237574"/>
        </w:rPr>
      </w:pPr>
    </w:p>
    <w:p w:rsidR="00BF3EDF" w:rsidRDefault="00BF3EDF" w:rsidP="00BF3EDF">
      <w:pPr>
        <w:pStyle w:val="SP13127014"/>
        <w:spacing w:before="240" w:after="240"/>
        <w:rPr>
          <w:color w:val="000000"/>
          <w:sz w:val="20"/>
          <w:szCs w:val="20"/>
        </w:rPr>
      </w:pPr>
      <w:r>
        <w:rPr>
          <w:rStyle w:val="SC13237574"/>
        </w:rPr>
        <w:t>25.6.1 Introduction</w:t>
      </w:r>
    </w:p>
    <w:p w:rsidR="00BF3EDF" w:rsidRPr="00F16E0D" w:rsidRDefault="00BF3EDF" w:rsidP="00BF3EDF">
      <w:pPr>
        <w:pStyle w:val="SP13126984"/>
        <w:spacing w:before="240"/>
        <w:jc w:val="both"/>
        <w:rPr>
          <w:color w:val="FF0000"/>
          <w:sz w:val="20"/>
          <w:szCs w:val="20"/>
        </w:rPr>
      </w:pPr>
      <w:r w:rsidRPr="00F16E0D">
        <w:rPr>
          <w:rStyle w:val="SC13237574"/>
          <w:rFonts w:ascii="Times New Roman" w:hAnsi="Times New Roman" w:cs="Times New Roman"/>
          <w:b w:val="0"/>
          <w:bCs w:val="0"/>
          <w:color w:val="FF0000"/>
        </w:rPr>
        <w:lastRenderedPageBreak/>
        <w:t>Transmission and reception of SC PHY PPDUs is mandatory for CDMG-MCS 1-9</w:t>
      </w:r>
      <w:r w:rsidR="00E471CF">
        <w:rPr>
          <w:rStyle w:val="SC13237574"/>
          <w:rFonts w:ascii="Times New Roman" w:hAnsi="Times New Roman" w:cs="Times New Roman"/>
          <w:b w:val="0"/>
          <w:bCs w:val="0"/>
          <w:color w:val="FF0000"/>
        </w:rPr>
        <w:t xml:space="preserve"> and robust PHY mode 0-1</w:t>
      </w:r>
      <w:r w:rsidRPr="00F16E0D">
        <w:rPr>
          <w:rStyle w:val="SC13237574"/>
          <w:rFonts w:ascii="Times New Roman" w:hAnsi="Times New Roman" w:cs="Times New Roman"/>
          <w:b w:val="0"/>
          <w:bCs w:val="0"/>
          <w:color w:val="FF0000"/>
        </w:rPr>
        <w:t xml:space="preserve">, and optional for CDMG-MCS 10-16. </w:t>
      </w:r>
    </w:p>
    <w:p w:rsidR="00BF3EDF" w:rsidRDefault="00BF3EDF" w:rsidP="00BF3EDF">
      <w:pPr>
        <w:pStyle w:val="SP13127014"/>
        <w:spacing w:before="240" w:after="240"/>
        <w:rPr>
          <w:color w:val="000000"/>
          <w:sz w:val="20"/>
          <w:szCs w:val="20"/>
        </w:rPr>
      </w:pPr>
      <w:r>
        <w:rPr>
          <w:rStyle w:val="SC13237574"/>
        </w:rPr>
        <w:t>25.6.2 Frame format</w:t>
      </w:r>
    </w:p>
    <w:p w:rsidR="00BF3EDF" w:rsidRDefault="00BF3EDF" w:rsidP="00BF3EDF">
      <w:pPr>
        <w:rPr>
          <w:rStyle w:val="SC13237574"/>
        </w:rPr>
      </w:pPr>
      <w:r>
        <w:rPr>
          <w:rStyle w:val="SC13237574"/>
          <w:b w:val="0"/>
          <w:bCs w:val="0"/>
        </w:rPr>
        <w:t>The SC frame is composed of the Short Training Field (STF), the channel estimation field (CE), the Header, SC blocks and optional training fields, as shown in Figure 25-10.</w:t>
      </w:r>
      <w:r>
        <w:rPr>
          <w:rStyle w:val="SC13237574"/>
        </w:rPr>
        <w:t>Figure 25-10—SC frame format</w:t>
      </w:r>
    </w:p>
    <w:p w:rsidR="007C17B9" w:rsidRDefault="007C17B9" w:rsidP="00BF3EDF">
      <w:pPr>
        <w:rPr>
          <w:rStyle w:val="SC13237574"/>
        </w:rPr>
      </w:pPr>
    </w:p>
    <w:p w:rsidR="007C17B9" w:rsidRDefault="007C17B9" w:rsidP="00BF3EDF">
      <w:pPr>
        <w:rPr>
          <w:rStyle w:val="SC13237574"/>
        </w:rPr>
      </w:pPr>
      <w:r>
        <w:rPr>
          <w:b/>
          <w:bCs/>
          <w:noProof/>
          <w:color w:val="000000"/>
          <w:sz w:val="20"/>
          <w:lang w:val="en-US" w:eastAsia="zh-CN"/>
        </w:rPr>
        <w:drawing>
          <wp:inline distT="0" distB="0" distL="0" distR="0">
            <wp:extent cx="5943600" cy="84765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7B9" w:rsidRDefault="007C17B9" w:rsidP="00BF3EDF">
      <w:pPr>
        <w:rPr>
          <w:rStyle w:val="SC13237574"/>
        </w:rPr>
      </w:pPr>
    </w:p>
    <w:p w:rsidR="00952F61" w:rsidRDefault="00952F61" w:rsidP="00BF3EDF">
      <w:pPr>
        <w:rPr>
          <w:rStyle w:val="SC13237574"/>
          <w:b w:val="0"/>
        </w:rPr>
      </w:pPr>
      <w:r>
        <w:rPr>
          <w:rStyle w:val="SC13237574"/>
          <w:b w:val="0"/>
        </w:rPr>
        <w:t>Insert the following paragraph:</w:t>
      </w:r>
    </w:p>
    <w:p w:rsidR="00952F61" w:rsidRDefault="00952F61" w:rsidP="00BF3EDF">
      <w:pPr>
        <w:rPr>
          <w:rStyle w:val="SC13237574"/>
          <w:b w:val="0"/>
        </w:rPr>
      </w:pPr>
    </w:p>
    <w:p w:rsidR="009E5705" w:rsidRPr="009E5705" w:rsidRDefault="007C17B9" w:rsidP="009E5705">
      <w:pPr>
        <w:rPr>
          <w:rStyle w:val="SC13237574"/>
          <w:b w:val="0"/>
          <w:color w:val="FF0000"/>
        </w:rPr>
      </w:pPr>
      <w:r w:rsidRPr="00F16E0D">
        <w:rPr>
          <w:rStyle w:val="SC13237574"/>
          <w:b w:val="0"/>
          <w:color w:val="FF0000"/>
        </w:rPr>
        <w:t xml:space="preserve">The </w:t>
      </w:r>
      <w:r w:rsidRPr="00F16E0D">
        <w:rPr>
          <w:rStyle w:val="SC13237574"/>
          <w:b w:val="0"/>
          <w:bCs w:val="0"/>
          <w:color w:val="FF0000"/>
        </w:rPr>
        <w:t>robust</w:t>
      </w:r>
      <w:r w:rsidR="005D12D2">
        <w:rPr>
          <w:rStyle w:val="SC13237574"/>
          <w:b w:val="0"/>
          <w:color w:val="FF0000"/>
        </w:rPr>
        <w:t xml:space="preserve"> PHY</w:t>
      </w:r>
      <w:r w:rsidRPr="00F16E0D">
        <w:rPr>
          <w:rStyle w:val="SC13237574"/>
          <w:b w:val="0"/>
          <w:color w:val="FF0000"/>
        </w:rPr>
        <w:t xml:space="preserve"> mode</w:t>
      </w:r>
      <w:r w:rsidR="00BE7C84">
        <w:rPr>
          <w:rStyle w:val="SC13237574"/>
          <w:b w:val="0"/>
          <w:color w:val="FF0000"/>
        </w:rPr>
        <w:t>s use</w:t>
      </w:r>
      <w:r w:rsidRPr="00F16E0D">
        <w:rPr>
          <w:rStyle w:val="SC13237574"/>
          <w:b w:val="0"/>
          <w:color w:val="FF0000"/>
        </w:rPr>
        <w:t xml:space="preserve"> the CDMG CTRL PHY </w:t>
      </w:r>
      <w:r w:rsidR="00BE7C84">
        <w:rPr>
          <w:rStyle w:val="SC13237574"/>
          <w:b w:val="0"/>
          <w:color w:val="FF0000"/>
        </w:rPr>
        <w:t>f</w:t>
      </w:r>
      <w:r w:rsidRPr="00F16E0D">
        <w:rPr>
          <w:rStyle w:val="SC13237574"/>
          <w:b w:val="0"/>
          <w:color w:val="FF0000"/>
        </w:rPr>
        <w:t xml:space="preserve">ormat with </w:t>
      </w:r>
      <w:r w:rsidR="009E5705">
        <w:rPr>
          <w:rStyle w:val="SC13237574"/>
          <w:b w:val="0"/>
          <w:color w:val="FF0000"/>
        </w:rPr>
        <w:t>short</w:t>
      </w:r>
      <w:r w:rsidRPr="00F16E0D">
        <w:rPr>
          <w:rStyle w:val="SC13237574"/>
          <w:b w:val="0"/>
          <w:color w:val="FF0000"/>
        </w:rPr>
        <w:t xml:space="preserve"> spreading </w:t>
      </w:r>
      <w:r w:rsidR="009E5705">
        <w:rPr>
          <w:rStyle w:val="SC13237574"/>
          <w:b w:val="0"/>
          <w:color w:val="FF0000"/>
        </w:rPr>
        <w:t>sequences</w:t>
      </w:r>
      <w:r w:rsidR="00952F61" w:rsidRPr="00F16E0D">
        <w:rPr>
          <w:rStyle w:val="SC13237574"/>
          <w:b w:val="0"/>
          <w:color w:val="FF0000"/>
        </w:rPr>
        <w:t xml:space="preserve"> </w:t>
      </w:r>
      <w:r w:rsidR="009E5705">
        <w:rPr>
          <w:rStyle w:val="SC13237574"/>
          <w:b w:val="0"/>
          <w:color w:val="FF0000"/>
        </w:rPr>
        <w:t>for</w:t>
      </w:r>
      <w:r w:rsidR="00952F61" w:rsidRPr="00F16E0D">
        <w:rPr>
          <w:rStyle w:val="SC13237574"/>
          <w:b w:val="0"/>
          <w:color w:val="FF0000"/>
        </w:rPr>
        <w:t xml:space="preserve"> the data</w:t>
      </w:r>
      <w:r w:rsidRPr="00F16E0D">
        <w:rPr>
          <w:rStyle w:val="SC13237574"/>
          <w:b w:val="0"/>
          <w:color w:val="FF0000"/>
        </w:rPr>
        <w:t xml:space="preserve">. </w:t>
      </w:r>
      <w:r w:rsidR="005B04F3">
        <w:rPr>
          <w:rStyle w:val="SC13237574"/>
          <w:b w:val="0"/>
          <w:color w:val="FF0000"/>
        </w:rPr>
        <w:t xml:space="preserve">The following </w:t>
      </w:r>
      <w:r w:rsidR="009E5705" w:rsidRPr="009E5705">
        <w:rPr>
          <w:rStyle w:val="SC13237574"/>
          <w:b w:val="0"/>
          <w:color w:val="FF0000"/>
        </w:rPr>
        <w:t>Golay complementary sequences</w:t>
      </w:r>
      <w:r w:rsidR="009E5705">
        <w:rPr>
          <w:rStyle w:val="SC13237574"/>
          <w:b w:val="0"/>
          <w:color w:val="FF0000"/>
        </w:rPr>
        <w:t xml:space="preserve"> </w:t>
      </w:r>
      <w:proofErr w:type="spellStart"/>
      <w:proofErr w:type="gramStart"/>
      <w:r w:rsidR="009E5705">
        <w:rPr>
          <w:rStyle w:val="SC13237574"/>
          <w:b w:val="0"/>
          <w:color w:val="FF0000"/>
        </w:rPr>
        <w:t>Ga</w:t>
      </w:r>
      <w:proofErr w:type="spellEnd"/>
      <w:r w:rsidR="009E5705">
        <w:rPr>
          <w:rStyle w:val="SC13237574"/>
          <w:b w:val="0"/>
          <w:color w:val="FF0000"/>
        </w:rPr>
        <w:t>(</w:t>
      </w:r>
      <w:proofErr w:type="gramEnd"/>
      <w:r w:rsidR="009E5705">
        <w:rPr>
          <w:rStyle w:val="SC13237574"/>
          <w:b w:val="0"/>
          <w:color w:val="FF0000"/>
        </w:rPr>
        <w:t xml:space="preserve">8) and </w:t>
      </w:r>
      <w:proofErr w:type="spellStart"/>
      <w:r w:rsidR="009E5705">
        <w:rPr>
          <w:rStyle w:val="SC13237574"/>
          <w:b w:val="0"/>
          <w:color w:val="FF0000"/>
        </w:rPr>
        <w:t>Ga</w:t>
      </w:r>
      <w:proofErr w:type="spellEnd"/>
      <w:r w:rsidR="009E5705">
        <w:rPr>
          <w:rStyle w:val="SC13237574"/>
          <w:b w:val="0"/>
          <w:color w:val="FF0000"/>
        </w:rPr>
        <w:t xml:space="preserve">(4) are used as spreading sequences for </w:t>
      </w:r>
      <w:r w:rsidR="005D12D2">
        <w:rPr>
          <w:rStyle w:val="SC13237574"/>
          <w:b w:val="0"/>
          <w:color w:val="FF0000"/>
        </w:rPr>
        <w:t>robust PHY mode 0 and 1 r</w:t>
      </w:r>
      <w:r w:rsidR="009E5705">
        <w:rPr>
          <w:rStyle w:val="SC13237574"/>
          <w:b w:val="0"/>
          <w:color w:val="FF0000"/>
        </w:rPr>
        <w:t>espectively.</w:t>
      </w:r>
    </w:p>
    <w:p w:rsidR="009E5705" w:rsidRDefault="009E5705" w:rsidP="009E5705">
      <w:pPr>
        <w:rPr>
          <w:rStyle w:val="SC13237574"/>
          <w:b w:val="0"/>
          <w:color w:val="FF0000"/>
        </w:rPr>
      </w:pPr>
    </w:p>
    <w:p w:rsidR="009E5705" w:rsidRPr="009E5705" w:rsidRDefault="009E5705" w:rsidP="009E5705">
      <w:pPr>
        <w:ind w:firstLine="720"/>
        <w:rPr>
          <w:rStyle w:val="SC13237574"/>
          <w:b w:val="0"/>
          <w:color w:val="FF0000"/>
        </w:rPr>
      </w:pPr>
      <w:proofErr w:type="spellStart"/>
      <w:proofErr w:type="gramStart"/>
      <w:r w:rsidRPr="009E5705">
        <w:rPr>
          <w:rStyle w:val="SC13237574"/>
          <w:b w:val="0"/>
          <w:color w:val="FF0000"/>
        </w:rPr>
        <w:t>Ga</w:t>
      </w:r>
      <w:proofErr w:type="spellEnd"/>
      <w:r w:rsidRPr="009E5705">
        <w:rPr>
          <w:rStyle w:val="SC13237574"/>
          <w:b w:val="0"/>
          <w:color w:val="FF0000"/>
        </w:rPr>
        <w:t>(</w:t>
      </w:r>
      <w:proofErr w:type="gramEnd"/>
      <w:r w:rsidRPr="009E5705">
        <w:rPr>
          <w:rStyle w:val="SC13237574"/>
          <w:b w:val="0"/>
          <w:color w:val="FF0000"/>
        </w:rPr>
        <w:t>8)=(+1, +1, +1, −1, +1, +1, −1, +1)</w:t>
      </w:r>
    </w:p>
    <w:p w:rsidR="007C17B9" w:rsidRPr="00F16E0D" w:rsidRDefault="009E5705" w:rsidP="009E5705">
      <w:pPr>
        <w:ind w:firstLine="720"/>
        <w:rPr>
          <w:rStyle w:val="SC13237574"/>
          <w:b w:val="0"/>
          <w:color w:val="FF0000"/>
        </w:rPr>
      </w:pPr>
      <w:proofErr w:type="spellStart"/>
      <w:proofErr w:type="gramStart"/>
      <w:r w:rsidRPr="009E5705">
        <w:rPr>
          <w:rStyle w:val="SC13237574"/>
          <w:b w:val="0"/>
          <w:color w:val="FF0000"/>
        </w:rPr>
        <w:t>Ga</w:t>
      </w:r>
      <w:proofErr w:type="spellEnd"/>
      <w:r>
        <w:rPr>
          <w:rStyle w:val="SC13237574"/>
          <w:b w:val="0"/>
          <w:color w:val="FF0000"/>
        </w:rPr>
        <w:t>(</w:t>
      </w:r>
      <w:proofErr w:type="gramEnd"/>
      <w:r w:rsidRPr="009E5705">
        <w:rPr>
          <w:rStyle w:val="SC13237574"/>
          <w:b w:val="0"/>
          <w:color w:val="FF0000"/>
        </w:rPr>
        <w:t>4</w:t>
      </w:r>
      <w:r>
        <w:rPr>
          <w:rStyle w:val="SC13237574"/>
          <w:b w:val="0"/>
          <w:color w:val="FF0000"/>
        </w:rPr>
        <w:t>)</w:t>
      </w:r>
      <w:r w:rsidRPr="009E5705">
        <w:rPr>
          <w:rStyle w:val="SC13237574"/>
          <w:b w:val="0"/>
          <w:color w:val="FF0000"/>
        </w:rPr>
        <w:t>=(+1, +1, +1, −1)</w:t>
      </w:r>
    </w:p>
    <w:p w:rsidR="007C17B9" w:rsidRPr="00F16E0D" w:rsidRDefault="007C17B9" w:rsidP="00BF3EDF">
      <w:pPr>
        <w:rPr>
          <w:rStyle w:val="SC13237574"/>
          <w:b w:val="0"/>
          <w:color w:val="FF0000"/>
        </w:rPr>
      </w:pPr>
    </w:p>
    <w:p w:rsidR="007C17B9" w:rsidRPr="00F16E0D" w:rsidRDefault="009E5705" w:rsidP="00371056">
      <w:pPr>
        <w:jc w:val="center"/>
        <w:rPr>
          <w:b/>
          <w:color w:val="FF0000"/>
          <w:sz w:val="18"/>
          <w:szCs w:val="18"/>
          <w:lang w:eastAsia="ko-KR"/>
        </w:rPr>
      </w:pPr>
      <w:proofErr w:type="gramStart"/>
      <w:r>
        <w:rPr>
          <w:b/>
          <w:color w:val="FF0000"/>
          <w:sz w:val="18"/>
          <w:szCs w:val="18"/>
          <w:lang w:eastAsia="ko-KR"/>
        </w:rPr>
        <w:t xml:space="preserve">Table </w:t>
      </w:r>
      <w:r w:rsidR="00BE7C84">
        <w:rPr>
          <w:b/>
          <w:color w:val="FF0000"/>
          <w:sz w:val="18"/>
          <w:szCs w:val="18"/>
          <w:lang w:eastAsia="ko-KR"/>
        </w:rPr>
        <w:t>25.6.</w:t>
      </w:r>
      <w:r w:rsidR="00371056">
        <w:rPr>
          <w:b/>
          <w:color w:val="FF0000"/>
          <w:sz w:val="18"/>
          <w:szCs w:val="18"/>
          <w:lang w:eastAsia="ko-KR"/>
        </w:rPr>
        <w:t>2.</w:t>
      </w:r>
      <w:proofErr w:type="gramEnd"/>
      <w:r w:rsidR="00371056">
        <w:rPr>
          <w:b/>
          <w:color w:val="FF0000"/>
          <w:sz w:val="18"/>
          <w:szCs w:val="18"/>
          <w:lang w:eastAsia="ko-KR"/>
        </w:rPr>
        <w:t xml:space="preserve"> CDMG robust PHY modes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952F61" w:rsidRPr="00F16E0D" w:rsidTr="00952F61">
        <w:tc>
          <w:tcPr>
            <w:tcW w:w="1915" w:type="dxa"/>
          </w:tcPr>
          <w:p w:rsidR="00952F61" w:rsidRPr="00F16E0D" w:rsidRDefault="00952F61" w:rsidP="003E300F">
            <w:pPr>
              <w:jc w:val="center"/>
              <w:rPr>
                <w:b/>
                <w:color w:val="FF0000"/>
                <w:sz w:val="18"/>
                <w:szCs w:val="18"/>
                <w:lang w:eastAsia="ko-KR"/>
              </w:rPr>
            </w:pPr>
            <w:r w:rsidRPr="00F16E0D">
              <w:rPr>
                <w:b/>
                <w:color w:val="FF0000"/>
                <w:sz w:val="18"/>
                <w:szCs w:val="18"/>
                <w:lang w:eastAsia="ko-KR"/>
              </w:rPr>
              <w:t>CDMG-</w:t>
            </w:r>
            <w:r w:rsidR="00E471CF">
              <w:rPr>
                <w:b/>
                <w:color w:val="FF0000"/>
                <w:sz w:val="18"/>
                <w:szCs w:val="18"/>
                <w:lang w:eastAsia="ko-KR"/>
              </w:rPr>
              <w:t>Robust Mode</w:t>
            </w:r>
          </w:p>
        </w:tc>
        <w:tc>
          <w:tcPr>
            <w:tcW w:w="1915" w:type="dxa"/>
          </w:tcPr>
          <w:p w:rsidR="00952F61" w:rsidRPr="00F16E0D" w:rsidRDefault="00952F61" w:rsidP="00F16E0D">
            <w:pPr>
              <w:jc w:val="center"/>
              <w:rPr>
                <w:b/>
                <w:color w:val="FF0000"/>
                <w:sz w:val="18"/>
                <w:szCs w:val="18"/>
                <w:lang w:eastAsia="ko-KR"/>
              </w:rPr>
            </w:pPr>
            <w:r w:rsidRPr="00F16E0D">
              <w:rPr>
                <w:b/>
                <w:color w:val="FF0000"/>
                <w:sz w:val="18"/>
                <w:szCs w:val="18"/>
                <w:lang w:eastAsia="ko-KR"/>
              </w:rPr>
              <w:t>Modulation</w:t>
            </w:r>
          </w:p>
        </w:tc>
        <w:tc>
          <w:tcPr>
            <w:tcW w:w="1915" w:type="dxa"/>
          </w:tcPr>
          <w:p w:rsidR="00952F61" w:rsidRPr="00F16E0D" w:rsidRDefault="00952F61" w:rsidP="00F16E0D">
            <w:pPr>
              <w:jc w:val="center"/>
              <w:rPr>
                <w:b/>
                <w:color w:val="FF0000"/>
                <w:sz w:val="18"/>
                <w:szCs w:val="18"/>
                <w:lang w:eastAsia="ko-KR"/>
              </w:rPr>
            </w:pPr>
            <w:r w:rsidRPr="00F16E0D">
              <w:rPr>
                <w:b/>
                <w:color w:val="FF0000"/>
                <w:sz w:val="18"/>
                <w:szCs w:val="18"/>
                <w:lang w:eastAsia="ko-KR"/>
              </w:rPr>
              <w:t>Code rate</w:t>
            </w:r>
          </w:p>
        </w:tc>
        <w:tc>
          <w:tcPr>
            <w:tcW w:w="1915" w:type="dxa"/>
          </w:tcPr>
          <w:p w:rsidR="00952F61" w:rsidRPr="00F16E0D" w:rsidRDefault="00952F61" w:rsidP="005B04F3">
            <w:pPr>
              <w:jc w:val="center"/>
              <w:rPr>
                <w:b/>
                <w:color w:val="FF0000"/>
                <w:sz w:val="18"/>
                <w:szCs w:val="18"/>
                <w:lang w:eastAsia="ko-KR"/>
              </w:rPr>
            </w:pPr>
            <w:r w:rsidRPr="00F16E0D">
              <w:rPr>
                <w:b/>
                <w:color w:val="FF0000"/>
                <w:sz w:val="18"/>
                <w:szCs w:val="18"/>
                <w:lang w:eastAsia="ko-KR"/>
              </w:rPr>
              <w:t xml:space="preserve">Spreading </w:t>
            </w:r>
            <w:r w:rsidR="005B04F3">
              <w:rPr>
                <w:b/>
                <w:color w:val="FF0000"/>
                <w:sz w:val="18"/>
                <w:szCs w:val="18"/>
                <w:lang w:eastAsia="ko-KR"/>
              </w:rPr>
              <w:t>sequence</w:t>
            </w:r>
          </w:p>
        </w:tc>
        <w:tc>
          <w:tcPr>
            <w:tcW w:w="1916" w:type="dxa"/>
          </w:tcPr>
          <w:p w:rsidR="00952F61" w:rsidRPr="00F16E0D" w:rsidRDefault="00952F61" w:rsidP="00F16E0D">
            <w:pPr>
              <w:jc w:val="center"/>
              <w:rPr>
                <w:b/>
                <w:color w:val="FF0000"/>
                <w:sz w:val="18"/>
                <w:szCs w:val="18"/>
                <w:lang w:eastAsia="ko-KR"/>
              </w:rPr>
            </w:pPr>
            <w:r w:rsidRPr="00F16E0D">
              <w:rPr>
                <w:b/>
                <w:color w:val="FF0000"/>
                <w:sz w:val="18"/>
                <w:szCs w:val="18"/>
                <w:lang w:eastAsia="ko-KR"/>
              </w:rPr>
              <w:t>Data rate</w:t>
            </w:r>
          </w:p>
        </w:tc>
      </w:tr>
      <w:tr w:rsidR="00952F61" w:rsidRPr="00F16E0D" w:rsidTr="00952F61">
        <w:tc>
          <w:tcPr>
            <w:tcW w:w="1915" w:type="dxa"/>
          </w:tcPr>
          <w:p w:rsidR="00952F61" w:rsidRPr="00F16E0D" w:rsidRDefault="00E471CF" w:rsidP="00F16E0D">
            <w:pPr>
              <w:jc w:val="center"/>
              <w:rPr>
                <w:b/>
                <w:color w:val="FF0000"/>
                <w:sz w:val="18"/>
                <w:szCs w:val="18"/>
                <w:lang w:eastAsia="ko-KR"/>
              </w:rPr>
            </w:pPr>
            <w:r>
              <w:rPr>
                <w:b/>
                <w:color w:val="FF0000"/>
                <w:sz w:val="18"/>
                <w:szCs w:val="18"/>
                <w:lang w:eastAsia="ko-KR"/>
              </w:rPr>
              <w:t>0</w:t>
            </w:r>
          </w:p>
        </w:tc>
        <w:tc>
          <w:tcPr>
            <w:tcW w:w="1915" w:type="dxa"/>
          </w:tcPr>
          <w:p w:rsidR="00952F61" w:rsidRPr="00F16E0D" w:rsidRDefault="00952F61" w:rsidP="00F16E0D">
            <w:pPr>
              <w:jc w:val="center"/>
              <w:rPr>
                <w:b/>
                <w:color w:val="FF0000"/>
                <w:sz w:val="18"/>
                <w:szCs w:val="18"/>
                <w:lang w:eastAsia="ko-KR"/>
              </w:rPr>
            </w:pPr>
            <w:r w:rsidRPr="00F16E0D">
              <w:rPr>
                <w:b/>
                <w:color w:val="FF0000"/>
                <w:sz w:val="18"/>
                <w:szCs w:val="18"/>
                <w:lang w:eastAsia="ko-KR"/>
              </w:rPr>
              <w:t>DBPSK</w:t>
            </w:r>
          </w:p>
        </w:tc>
        <w:tc>
          <w:tcPr>
            <w:tcW w:w="1915" w:type="dxa"/>
          </w:tcPr>
          <w:p w:rsidR="00952F61" w:rsidRPr="00F16E0D" w:rsidRDefault="00952F61" w:rsidP="00F16E0D">
            <w:pPr>
              <w:jc w:val="center"/>
              <w:rPr>
                <w:b/>
                <w:color w:val="FF0000"/>
                <w:sz w:val="18"/>
                <w:szCs w:val="18"/>
                <w:lang w:eastAsia="ko-KR"/>
              </w:rPr>
            </w:pPr>
            <w:r w:rsidRPr="00F16E0D">
              <w:rPr>
                <w:b/>
                <w:color w:val="FF0000"/>
                <w:sz w:val="18"/>
                <w:szCs w:val="18"/>
                <w:lang w:eastAsia="ko-KR"/>
              </w:rPr>
              <w:t>1/2</w:t>
            </w:r>
          </w:p>
        </w:tc>
        <w:tc>
          <w:tcPr>
            <w:tcW w:w="1915" w:type="dxa"/>
          </w:tcPr>
          <w:p w:rsidR="00952F61" w:rsidRPr="00F16E0D" w:rsidRDefault="005B04F3" w:rsidP="00F16E0D">
            <w:pPr>
              <w:jc w:val="center"/>
              <w:rPr>
                <w:b/>
                <w:color w:val="FF0000"/>
                <w:sz w:val="18"/>
                <w:szCs w:val="18"/>
                <w:lang w:eastAsia="ko-KR"/>
              </w:rPr>
            </w:pPr>
            <w:proofErr w:type="spellStart"/>
            <w:r>
              <w:rPr>
                <w:b/>
                <w:color w:val="FF0000"/>
                <w:sz w:val="18"/>
                <w:szCs w:val="18"/>
                <w:lang w:eastAsia="ko-KR"/>
              </w:rPr>
              <w:t>Ga</w:t>
            </w:r>
            <w:proofErr w:type="spellEnd"/>
            <w:r>
              <w:rPr>
                <w:b/>
                <w:color w:val="FF0000"/>
                <w:sz w:val="18"/>
                <w:szCs w:val="18"/>
                <w:lang w:eastAsia="ko-KR"/>
              </w:rPr>
              <w:t>(</w:t>
            </w:r>
            <w:r w:rsidR="00952F61" w:rsidRPr="00F16E0D">
              <w:rPr>
                <w:b/>
                <w:color w:val="FF0000"/>
                <w:sz w:val="18"/>
                <w:szCs w:val="18"/>
                <w:lang w:eastAsia="ko-KR"/>
              </w:rPr>
              <w:t>8</w:t>
            </w:r>
            <w:r>
              <w:rPr>
                <w:b/>
                <w:color w:val="FF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916" w:type="dxa"/>
          </w:tcPr>
          <w:p w:rsidR="00952F61" w:rsidRPr="00F16E0D" w:rsidRDefault="00952F61" w:rsidP="00F16E0D">
            <w:pPr>
              <w:jc w:val="center"/>
              <w:rPr>
                <w:b/>
                <w:color w:val="FF0000"/>
                <w:sz w:val="18"/>
                <w:szCs w:val="18"/>
                <w:lang w:eastAsia="ko-KR"/>
              </w:rPr>
            </w:pPr>
            <w:r w:rsidRPr="00F16E0D">
              <w:rPr>
                <w:b/>
                <w:color w:val="FF0000"/>
                <w:sz w:val="18"/>
                <w:szCs w:val="18"/>
                <w:lang w:eastAsia="ko-KR"/>
              </w:rPr>
              <w:t>108 Mbps</w:t>
            </w:r>
          </w:p>
        </w:tc>
      </w:tr>
      <w:tr w:rsidR="00952F61" w:rsidRPr="00F16E0D" w:rsidTr="00952F61">
        <w:tc>
          <w:tcPr>
            <w:tcW w:w="1915" w:type="dxa"/>
          </w:tcPr>
          <w:p w:rsidR="00952F61" w:rsidRPr="00F16E0D" w:rsidRDefault="00E471CF" w:rsidP="00F16E0D">
            <w:pPr>
              <w:jc w:val="center"/>
              <w:rPr>
                <w:b/>
                <w:color w:val="FF0000"/>
                <w:sz w:val="18"/>
                <w:szCs w:val="18"/>
                <w:lang w:eastAsia="ko-KR"/>
              </w:rPr>
            </w:pPr>
            <w:r>
              <w:rPr>
                <w:b/>
                <w:color w:val="FF0000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915" w:type="dxa"/>
          </w:tcPr>
          <w:p w:rsidR="00952F61" w:rsidRPr="00F16E0D" w:rsidRDefault="00952F61" w:rsidP="00F16E0D">
            <w:pPr>
              <w:jc w:val="center"/>
              <w:rPr>
                <w:b/>
                <w:color w:val="FF0000"/>
                <w:sz w:val="18"/>
                <w:szCs w:val="18"/>
                <w:lang w:eastAsia="ko-KR"/>
              </w:rPr>
            </w:pPr>
            <w:r w:rsidRPr="00F16E0D">
              <w:rPr>
                <w:b/>
                <w:color w:val="FF0000"/>
                <w:sz w:val="18"/>
                <w:szCs w:val="18"/>
                <w:lang w:eastAsia="ko-KR"/>
              </w:rPr>
              <w:t>DBPSK</w:t>
            </w:r>
          </w:p>
        </w:tc>
        <w:tc>
          <w:tcPr>
            <w:tcW w:w="1915" w:type="dxa"/>
          </w:tcPr>
          <w:p w:rsidR="00952F61" w:rsidRPr="00F16E0D" w:rsidRDefault="00952F61" w:rsidP="00F16E0D">
            <w:pPr>
              <w:jc w:val="center"/>
              <w:rPr>
                <w:b/>
                <w:color w:val="FF0000"/>
                <w:sz w:val="18"/>
                <w:szCs w:val="18"/>
                <w:lang w:eastAsia="ko-KR"/>
              </w:rPr>
            </w:pPr>
            <w:r w:rsidRPr="00F16E0D">
              <w:rPr>
                <w:b/>
                <w:color w:val="FF0000"/>
                <w:sz w:val="18"/>
                <w:szCs w:val="18"/>
                <w:lang w:eastAsia="ko-KR"/>
              </w:rPr>
              <w:t>1/2</w:t>
            </w:r>
          </w:p>
        </w:tc>
        <w:tc>
          <w:tcPr>
            <w:tcW w:w="1915" w:type="dxa"/>
          </w:tcPr>
          <w:p w:rsidR="00952F61" w:rsidRPr="00F16E0D" w:rsidRDefault="005B04F3" w:rsidP="00F16E0D">
            <w:pPr>
              <w:jc w:val="center"/>
              <w:rPr>
                <w:b/>
                <w:color w:val="FF0000"/>
                <w:sz w:val="18"/>
                <w:szCs w:val="18"/>
                <w:lang w:eastAsia="ko-KR"/>
              </w:rPr>
            </w:pPr>
            <w:proofErr w:type="spellStart"/>
            <w:r>
              <w:rPr>
                <w:b/>
                <w:color w:val="FF0000"/>
                <w:sz w:val="18"/>
                <w:szCs w:val="18"/>
                <w:lang w:eastAsia="ko-KR"/>
              </w:rPr>
              <w:t>Ga</w:t>
            </w:r>
            <w:proofErr w:type="spellEnd"/>
            <w:r>
              <w:rPr>
                <w:b/>
                <w:color w:val="FF0000"/>
                <w:sz w:val="18"/>
                <w:szCs w:val="18"/>
                <w:lang w:eastAsia="ko-KR"/>
              </w:rPr>
              <w:t>(</w:t>
            </w:r>
            <w:r w:rsidR="00952F61" w:rsidRPr="00F16E0D">
              <w:rPr>
                <w:b/>
                <w:color w:val="FF0000"/>
                <w:sz w:val="18"/>
                <w:szCs w:val="18"/>
                <w:lang w:eastAsia="ko-KR"/>
              </w:rPr>
              <w:t>4</w:t>
            </w:r>
            <w:r>
              <w:rPr>
                <w:b/>
                <w:color w:val="FF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916" w:type="dxa"/>
          </w:tcPr>
          <w:p w:rsidR="00952F61" w:rsidRPr="00F16E0D" w:rsidRDefault="00952F61" w:rsidP="00F16E0D">
            <w:pPr>
              <w:jc w:val="center"/>
              <w:rPr>
                <w:b/>
                <w:color w:val="FF0000"/>
                <w:sz w:val="18"/>
                <w:szCs w:val="18"/>
                <w:lang w:eastAsia="ko-KR"/>
              </w:rPr>
            </w:pPr>
            <w:r w:rsidRPr="00F16E0D">
              <w:rPr>
                <w:b/>
                <w:color w:val="FF0000"/>
                <w:sz w:val="18"/>
                <w:szCs w:val="18"/>
                <w:lang w:eastAsia="ko-KR"/>
              </w:rPr>
              <w:t>216 Mbps</w:t>
            </w:r>
          </w:p>
        </w:tc>
      </w:tr>
    </w:tbl>
    <w:p w:rsidR="007C17B9" w:rsidRDefault="007C17B9" w:rsidP="00BF3EDF">
      <w:pPr>
        <w:rPr>
          <w:b/>
          <w:color w:val="FF0000"/>
          <w:sz w:val="18"/>
          <w:szCs w:val="18"/>
          <w:lang w:eastAsia="ko-KR"/>
        </w:rPr>
      </w:pPr>
    </w:p>
    <w:p w:rsidR="009E5705" w:rsidRPr="00F16E0D" w:rsidRDefault="009E5705" w:rsidP="00BF3EDF">
      <w:pPr>
        <w:rPr>
          <w:b/>
          <w:color w:val="FF0000"/>
          <w:sz w:val="18"/>
          <w:szCs w:val="18"/>
          <w:lang w:eastAsia="ko-KR"/>
        </w:rPr>
      </w:pPr>
    </w:p>
    <w:sectPr w:rsidR="009E5705" w:rsidRPr="00F16E0D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D93" w:rsidRDefault="00262D93">
      <w:r>
        <w:separator/>
      </w:r>
    </w:p>
  </w:endnote>
  <w:endnote w:type="continuationSeparator" w:id="0">
    <w:p w:rsidR="00262D93" w:rsidRDefault="00262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5CE" w:rsidRDefault="00380D9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825CE">
        <w:t>Submission</w:t>
      </w:r>
    </w:fldSimple>
    <w:r w:rsidR="007825CE">
      <w:tab/>
      <w:t xml:space="preserve">page </w:t>
    </w:r>
    <w:r>
      <w:fldChar w:fldCharType="begin"/>
    </w:r>
    <w:r w:rsidR="007825CE">
      <w:instrText xml:space="preserve">page </w:instrText>
    </w:r>
    <w:r>
      <w:fldChar w:fldCharType="separate"/>
    </w:r>
    <w:r w:rsidR="00E66882">
      <w:rPr>
        <w:noProof/>
      </w:rPr>
      <w:t>1</w:t>
    </w:r>
    <w:r>
      <w:rPr>
        <w:noProof/>
      </w:rPr>
      <w:fldChar w:fldCharType="end"/>
    </w:r>
    <w:r w:rsidR="007825CE">
      <w:tab/>
    </w:r>
    <w:r w:rsidR="003150E2">
      <w:rPr>
        <w:lang w:eastAsia="ko-KR"/>
      </w:rPr>
      <w:t>Jianhan Liu</w:t>
    </w:r>
    <w:r w:rsidR="007825CE">
      <w:t xml:space="preserve">, </w:t>
    </w:r>
    <w:r w:rsidR="003150E2">
      <w:t>Mediatek</w:t>
    </w:r>
    <w:r w:rsidR="007825CE">
      <w:t xml:space="preserve"> Inc.</w:t>
    </w:r>
  </w:p>
  <w:p w:rsidR="007825CE" w:rsidRDefault="007825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D93" w:rsidRDefault="00262D93">
      <w:r>
        <w:separator/>
      </w:r>
    </w:p>
  </w:footnote>
  <w:footnote w:type="continuationSeparator" w:id="0">
    <w:p w:rsidR="00262D93" w:rsidRDefault="00262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5CE" w:rsidRDefault="007825CE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August </w:t>
    </w:r>
    <w:r>
      <w:t>201</w:t>
    </w:r>
    <w:r>
      <w:rPr>
        <w:lang w:eastAsia="ko-KR"/>
      </w:rPr>
      <w:t>4</w: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28BC7111"/>
    <w:multiLevelType w:val="hybridMultilevel"/>
    <w:tmpl w:val="8F3A3100"/>
    <w:lvl w:ilvl="0" w:tplc="EF565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3F887E0D"/>
    <w:multiLevelType w:val="hybridMultilevel"/>
    <w:tmpl w:val="4954876E"/>
    <w:lvl w:ilvl="0" w:tplc="F724CE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8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0"/>
    <w:lvlOverride w:ilvl="0">
      <w:lvl w:ilvl="0">
        <w:start w:val="1"/>
        <w:numFmt w:val="bullet"/>
        <w:lvlText w:val="8.6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8-2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9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9.2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2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9.2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40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9.2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9.3.2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9-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9.3.2.1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5"/>
  </w:num>
  <w:num w:numId="49">
    <w:abstractNumId w:val="3"/>
  </w:num>
  <w:num w:numId="5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terjadhi, Alfred">
    <w15:presenceInfo w15:providerId="AD" w15:userId="S-1-5-21-945540591-4024260831-3861152641-55108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4344"/>
    <w:rsid w:val="00024487"/>
    <w:rsid w:val="00027D05"/>
    <w:rsid w:val="000405C4"/>
    <w:rsid w:val="00052123"/>
    <w:rsid w:val="000640E8"/>
    <w:rsid w:val="00066B5B"/>
    <w:rsid w:val="0006732A"/>
    <w:rsid w:val="00073337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65AA"/>
    <w:rsid w:val="00086780"/>
    <w:rsid w:val="00090640"/>
    <w:rsid w:val="00092AC6"/>
    <w:rsid w:val="00094FFA"/>
    <w:rsid w:val="000C367F"/>
    <w:rsid w:val="000D174A"/>
    <w:rsid w:val="000D276A"/>
    <w:rsid w:val="000D2F1B"/>
    <w:rsid w:val="000D36B4"/>
    <w:rsid w:val="000D5EBD"/>
    <w:rsid w:val="000D674F"/>
    <w:rsid w:val="000E0494"/>
    <w:rsid w:val="000E1C37"/>
    <w:rsid w:val="000E1D7B"/>
    <w:rsid w:val="000E35A4"/>
    <w:rsid w:val="000E4B82"/>
    <w:rsid w:val="000E720C"/>
    <w:rsid w:val="000F4937"/>
    <w:rsid w:val="000F5088"/>
    <w:rsid w:val="000F685B"/>
    <w:rsid w:val="001015F8"/>
    <w:rsid w:val="00105918"/>
    <w:rsid w:val="001101C2"/>
    <w:rsid w:val="001109AA"/>
    <w:rsid w:val="00112C6A"/>
    <w:rsid w:val="00112EB5"/>
    <w:rsid w:val="00115A75"/>
    <w:rsid w:val="00120298"/>
    <w:rsid w:val="001215C0"/>
    <w:rsid w:val="00122D51"/>
    <w:rsid w:val="001275D7"/>
    <w:rsid w:val="00131307"/>
    <w:rsid w:val="00133371"/>
    <w:rsid w:val="00134114"/>
    <w:rsid w:val="00134A50"/>
    <w:rsid w:val="001351D5"/>
    <w:rsid w:val="0014363F"/>
    <w:rsid w:val="001448D8"/>
    <w:rsid w:val="001450BB"/>
    <w:rsid w:val="001459E7"/>
    <w:rsid w:val="00151BBE"/>
    <w:rsid w:val="00154B26"/>
    <w:rsid w:val="001559BB"/>
    <w:rsid w:val="001578DF"/>
    <w:rsid w:val="001609B5"/>
    <w:rsid w:val="00165BE6"/>
    <w:rsid w:val="00172DD9"/>
    <w:rsid w:val="001738FD"/>
    <w:rsid w:val="00175CDF"/>
    <w:rsid w:val="0017659B"/>
    <w:rsid w:val="001812B0"/>
    <w:rsid w:val="00181423"/>
    <w:rsid w:val="00183F4C"/>
    <w:rsid w:val="00184661"/>
    <w:rsid w:val="00187129"/>
    <w:rsid w:val="0019164F"/>
    <w:rsid w:val="00192C6E"/>
    <w:rsid w:val="00193C39"/>
    <w:rsid w:val="001943F7"/>
    <w:rsid w:val="001A0EDB"/>
    <w:rsid w:val="001A2240"/>
    <w:rsid w:val="001B252D"/>
    <w:rsid w:val="001B2904"/>
    <w:rsid w:val="001B5E3A"/>
    <w:rsid w:val="001B63BC"/>
    <w:rsid w:val="001C7CCE"/>
    <w:rsid w:val="001D15ED"/>
    <w:rsid w:val="001D328B"/>
    <w:rsid w:val="001D4A93"/>
    <w:rsid w:val="001D7948"/>
    <w:rsid w:val="001E0946"/>
    <w:rsid w:val="001E7C32"/>
    <w:rsid w:val="001F0210"/>
    <w:rsid w:val="001F10F7"/>
    <w:rsid w:val="001F13CA"/>
    <w:rsid w:val="001F283B"/>
    <w:rsid w:val="001F3DB9"/>
    <w:rsid w:val="001F491C"/>
    <w:rsid w:val="001F5C29"/>
    <w:rsid w:val="001F5D16"/>
    <w:rsid w:val="0020013A"/>
    <w:rsid w:val="0020462A"/>
    <w:rsid w:val="00210DDD"/>
    <w:rsid w:val="00214B50"/>
    <w:rsid w:val="002157A7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760F"/>
    <w:rsid w:val="00237985"/>
    <w:rsid w:val="00240895"/>
    <w:rsid w:val="00241AD7"/>
    <w:rsid w:val="00244678"/>
    <w:rsid w:val="002470AC"/>
    <w:rsid w:val="00252D47"/>
    <w:rsid w:val="00255A8B"/>
    <w:rsid w:val="00256E53"/>
    <w:rsid w:val="00262918"/>
    <w:rsid w:val="00262D93"/>
    <w:rsid w:val="00263092"/>
    <w:rsid w:val="002662A5"/>
    <w:rsid w:val="00273257"/>
    <w:rsid w:val="00281A5D"/>
    <w:rsid w:val="00282053"/>
    <w:rsid w:val="00284C5E"/>
    <w:rsid w:val="00291705"/>
    <w:rsid w:val="00291A10"/>
    <w:rsid w:val="00294B37"/>
    <w:rsid w:val="002A195C"/>
    <w:rsid w:val="002A4A61"/>
    <w:rsid w:val="002A4AA7"/>
    <w:rsid w:val="002A738B"/>
    <w:rsid w:val="002C6B4F"/>
    <w:rsid w:val="002C72E1"/>
    <w:rsid w:val="002D1D40"/>
    <w:rsid w:val="002D518F"/>
    <w:rsid w:val="002D7ED5"/>
    <w:rsid w:val="002E1B18"/>
    <w:rsid w:val="002E6FF6"/>
    <w:rsid w:val="002F25B2"/>
    <w:rsid w:val="002F2BC5"/>
    <w:rsid w:val="002F376B"/>
    <w:rsid w:val="002F5ABF"/>
    <w:rsid w:val="002F5C8C"/>
    <w:rsid w:val="002F7199"/>
    <w:rsid w:val="002F7D11"/>
    <w:rsid w:val="003024ED"/>
    <w:rsid w:val="00304F5C"/>
    <w:rsid w:val="00305D6E"/>
    <w:rsid w:val="003064F0"/>
    <w:rsid w:val="0030782E"/>
    <w:rsid w:val="00307F5F"/>
    <w:rsid w:val="003113E2"/>
    <w:rsid w:val="003150E2"/>
    <w:rsid w:val="00315934"/>
    <w:rsid w:val="003214E2"/>
    <w:rsid w:val="00323C54"/>
    <w:rsid w:val="00325AB6"/>
    <w:rsid w:val="003308A8"/>
    <w:rsid w:val="003449F9"/>
    <w:rsid w:val="00346266"/>
    <w:rsid w:val="003479E4"/>
    <w:rsid w:val="00347C43"/>
    <w:rsid w:val="0035682F"/>
    <w:rsid w:val="00360C87"/>
    <w:rsid w:val="00366AF0"/>
    <w:rsid w:val="00370866"/>
    <w:rsid w:val="00371056"/>
    <w:rsid w:val="003713CA"/>
    <w:rsid w:val="003729FC"/>
    <w:rsid w:val="00372FCA"/>
    <w:rsid w:val="003766B9"/>
    <w:rsid w:val="00380D95"/>
    <w:rsid w:val="00382C54"/>
    <w:rsid w:val="0038516A"/>
    <w:rsid w:val="00385654"/>
    <w:rsid w:val="0038601E"/>
    <w:rsid w:val="003906A1"/>
    <w:rsid w:val="003912ED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65F6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0B75"/>
    <w:rsid w:val="003E300F"/>
    <w:rsid w:val="003E5916"/>
    <w:rsid w:val="003E5CD9"/>
    <w:rsid w:val="003E5DE7"/>
    <w:rsid w:val="003E667C"/>
    <w:rsid w:val="003E7414"/>
    <w:rsid w:val="003E7F99"/>
    <w:rsid w:val="003F2D6C"/>
    <w:rsid w:val="003F6688"/>
    <w:rsid w:val="004014AE"/>
    <w:rsid w:val="00403645"/>
    <w:rsid w:val="004051EE"/>
    <w:rsid w:val="00407C5B"/>
    <w:rsid w:val="004100C6"/>
    <w:rsid w:val="00421159"/>
    <w:rsid w:val="00430648"/>
    <w:rsid w:val="00440FF1"/>
    <w:rsid w:val="004417F2"/>
    <w:rsid w:val="00442799"/>
    <w:rsid w:val="00443FBF"/>
    <w:rsid w:val="004452DF"/>
    <w:rsid w:val="00446EEA"/>
    <w:rsid w:val="004507E7"/>
    <w:rsid w:val="00450CC0"/>
    <w:rsid w:val="00453112"/>
    <w:rsid w:val="00457028"/>
    <w:rsid w:val="00457FA3"/>
    <w:rsid w:val="004603B6"/>
    <w:rsid w:val="00462172"/>
    <w:rsid w:val="004725D4"/>
    <w:rsid w:val="0047267B"/>
    <w:rsid w:val="00475A71"/>
    <w:rsid w:val="00476730"/>
    <w:rsid w:val="00481E31"/>
    <w:rsid w:val="00482AD0"/>
    <w:rsid w:val="00482AF6"/>
    <w:rsid w:val="00485169"/>
    <w:rsid w:val="00486EB3"/>
    <w:rsid w:val="0049468A"/>
    <w:rsid w:val="004A0AF4"/>
    <w:rsid w:val="004B2802"/>
    <w:rsid w:val="004B493F"/>
    <w:rsid w:val="004C0F0A"/>
    <w:rsid w:val="004C3C2A"/>
    <w:rsid w:val="004C5691"/>
    <w:rsid w:val="004C5B42"/>
    <w:rsid w:val="004C686D"/>
    <w:rsid w:val="004C7CE0"/>
    <w:rsid w:val="004D03A1"/>
    <w:rsid w:val="004D071D"/>
    <w:rsid w:val="004D2D75"/>
    <w:rsid w:val="004D6BE8"/>
    <w:rsid w:val="004D7188"/>
    <w:rsid w:val="004E46DF"/>
    <w:rsid w:val="004F0CB7"/>
    <w:rsid w:val="004F4564"/>
    <w:rsid w:val="0050128F"/>
    <w:rsid w:val="00501E52"/>
    <w:rsid w:val="00504958"/>
    <w:rsid w:val="00504AA2"/>
    <w:rsid w:val="005065EB"/>
    <w:rsid w:val="0051143C"/>
    <w:rsid w:val="00511886"/>
    <w:rsid w:val="005170A0"/>
    <w:rsid w:val="00517290"/>
    <w:rsid w:val="00517ED6"/>
    <w:rsid w:val="00520B8C"/>
    <w:rsid w:val="0052151C"/>
    <w:rsid w:val="0052180A"/>
    <w:rsid w:val="005243B4"/>
    <w:rsid w:val="00527489"/>
    <w:rsid w:val="00527BB3"/>
    <w:rsid w:val="00531734"/>
    <w:rsid w:val="0053254A"/>
    <w:rsid w:val="0054235E"/>
    <w:rsid w:val="00543051"/>
    <w:rsid w:val="0054425D"/>
    <w:rsid w:val="00545303"/>
    <w:rsid w:val="0055459B"/>
    <w:rsid w:val="00554995"/>
    <w:rsid w:val="00554EEF"/>
    <w:rsid w:val="0056463E"/>
    <w:rsid w:val="00567934"/>
    <w:rsid w:val="005702B6"/>
    <w:rsid w:val="005703A1"/>
    <w:rsid w:val="00571583"/>
    <w:rsid w:val="00572E7A"/>
    <w:rsid w:val="005753F0"/>
    <w:rsid w:val="005769C4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ECA"/>
    <w:rsid w:val="005A4504"/>
    <w:rsid w:val="005B04F3"/>
    <w:rsid w:val="005B151D"/>
    <w:rsid w:val="005B31EA"/>
    <w:rsid w:val="005B34A6"/>
    <w:rsid w:val="005B4D9D"/>
    <w:rsid w:val="005B6C67"/>
    <w:rsid w:val="005C0CBC"/>
    <w:rsid w:val="005C1273"/>
    <w:rsid w:val="005C4204"/>
    <w:rsid w:val="005C45E8"/>
    <w:rsid w:val="005C6823"/>
    <w:rsid w:val="005C6F7B"/>
    <w:rsid w:val="005C7F72"/>
    <w:rsid w:val="005D12D2"/>
    <w:rsid w:val="005D1461"/>
    <w:rsid w:val="005D33B5"/>
    <w:rsid w:val="005D5C6E"/>
    <w:rsid w:val="005D68F3"/>
    <w:rsid w:val="005D7951"/>
    <w:rsid w:val="005E3E49"/>
    <w:rsid w:val="005E768D"/>
    <w:rsid w:val="005F19DD"/>
    <w:rsid w:val="005F2CDD"/>
    <w:rsid w:val="005F4AD8"/>
    <w:rsid w:val="005F5ADA"/>
    <w:rsid w:val="005F695C"/>
    <w:rsid w:val="00600A10"/>
    <w:rsid w:val="00604CEC"/>
    <w:rsid w:val="006104AA"/>
    <w:rsid w:val="00612F14"/>
    <w:rsid w:val="006132E1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425CB"/>
    <w:rsid w:val="00644E29"/>
    <w:rsid w:val="00646929"/>
    <w:rsid w:val="006548B7"/>
    <w:rsid w:val="00654B3B"/>
    <w:rsid w:val="00656882"/>
    <w:rsid w:val="00657DBD"/>
    <w:rsid w:val="00662343"/>
    <w:rsid w:val="0066483B"/>
    <w:rsid w:val="00664873"/>
    <w:rsid w:val="00667884"/>
    <w:rsid w:val="0067069C"/>
    <w:rsid w:val="00671F29"/>
    <w:rsid w:val="0067305F"/>
    <w:rsid w:val="00674BD1"/>
    <w:rsid w:val="00675872"/>
    <w:rsid w:val="00677697"/>
    <w:rsid w:val="00680308"/>
    <w:rsid w:val="0068429C"/>
    <w:rsid w:val="00687476"/>
    <w:rsid w:val="00687A7D"/>
    <w:rsid w:val="0069038E"/>
    <w:rsid w:val="006939D0"/>
    <w:rsid w:val="006976B8"/>
    <w:rsid w:val="006A3A0E"/>
    <w:rsid w:val="006A3EB3"/>
    <w:rsid w:val="006A4179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E5D86"/>
    <w:rsid w:val="006E7955"/>
    <w:rsid w:val="006F3DD4"/>
    <w:rsid w:val="006F6532"/>
    <w:rsid w:val="00706305"/>
    <w:rsid w:val="00711E05"/>
    <w:rsid w:val="00712CB4"/>
    <w:rsid w:val="00713C7B"/>
    <w:rsid w:val="007220CF"/>
    <w:rsid w:val="00724942"/>
    <w:rsid w:val="00724CB0"/>
    <w:rsid w:val="00727341"/>
    <w:rsid w:val="00733C14"/>
    <w:rsid w:val="00734F1A"/>
    <w:rsid w:val="00736065"/>
    <w:rsid w:val="00736B2D"/>
    <w:rsid w:val="0074006F"/>
    <w:rsid w:val="00741B55"/>
    <w:rsid w:val="00741D75"/>
    <w:rsid w:val="0074621F"/>
    <w:rsid w:val="007463FB"/>
    <w:rsid w:val="00746A95"/>
    <w:rsid w:val="007513CD"/>
    <w:rsid w:val="00760426"/>
    <w:rsid w:val="0076196C"/>
    <w:rsid w:val="00766B1A"/>
    <w:rsid w:val="00766DFE"/>
    <w:rsid w:val="00767D46"/>
    <w:rsid w:val="00782008"/>
    <w:rsid w:val="007825CE"/>
    <w:rsid w:val="00783305"/>
    <w:rsid w:val="00783B46"/>
    <w:rsid w:val="00786A15"/>
    <w:rsid w:val="007914E4"/>
    <w:rsid w:val="007914F3"/>
    <w:rsid w:val="007926D8"/>
    <w:rsid w:val="00794B85"/>
    <w:rsid w:val="00794BC4"/>
    <w:rsid w:val="00794F1E"/>
    <w:rsid w:val="00795330"/>
    <w:rsid w:val="00795C50"/>
    <w:rsid w:val="007A098E"/>
    <w:rsid w:val="007A5765"/>
    <w:rsid w:val="007A5B89"/>
    <w:rsid w:val="007A7D87"/>
    <w:rsid w:val="007B2BDF"/>
    <w:rsid w:val="007B6F8E"/>
    <w:rsid w:val="007C0795"/>
    <w:rsid w:val="007C14AD"/>
    <w:rsid w:val="007C17B9"/>
    <w:rsid w:val="007C59DC"/>
    <w:rsid w:val="007C6C61"/>
    <w:rsid w:val="007D3C15"/>
    <w:rsid w:val="007D4D44"/>
    <w:rsid w:val="007D50FF"/>
    <w:rsid w:val="007D6B5D"/>
    <w:rsid w:val="007E21DF"/>
    <w:rsid w:val="007E5479"/>
    <w:rsid w:val="007E57AA"/>
    <w:rsid w:val="007F2366"/>
    <w:rsid w:val="007F4664"/>
    <w:rsid w:val="007F6EC7"/>
    <w:rsid w:val="007F75A8"/>
    <w:rsid w:val="00802FC5"/>
    <w:rsid w:val="0081078F"/>
    <w:rsid w:val="008138C1"/>
    <w:rsid w:val="00814A2A"/>
    <w:rsid w:val="00816B48"/>
    <w:rsid w:val="008204A2"/>
    <w:rsid w:val="008208CB"/>
    <w:rsid w:val="00820B60"/>
    <w:rsid w:val="00822070"/>
    <w:rsid w:val="00822142"/>
    <w:rsid w:val="00822EA3"/>
    <w:rsid w:val="0082437A"/>
    <w:rsid w:val="00830ACB"/>
    <w:rsid w:val="00831EDC"/>
    <w:rsid w:val="00832700"/>
    <w:rsid w:val="00832898"/>
    <w:rsid w:val="00833B9B"/>
    <w:rsid w:val="00835A0A"/>
    <w:rsid w:val="008377E3"/>
    <w:rsid w:val="008378E7"/>
    <w:rsid w:val="00840667"/>
    <w:rsid w:val="00850566"/>
    <w:rsid w:val="00852B3C"/>
    <w:rsid w:val="008532E6"/>
    <w:rsid w:val="008533CE"/>
    <w:rsid w:val="0085795D"/>
    <w:rsid w:val="008667E9"/>
    <w:rsid w:val="0086745D"/>
    <w:rsid w:val="008768E0"/>
    <w:rsid w:val="008776B0"/>
    <w:rsid w:val="0088012D"/>
    <w:rsid w:val="00881C47"/>
    <w:rsid w:val="00884237"/>
    <w:rsid w:val="00887583"/>
    <w:rsid w:val="00891445"/>
    <w:rsid w:val="00897183"/>
    <w:rsid w:val="008A5AFD"/>
    <w:rsid w:val="008B47B4"/>
    <w:rsid w:val="008B5396"/>
    <w:rsid w:val="008B5CCA"/>
    <w:rsid w:val="008C0886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F039B"/>
    <w:rsid w:val="008F1C67"/>
    <w:rsid w:val="008F238D"/>
    <w:rsid w:val="008F5289"/>
    <w:rsid w:val="00904E32"/>
    <w:rsid w:val="00905A7F"/>
    <w:rsid w:val="00910F8F"/>
    <w:rsid w:val="0091118D"/>
    <w:rsid w:val="009225A7"/>
    <w:rsid w:val="0092329B"/>
    <w:rsid w:val="0092599A"/>
    <w:rsid w:val="00927FEB"/>
    <w:rsid w:val="009321FE"/>
    <w:rsid w:val="00936D66"/>
    <w:rsid w:val="0094091B"/>
    <w:rsid w:val="00944591"/>
    <w:rsid w:val="00944CAA"/>
    <w:rsid w:val="009506C9"/>
    <w:rsid w:val="00951CE8"/>
    <w:rsid w:val="00952F61"/>
    <w:rsid w:val="00953565"/>
    <w:rsid w:val="00954C90"/>
    <w:rsid w:val="00961347"/>
    <w:rsid w:val="00962886"/>
    <w:rsid w:val="00966865"/>
    <w:rsid w:val="00971127"/>
    <w:rsid w:val="009723A1"/>
    <w:rsid w:val="00973614"/>
    <w:rsid w:val="0097724C"/>
    <w:rsid w:val="00980866"/>
    <w:rsid w:val="00980D24"/>
    <w:rsid w:val="009824DF"/>
    <w:rsid w:val="0098405A"/>
    <w:rsid w:val="00991A93"/>
    <w:rsid w:val="0099726E"/>
    <w:rsid w:val="009A0440"/>
    <w:rsid w:val="009A0E5E"/>
    <w:rsid w:val="009A65E6"/>
    <w:rsid w:val="009B09CD"/>
    <w:rsid w:val="009B0E8D"/>
    <w:rsid w:val="009B2383"/>
    <w:rsid w:val="009B4356"/>
    <w:rsid w:val="009C0957"/>
    <w:rsid w:val="009C30AA"/>
    <w:rsid w:val="009C43D1"/>
    <w:rsid w:val="009C59A6"/>
    <w:rsid w:val="009C6A52"/>
    <w:rsid w:val="009C7801"/>
    <w:rsid w:val="009D0AB2"/>
    <w:rsid w:val="009D0BA6"/>
    <w:rsid w:val="009D3276"/>
    <w:rsid w:val="009D444C"/>
    <w:rsid w:val="009D4525"/>
    <w:rsid w:val="009E1533"/>
    <w:rsid w:val="009E2785"/>
    <w:rsid w:val="009E5705"/>
    <w:rsid w:val="009F08F6"/>
    <w:rsid w:val="009F3F07"/>
    <w:rsid w:val="00A0032F"/>
    <w:rsid w:val="00A00EE5"/>
    <w:rsid w:val="00A049E2"/>
    <w:rsid w:val="00A1330C"/>
    <w:rsid w:val="00A1344B"/>
    <w:rsid w:val="00A219E7"/>
    <w:rsid w:val="00A223FF"/>
    <w:rsid w:val="00A2417A"/>
    <w:rsid w:val="00A26D8D"/>
    <w:rsid w:val="00A40884"/>
    <w:rsid w:val="00A42C28"/>
    <w:rsid w:val="00A43B6B"/>
    <w:rsid w:val="00A45C7E"/>
    <w:rsid w:val="00A477E6"/>
    <w:rsid w:val="00A47C1B"/>
    <w:rsid w:val="00A5337D"/>
    <w:rsid w:val="00A5345A"/>
    <w:rsid w:val="00A57CE8"/>
    <w:rsid w:val="00A6583A"/>
    <w:rsid w:val="00A66CBC"/>
    <w:rsid w:val="00A70990"/>
    <w:rsid w:val="00A76A7B"/>
    <w:rsid w:val="00A80E2F"/>
    <w:rsid w:val="00A844CE"/>
    <w:rsid w:val="00A90385"/>
    <w:rsid w:val="00A91357"/>
    <w:rsid w:val="00A91EAA"/>
    <w:rsid w:val="00A9264B"/>
    <w:rsid w:val="00A96DCC"/>
    <w:rsid w:val="00AA188F"/>
    <w:rsid w:val="00AA3475"/>
    <w:rsid w:val="00AA3C3D"/>
    <w:rsid w:val="00AA60FC"/>
    <w:rsid w:val="00AA63A9"/>
    <w:rsid w:val="00AA6F19"/>
    <w:rsid w:val="00AA7E07"/>
    <w:rsid w:val="00AB17F6"/>
    <w:rsid w:val="00AB7EF0"/>
    <w:rsid w:val="00AC76C6"/>
    <w:rsid w:val="00AD268D"/>
    <w:rsid w:val="00AD3749"/>
    <w:rsid w:val="00AD5C13"/>
    <w:rsid w:val="00AD60CC"/>
    <w:rsid w:val="00AD6723"/>
    <w:rsid w:val="00AD6AE6"/>
    <w:rsid w:val="00AE1F00"/>
    <w:rsid w:val="00B003FD"/>
    <w:rsid w:val="00B0051A"/>
    <w:rsid w:val="00B03DB7"/>
    <w:rsid w:val="00B04957"/>
    <w:rsid w:val="00B04CB8"/>
    <w:rsid w:val="00B11981"/>
    <w:rsid w:val="00B13F85"/>
    <w:rsid w:val="00B14543"/>
    <w:rsid w:val="00B16515"/>
    <w:rsid w:val="00B200F0"/>
    <w:rsid w:val="00B2361F"/>
    <w:rsid w:val="00B447D8"/>
    <w:rsid w:val="00B45A5E"/>
    <w:rsid w:val="00B45B4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1E5"/>
    <w:rsid w:val="00B74E3D"/>
    <w:rsid w:val="00B753D1"/>
    <w:rsid w:val="00B77BB8"/>
    <w:rsid w:val="00B83455"/>
    <w:rsid w:val="00B844E8"/>
    <w:rsid w:val="00B9272C"/>
    <w:rsid w:val="00B94B98"/>
    <w:rsid w:val="00B94CAC"/>
    <w:rsid w:val="00B96417"/>
    <w:rsid w:val="00BA06B3"/>
    <w:rsid w:val="00BA4A93"/>
    <w:rsid w:val="00BA787B"/>
    <w:rsid w:val="00BB20F2"/>
    <w:rsid w:val="00BB67AE"/>
    <w:rsid w:val="00BC203A"/>
    <w:rsid w:val="00BC3820"/>
    <w:rsid w:val="00BC5869"/>
    <w:rsid w:val="00BD003A"/>
    <w:rsid w:val="00BD0ABF"/>
    <w:rsid w:val="00BD1D45"/>
    <w:rsid w:val="00BD3099"/>
    <w:rsid w:val="00BD3E62"/>
    <w:rsid w:val="00BD73E6"/>
    <w:rsid w:val="00BE367D"/>
    <w:rsid w:val="00BE7C84"/>
    <w:rsid w:val="00BF321B"/>
    <w:rsid w:val="00BF3773"/>
    <w:rsid w:val="00BF3C69"/>
    <w:rsid w:val="00BF3E14"/>
    <w:rsid w:val="00BF3EDF"/>
    <w:rsid w:val="00BF4644"/>
    <w:rsid w:val="00C00D18"/>
    <w:rsid w:val="00C03B8D"/>
    <w:rsid w:val="00C04532"/>
    <w:rsid w:val="00C06D1A"/>
    <w:rsid w:val="00C078F3"/>
    <w:rsid w:val="00C1356B"/>
    <w:rsid w:val="00C135D7"/>
    <w:rsid w:val="00C151D0"/>
    <w:rsid w:val="00C237F5"/>
    <w:rsid w:val="00C24241"/>
    <w:rsid w:val="00C247D2"/>
    <w:rsid w:val="00C24A70"/>
    <w:rsid w:val="00C317AA"/>
    <w:rsid w:val="00C325C5"/>
    <w:rsid w:val="00C34B1A"/>
    <w:rsid w:val="00C36247"/>
    <w:rsid w:val="00C42B23"/>
    <w:rsid w:val="00C45A69"/>
    <w:rsid w:val="00C46AA2"/>
    <w:rsid w:val="00C542F0"/>
    <w:rsid w:val="00C55F0E"/>
    <w:rsid w:val="00C57CDB"/>
    <w:rsid w:val="00C60A9B"/>
    <w:rsid w:val="00C6108B"/>
    <w:rsid w:val="00C63602"/>
    <w:rsid w:val="00C67768"/>
    <w:rsid w:val="00C723BC"/>
    <w:rsid w:val="00C76E56"/>
    <w:rsid w:val="00C80D03"/>
    <w:rsid w:val="00C80D37"/>
    <w:rsid w:val="00C8151A"/>
    <w:rsid w:val="00C81770"/>
    <w:rsid w:val="00C82355"/>
    <w:rsid w:val="00C82609"/>
    <w:rsid w:val="00C82778"/>
    <w:rsid w:val="00C84374"/>
    <w:rsid w:val="00C85C0F"/>
    <w:rsid w:val="00C8795F"/>
    <w:rsid w:val="00C906E5"/>
    <w:rsid w:val="00C95FF7"/>
    <w:rsid w:val="00C975ED"/>
    <w:rsid w:val="00CA2591"/>
    <w:rsid w:val="00CB285C"/>
    <w:rsid w:val="00CB7A46"/>
    <w:rsid w:val="00CC3806"/>
    <w:rsid w:val="00CC76CE"/>
    <w:rsid w:val="00CD0ABD"/>
    <w:rsid w:val="00CD259C"/>
    <w:rsid w:val="00CE3B2F"/>
    <w:rsid w:val="00CE3DDC"/>
    <w:rsid w:val="00CE63EE"/>
    <w:rsid w:val="00CF16FB"/>
    <w:rsid w:val="00CF2295"/>
    <w:rsid w:val="00CF3BDE"/>
    <w:rsid w:val="00D07ABE"/>
    <w:rsid w:val="00D11B68"/>
    <w:rsid w:val="00D24528"/>
    <w:rsid w:val="00D27682"/>
    <w:rsid w:val="00D307A6"/>
    <w:rsid w:val="00D36C35"/>
    <w:rsid w:val="00D40CA5"/>
    <w:rsid w:val="00D42073"/>
    <w:rsid w:val="00D5432B"/>
    <w:rsid w:val="00D5494D"/>
    <w:rsid w:val="00D5680E"/>
    <w:rsid w:val="00D5732A"/>
    <w:rsid w:val="00D574CA"/>
    <w:rsid w:val="00D57819"/>
    <w:rsid w:val="00D6072C"/>
    <w:rsid w:val="00D60E0E"/>
    <w:rsid w:val="00D618A3"/>
    <w:rsid w:val="00D63BAB"/>
    <w:rsid w:val="00D72906"/>
    <w:rsid w:val="00D72BC8"/>
    <w:rsid w:val="00D73E07"/>
    <w:rsid w:val="00D826B4"/>
    <w:rsid w:val="00D83B6B"/>
    <w:rsid w:val="00D84566"/>
    <w:rsid w:val="00D92951"/>
    <w:rsid w:val="00D94B05"/>
    <w:rsid w:val="00D9667F"/>
    <w:rsid w:val="00DA3D06"/>
    <w:rsid w:val="00DA6543"/>
    <w:rsid w:val="00DB5542"/>
    <w:rsid w:val="00DB6B0C"/>
    <w:rsid w:val="00DB6C4D"/>
    <w:rsid w:val="00DB7D1B"/>
    <w:rsid w:val="00DC0CA2"/>
    <w:rsid w:val="00DC176F"/>
    <w:rsid w:val="00DC2B1D"/>
    <w:rsid w:val="00DC54FC"/>
    <w:rsid w:val="00DC77AA"/>
    <w:rsid w:val="00DD14AC"/>
    <w:rsid w:val="00DD3BD5"/>
    <w:rsid w:val="00DD6EB7"/>
    <w:rsid w:val="00DE2E19"/>
    <w:rsid w:val="00DE385C"/>
    <w:rsid w:val="00DE6B30"/>
    <w:rsid w:val="00DF15D7"/>
    <w:rsid w:val="00DF6CC2"/>
    <w:rsid w:val="00E006E4"/>
    <w:rsid w:val="00E02AAD"/>
    <w:rsid w:val="00E0769B"/>
    <w:rsid w:val="00E07C9E"/>
    <w:rsid w:val="00E07E4A"/>
    <w:rsid w:val="00E22388"/>
    <w:rsid w:val="00E33B8F"/>
    <w:rsid w:val="00E341A8"/>
    <w:rsid w:val="00E415A5"/>
    <w:rsid w:val="00E419AD"/>
    <w:rsid w:val="00E427EC"/>
    <w:rsid w:val="00E451A3"/>
    <w:rsid w:val="00E471CF"/>
    <w:rsid w:val="00E52138"/>
    <w:rsid w:val="00E53C1B"/>
    <w:rsid w:val="00E54D26"/>
    <w:rsid w:val="00E5708C"/>
    <w:rsid w:val="00E60388"/>
    <w:rsid w:val="00E610D6"/>
    <w:rsid w:val="00E64FF2"/>
    <w:rsid w:val="00E65013"/>
    <w:rsid w:val="00E66882"/>
    <w:rsid w:val="00E71C91"/>
    <w:rsid w:val="00E74E87"/>
    <w:rsid w:val="00E80182"/>
    <w:rsid w:val="00E8027B"/>
    <w:rsid w:val="00E81437"/>
    <w:rsid w:val="00E8723C"/>
    <w:rsid w:val="00E873C2"/>
    <w:rsid w:val="00E93189"/>
    <w:rsid w:val="00E9535F"/>
    <w:rsid w:val="00EA2CE4"/>
    <w:rsid w:val="00EA48D0"/>
    <w:rsid w:val="00EA6DCB"/>
    <w:rsid w:val="00EB5ADB"/>
    <w:rsid w:val="00EC2CD5"/>
    <w:rsid w:val="00ED2EBF"/>
    <w:rsid w:val="00ED6FC5"/>
    <w:rsid w:val="00EE11B1"/>
    <w:rsid w:val="00EE2AF3"/>
    <w:rsid w:val="00EE55B2"/>
    <w:rsid w:val="00EE618D"/>
    <w:rsid w:val="00EE7DA9"/>
    <w:rsid w:val="00EF1B14"/>
    <w:rsid w:val="00EF34D3"/>
    <w:rsid w:val="00EF39A6"/>
    <w:rsid w:val="00EF6B9E"/>
    <w:rsid w:val="00F046E6"/>
    <w:rsid w:val="00F04FF6"/>
    <w:rsid w:val="00F109FC"/>
    <w:rsid w:val="00F16E0D"/>
    <w:rsid w:val="00F22229"/>
    <w:rsid w:val="00F2561F"/>
    <w:rsid w:val="00F2637D"/>
    <w:rsid w:val="00F342FD"/>
    <w:rsid w:val="00F34E9E"/>
    <w:rsid w:val="00F41684"/>
    <w:rsid w:val="00F44755"/>
    <w:rsid w:val="00F455E0"/>
    <w:rsid w:val="00F45E7C"/>
    <w:rsid w:val="00F5458D"/>
    <w:rsid w:val="00F54F3A"/>
    <w:rsid w:val="00F56722"/>
    <w:rsid w:val="00F56A87"/>
    <w:rsid w:val="00F659E1"/>
    <w:rsid w:val="00F808C5"/>
    <w:rsid w:val="00F832E1"/>
    <w:rsid w:val="00F85369"/>
    <w:rsid w:val="00F853F7"/>
    <w:rsid w:val="00F872D0"/>
    <w:rsid w:val="00F93DC9"/>
    <w:rsid w:val="00F94872"/>
    <w:rsid w:val="00F967E0"/>
    <w:rsid w:val="00F96A6A"/>
    <w:rsid w:val="00FA308D"/>
    <w:rsid w:val="00FA5D88"/>
    <w:rsid w:val="00FA6D0A"/>
    <w:rsid w:val="00FA751A"/>
    <w:rsid w:val="00FB0152"/>
    <w:rsid w:val="00FB1482"/>
    <w:rsid w:val="00FB1A63"/>
    <w:rsid w:val="00FB33E4"/>
    <w:rsid w:val="00FB6C2B"/>
    <w:rsid w:val="00FC1313"/>
    <w:rsid w:val="00FC18E0"/>
    <w:rsid w:val="00FC20C3"/>
    <w:rsid w:val="00FC29BA"/>
    <w:rsid w:val="00FC315C"/>
    <w:rsid w:val="00FC4DE0"/>
    <w:rsid w:val="00FC64E4"/>
    <w:rsid w:val="00FD0BF7"/>
    <w:rsid w:val="00FD554D"/>
    <w:rsid w:val="00FD5600"/>
    <w:rsid w:val="00FD5B24"/>
    <w:rsid w:val="00FE31E9"/>
    <w:rsid w:val="00FE362B"/>
    <w:rsid w:val="00FE37EF"/>
    <w:rsid w:val="00FE5C16"/>
    <w:rsid w:val="00FF373C"/>
    <w:rsid w:val="00FF4A9E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02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semiHidden/>
    <w:unhideWhenUsed/>
    <w:rsid w:val="00C63602"/>
  </w:style>
  <w:style w:type="paragraph" w:customStyle="1" w:styleId="SP977862">
    <w:name w:val="SP.9.77862"/>
    <w:basedOn w:val="Normal"/>
    <w:next w:val="Normal"/>
    <w:uiPriority w:val="99"/>
    <w:rsid w:val="007E57A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77831">
    <w:name w:val="SP.9.77831"/>
    <w:basedOn w:val="Normal"/>
    <w:next w:val="Normal"/>
    <w:uiPriority w:val="99"/>
    <w:rsid w:val="007E57A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77828">
    <w:name w:val="SP.9.77828"/>
    <w:basedOn w:val="Normal"/>
    <w:next w:val="Normal"/>
    <w:uiPriority w:val="99"/>
    <w:rsid w:val="007E57A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7E57AA"/>
    <w:rPr>
      <w:b/>
      <w:bCs/>
      <w:color w:val="000000"/>
      <w:sz w:val="20"/>
      <w:szCs w:val="20"/>
    </w:rPr>
  </w:style>
  <w:style w:type="paragraph" w:customStyle="1" w:styleId="SP977834">
    <w:name w:val="SP.9.77834"/>
    <w:basedOn w:val="Normal"/>
    <w:next w:val="Normal"/>
    <w:uiPriority w:val="99"/>
    <w:rsid w:val="007E57A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50">
    <w:name w:val="SP.9.90150"/>
    <w:basedOn w:val="Normal"/>
    <w:next w:val="Normal"/>
    <w:uiPriority w:val="99"/>
    <w:rsid w:val="008F528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8F528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8F528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8F528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2">
    <w:name w:val="SC.9.192522"/>
    <w:uiPriority w:val="99"/>
    <w:rsid w:val="008F5289"/>
    <w:rPr>
      <w:rFonts w:ascii="Calibri" w:hAnsi="Calibri" w:cs="Calibri"/>
      <w:color w:val="000000"/>
      <w:sz w:val="22"/>
      <w:szCs w:val="22"/>
    </w:rPr>
  </w:style>
  <w:style w:type="paragraph" w:customStyle="1" w:styleId="SP990113">
    <w:name w:val="SP.9.90113"/>
    <w:basedOn w:val="Normal"/>
    <w:next w:val="Normal"/>
    <w:uiPriority w:val="99"/>
    <w:rsid w:val="006939D0"/>
    <w:pPr>
      <w:autoSpaceDE w:val="0"/>
      <w:autoSpaceDN w:val="0"/>
      <w:adjustRightInd w:val="0"/>
    </w:pPr>
    <w:rPr>
      <w:rFonts w:ascii="Calibri" w:hAnsi="Calibri"/>
      <w:sz w:val="24"/>
      <w:szCs w:val="24"/>
      <w:lang w:val="en-US" w:eastAsia="ko-KR"/>
    </w:rPr>
  </w:style>
  <w:style w:type="character" w:customStyle="1" w:styleId="SC9192533">
    <w:name w:val="SC.9.192533"/>
    <w:uiPriority w:val="99"/>
    <w:rsid w:val="006939D0"/>
    <w:rPr>
      <w:rFonts w:cs="Calibri"/>
      <w:color w:val="000000"/>
    </w:rPr>
  </w:style>
  <w:style w:type="character" w:customStyle="1" w:styleId="SC9192644">
    <w:name w:val="SC.9.192644"/>
    <w:uiPriority w:val="99"/>
    <w:rsid w:val="006939D0"/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SP13126982">
    <w:name w:val="SP.13.126982"/>
    <w:basedOn w:val="Normal"/>
    <w:next w:val="Normal"/>
    <w:uiPriority w:val="99"/>
    <w:rsid w:val="00BF3ED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127051">
    <w:name w:val="SP.13.127051"/>
    <w:basedOn w:val="Normal"/>
    <w:next w:val="Normal"/>
    <w:uiPriority w:val="99"/>
    <w:rsid w:val="00BF3ED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127014">
    <w:name w:val="SP.13.127014"/>
    <w:basedOn w:val="Normal"/>
    <w:next w:val="Normal"/>
    <w:uiPriority w:val="99"/>
    <w:rsid w:val="00BF3ED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3237574">
    <w:name w:val="SC.13.237574"/>
    <w:uiPriority w:val="99"/>
    <w:rsid w:val="00BF3EDF"/>
    <w:rPr>
      <w:b/>
      <w:bCs/>
      <w:color w:val="000000"/>
      <w:sz w:val="20"/>
      <w:szCs w:val="20"/>
    </w:rPr>
  </w:style>
  <w:style w:type="paragraph" w:customStyle="1" w:styleId="SP13126984">
    <w:name w:val="SP.13.126984"/>
    <w:basedOn w:val="Normal"/>
    <w:next w:val="Normal"/>
    <w:uiPriority w:val="99"/>
    <w:rsid w:val="00BF3ED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CF145-A2F9-4284-9D34-4A3C2D09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4</Pages>
  <Words>609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3788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mtk30143</cp:lastModifiedBy>
  <cp:revision>125</cp:revision>
  <cp:lastPrinted>2010-05-04T03:47:00Z</cp:lastPrinted>
  <dcterms:created xsi:type="dcterms:W3CDTF">2014-09-03T00:40:00Z</dcterms:created>
  <dcterms:modified xsi:type="dcterms:W3CDTF">2014-09-07T16:57:00Z</dcterms:modified>
</cp:coreProperties>
</file>