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4CD3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02"/>
        <w:gridCol w:w="2970"/>
        <w:gridCol w:w="1710"/>
        <w:gridCol w:w="2358"/>
      </w:tblGrid>
      <w:tr w:rsidR="00CA09B2" w14:paraId="7D8FCE2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C206E9" w14:textId="16EB6B10" w:rsidR="00CA09B2" w:rsidRDefault="00803E49" w:rsidP="00803E49">
            <w:pPr>
              <w:pStyle w:val="T2"/>
            </w:pPr>
            <w:proofErr w:type="spellStart"/>
            <w:r>
              <w:t>TGaq</w:t>
            </w:r>
            <w:proofErr w:type="spellEnd"/>
            <w:r w:rsidR="00DC2026">
              <w:t xml:space="preserve"> </w:t>
            </w:r>
            <w:r w:rsidR="003B71BD">
              <w:t xml:space="preserve">Minutes </w:t>
            </w:r>
            <w:r>
              <w:t>-</w:t>
            </w:r>
            <w:r w:rsidR="003B71BD">
              <w:t xml:space="preserve"> </w:t>
            </w:r>
            <w:r>
              <w:t>July 2014</w:t>
            </w:r>
            <w:r w:rsidR="00DC2026">
              <w:t xml:space="preserve"> Session</w:t>
            </w:r>
          </w:p>
        </w:tc>
      </w:tr>
      <w:tr w:rsidR="00CA09B2" w14:paraId="1CFCDF5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E42F72" w14:textId="4FBC8CD4" w:rsidR="00CA09B2" w:rsidRDefault="00CA09B2" w:rsidP="00803E4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03DA5">
              <w:rPr>
                <w:b w:val="0"/>
                <w:sz w:val="20"/>
              </w:rPr>
              <w:t xml:space="preserve">  </w:t>
            </w:r>
            <w:r w:rsidR="00803E49">
              <w:rPr>
                <w:b w:val="0"/>
                <w:sz w:val="20"/>
              </w:rPr>
              <w:t>2014-07-21</w:t>
            </w:r>
          </w:p>
        </w:tc>
      </w:tr>
      <w:tr w:rsidR="00CA09B2" w14:paraId="1A778DD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C10C5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DB09CA" w14:textId="77777777" w:rsidTr="003B302C">
        <w:trPr>
          <w:jc w:val="center"/>
        </w:trPr>
        <w:tc>
          <w:tcPr>
            <w:tcW w:w="1336" w:type="dxa"/>
            <w:vAlign w:val="center"/>
          </w:tcPr>
          <w:p w14:paraId="778A10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02" w:type="dxa"/>
            <w:vAlign w:val="center"/>
          </w:tcPr>
          <w:p w14:paraId="06A342D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046FC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E5F28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3A10F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734078B2" w14:textId="77777777" w:rsidTr="003B302C">
        <w:trPr>
          <w:jc w:val="center"/>
        </w:trPr>
        <w:tc>
          <w:tcPr>
            <w:tcW w:w="1336" w:type="dxa"/>
            <w:vAlign w:val="center"/>
          </w:tcPr>
          <w:p w14:paraId="1213881E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1202" w:type="dxa"/>
            <w:vAlign w:val="center"/>
          </w:tcPr>
          <w:p w14:paraId="12599296" w14:textId="77777777" w:rsidR="00CA09B2" w:rsidRDefault="003B30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14:paraId="11593400" w14:textId="77777777" w:rsidR="00CA09B2" w:rsidRDefault="00DC20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 L4W0B4</w:t>
            </w:r>
          </w:p>
        </w:tc>
        <w:tc>
          <w:tcPr>
            <w:tcW w:w="1710" w:type="dxa"/>
            <w:vAlign w:val="center"/>
          </w:tcPr>
          <w:p w14:paraId="262C9D9F" w14:textId="5DE66217" w:rsidR="00CA09B2" w:rsidRDefault="00DF4691" w:rsidP="00803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803E49">
              <w:rPr>
                <w:b w:val="0"/>
                <w:sz w:val="20"/>
              </w:rPr>
              <w:t>289-261-4183</w:t>
            </w:r>
          </w:p>
        </w:tc>
        <w:tc>
          <w:tcPr>
            <w:tcW w:w="2358" w:type="dxa"/>
            <w:vAlign w:val="center"/>
          </w:tcPr>
          <w:p w14:paraId="18A7AA64" w14:textId="77777777" w:rsidR="00CA09B2" w:rsidRDefault="00CE4293" w:rsidP="003B302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3B302C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</w:p>
        </w:tc>
      </w:tr>
      <w:tr w:rsidR="00CA09B2" w14:paraId="36DF1618" w14:textId="77777777" w:rsidTr="003B302C">
        <w:trPr>
          <w:jc w:val="center"/>
        </w:trPr>
        <w:tc>
          <w:tcPr>
            <w:tcW w:w="1336" w:type="dxa"/>
            <w:vAlign w:val="center"/>
          </w:tcPr>
          <w:p w14:paraId="0B6331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02" w:type="dxa"/>
            <w:vAlign w:val="center"/>
          </w:tcPr>
          <w:p w14:paraId="77730B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1394F70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D553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14:paraId="16FB0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75F6073" w14:textId="77777777" w:rsidR="00CA09B2" w:rsidRDefault="00D55F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67275A" wp14:editId="2F5D5F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63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96F01" w14:textId="77777777" w:rsidR="00DC2026" w:rsidRDefault="00DC20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F439F3" w14:textId="31056E11" w:rsidR="00DC2026" w:rsidRDefault="00DC2026">
                            <w:pPr>
                              <w:jc w:val="both"/>
                            </w:pPr>
                            <w:r>
                              <w:t xml:space="preserve">This document contains the minutes of the </w:t>
                            </w:r>
                            <w:proofErr w:type="spellStart"/>
                            <w:r w:rsidR="00803E49">
                              <w:t>TGaq</w:t>
                            </w:r>
                            <w:proofErr w:type="spellEnd"/>
                            <w:r>
                              <w:t xml:space="preserve"> session that was held during the </w:t>
                            </w:r>
                            <w:r w:rsidR="00803E49">
                              <w:t>July 2014</w:t>
                            </w:r>
                            <w:r>
                              <w:t xml:space="preserve"> IEEE 802.11 </w:t>
                            </w:r>
                            <w:proofErr w:type="spellStart"/>
                            <w:r w:rsidR="00CE4293">
                              <w:t>Plenarh</w:t>
                            </w:r>
                            <w:proofErr w:type="spellEnd"/>
                            <w:r>
                              <w:t xml:space="preserve">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22096F01" w14:textId="77777777" w:rsidR="00DC2026" w:rsidRDefault="00DC202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F439F3" w14:textId="31056E11" w:rsidR="00DC2026" w:rsidRDefault="00DC2026">
                      <w:pPr>
                        <w:jc w:val="both"/>
                      </w:pPr>
                      <w:r>
                        <w:t xml:space="preserve">This document contains the minutes of the </w:t>
                      </w:r>
                      <w:proofErr w:type="spellStart"/>
                      <w:r w:rsidR="00803E49">
                        <w:t>TGaq</w:t>
                      </w:r>
                      <w:proofErr w:type="spellEnd"/>
                      <w:r>
                        <w:t xml:space="preserve"> session that was held during the </w:t>
                      </w:r>
                      <w:r w:rsidR="00803E49">
                        <w:t>July 2014</w:t>
                      </w:r>
                      <w:r>
                        <w:t xml:space="preserve"> IEEE 802.11 </w:t>
                      </w:r>
                      <w:proofErr w:type="spellStart"/>
                      <w:r w:rsidR="00CE4293">
                        <w:t>Plenarh</w:t>
                      </w:r>
                      <w:proofErr w:type="spellEnd"/>
                      <w:r>
                        <w:t xml:space="preserve">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103EB6E" w14:textId="77777777" w:rsidR="00CA09B2" w:rsidRDefault="00CA09B2" w:rsidP="00DF4691">
      <w:r>
        <w:br w:type="page"/>
      </w:r>
    </w:p>
    <w:p w14:paraId="1E78CD1F" w14:textId="77777777" w:rsidR="00803E49" w:rsidRDefault="00803E49" w:rsidP="00803E49">
      <w:pPr>
        <w:pStyle w:val="Heading1"/>
      </w:pPr>
      <w:r>
        <w:lastRenderedPageBreak/>
        <w:t>Monday July 14, 16:00-18:00</w:t>
      </w:r>
    </w:p>
    <w:p w14:paraId="1B61D1AA" w14:textId="77777777" w:rsidR="00803E49" w:rsidRDefault="00803E49" w:rsidP="00803E49">
      <w:pPr>
        <w:pStyle w:val="Heading3"/>
      </w:pPr>
      <w:r>
        <w:t>Stephen McCann, BlackBerry – Chair</w:t>
      </w:r>
    </w:p>
    <w:p w14:paraId="12B53177" w14:textId="77777777" w:rsidR="00803E49" w:rsidRDefault="00803E49" w:rsidP="00803E49"/>
    <w:p w14:paraId="4C375961" w14:textId="385C53C6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Meeting called to order at 16:02</w:t>
      </w:r>
      <w:r w:rsidR="00CE4293">
        <w:t xml:space="preserve"> PDT</w:t>
      </w:r>
    </w:p>
    <w:p w14:paraId="026CAC18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Agenda Review – approved as document 11-14/734r2</w:t>
      </w:r>
    </w:p>
    <w:p w14:paraId="1E12BDA2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Review IEEE Patent Policy and Duty to Inform</w:t>
      </w:r>
    </w:p>
    <w:p w14:paraId="5001AA13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Call for essential patents – No comments.</w:t>
      </w:r>
    </w:p>
    <w:p w14:paraId="6AE66A8C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Approval of minutes from May Interim – document 11-14/756r0</w:t>
      </w:r>
    </w:p>
    <w:p w14:paraId="24928049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Minutes are approved by unanimous consent</w:t>
      </w:r>
    </w:p>
    <w:p w14:paraId="23503B13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Review of current status of </w:t>
      </w:r>
      <w:proofErr w:type="spellStart"/>
      <w:r>
        <w:t>TGaq</w:t>
      </w:r>
      <w:proofErr w:type="spellEnd"/>
      <w:r>
        <w:t xml:space="preserve"> – document 11-14/686r0</w:t>
      </w:r>
    </w:p>
    <w:p w14:paraId="57F7177A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Editor report on D0.01</w:t>
      </w:r>
    </w:p>
    <w:p w14:paraId="3D4C796A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Updates to the </w:t>
      </w:r>
      <w:proofErr w:type="spellStart"/>
      <w:r>
        <w:t>TGaq</w:t>
      </w:r>
      <w:proofErr w:type="spellEnd"/>
      <w:r>
        <w:t xml:space="preserve"> draft need to be based on </w:t>
      </w:r>
      <w:proofErr w:type="gramStart"/>
      <w:r>
        <w:t>the  latest</w:t>
      </w:r>
      <w:proofErr w:type="gramEnd"/>
      <w:r>
        <w:t xml:space="preserve"> draft of 802.11REVmc</w:t>
      </w:r>
    </w:p>
    <w:p w14:paraId="39DAA609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 Presentation of document 11-14/877r1 by S.K. Yong, Apple</w:t>
      </w:r>
    </w:p>
    <w:p w14:paraId="14206889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 </w:t>
      </w:r>
      <w:proofErr w:type="spellStart"/>
      <w:r>
        <w:t>P_f</w:t>
      </w:r>
      <w:proofErr w:type="spellEnd"/>
      <w:r>
        <w:t xml:space="preserve"> calculation of the station is the reverse function based on the AP advertisement.</w:t>
      </w:r>
    </w:p>
    <w:p w14:paraId="3A570B43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There are a number of ways that we could represent a particular service. It translates a single service into a single bit.</w:t>
      </w:r>
    </w:p>
    <w:p w14:paraId="3857EBB9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 value of </w:t>
      </w:r>
      <w:proofErr w:type="spellStart"/>
      <w:r>
        <w:t>P_f</w:t>
      </w:r>
      <w:proofErr w:type="spellEnd"/>
      <w:r>
        <w:t xml:space="preserve"> is set for the AP infrastructure based on the deployment.</w:t>
      </w:r>
    </w:p>
    <w:p w14:paraId="1FFADEA4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We could modify the protocol to provide additional logic operations.</w:t>
      </w:r>
    </w:p>
    <w:p w14:paraId="763C0986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proposed element could be part of Beacon, Probe Response, or ANQP/GAS frame.</w:t>
      </w:r>
    </w:p>
    <w:p w14:paraId="7846529C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 Service </w:t>
      </w:r>
      <w:proofErr w:type="gramStart"/>
      <w:r>
        <w:t>Hash(</w:t>
      </w:r>
      <w:proofErr w:type="spellStart"/>
      <w:proofErr w:type="gramEnd"/>
      <w:r>
        <w:t>es</w:t>
      </w:r>
      <w:proofErr w:type="spellEnd"/>
      <w:r>
        <w:t>) and Hash function(s) would be defined at the Service Transaction Proxy.</w:t>
      </w:r>
    </w:p>
    <w:p w14:paraId="3CDC3178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Service Type Mask is already in the draft. It isn’t very scalable and Bloom filter may be another.</w:t>
      </w:r>
    </w:p>
    <w:p w14:paraId="666299BD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We should take a look at this proposal in more detail and figure how it fits into the draft before removing the Service Type Mask.</w:t>
      </w:r>
    </w:p>
    <w:p w14:paraId="6FB0DCFF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Each AP in a single network would advertise the same service.</w:t>
      </w:r>
    </w:p>
    <w:p w14:paraId="6F1B0DB5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If we could agree with a simpler pre-association frame type we could reduce the complexity of the problem. This simplifies the AP ability to advertise many services that a network provides efficiently.</w:t>
      </w:r>
    </w:p>
    <w:p w14:paraId="7BE9C852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author will go away to clarify the benefit of these procedures.</w:t>
      </w:r>
    </w:p>
    <w:p w14:paraId="52B6DD76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Presentation of document 11-14/433r1 by </w:t>
      </w:r>
      <w:r w:rsidRPr="00546900">
        <w:rPr>
          <w:lang w:val="en-CA"/>
        </w:rPr>
        <w:t xml:space="preserve">RYU </w:t>
      </w:r>
      <w:proofErr w:type="spellStart"/>
      <w:r w:rsidRPr="00546900">
        <w:rPr>
          <w:lang w:val="en-CA"/>
        </w:rPr>
        <w:t>Cheol</w:t>
      </w:r>
      <w:proofErr w:type="spellEnd"/>
    </w:p>
    <w:p w14:paraId="4C5AD274" w14:textId="77777777" w:rsidR="00803E49" w:rsidRDefault="00803E49" w:rsidP="00803E49">
      <w:pPr>
        <w:pStyle w:val="ListParagraph"/>
        <w:numPr>
          <w:ilvl w:val="0"/>
          <w:numId w:val="10"/>
        </w:numPr>
        <w:contextualSpacing/>
      </w:pPr>
      <w:r>
        <w:t>PADP bitmask allows the AP to advertise multiple protocols. However vendor specific behavior needs to be further defined.</w:t>
      </w:r>
    </w:p>
    <w:p w14:paraId="53489D22" w14:textId="77777777" w:rsidR="00803E49" w:rsidRDefault="00803E49" w:rsidP="00803E49">
      <w:pPr>
        <w:pStyle w:val="ListParagraph"/>
        <w:numPr>
          <w:ilvl w:val="0"/>
          <w:numId w:val="10"/>
        </w:numPr>
        <w:contextualSpacing/>
      </w:pPr>
      <w:r>
        <w:t>The STA uses the Broadcasting Window to go to sleep until the next time that the AP advertises the service again.</w:t>
      </w:r>
    </w:p>
    <w:p w14:paraId="23C0F7E5" w14:textId="77777777" w:rsidR="00803E49" w:rsidRDefault="00803E49" w:rsidP="00803E49">
      <w:pPr>
        <w:pStyle w:val="ListParagraph"/>
        <w:numPr>
          <w:ilvl w:val="0"/>
          <w:numId w:val="10"/>
        </w:numPr>
        <w:contextualSpacing/>
      </w:pPr>
      <w:r>
        <w:t>Cho will update his proposal and bring it back on Thursday.</w:t>
      </w:r>
    </w:p>
    <w:p w14:paraId="3CF2DE2A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  <w:jc w:val="both"/>
      </w:pPr>
      <w:r>
        <w:t>Discussion on the Way Forward of 11-14/876r0 by Stephen McCann</w:t>
      </w:r>
    </w:p>
    <w:p w14:paraId="4C41C028" w14:textId="77777777" w:rsidR="00803E49" w:rsidRDefault="00803E49" w:rsidP="00803E49">
      <w:pPr>
        <w:pStyle w:val="ListParagraph"/>
        <w:numPr>
          <w:ilvl w:val="0"/>
          <w:numId w:val="11"/>
        </w:numPr>
        <w:contextualSpacing/>
        <w:jc w:val="both"/>
      </w:pPr>
      <w:r>
        <w:t xml:space="preserve">We need to work with </w:t>
      </w:r>
      <w:proofErr w:type="spellStart"/>
      <w:r>
        <w:t>TGah</w:t>
      </w:r>
      <w:proofErr w:type="spellEnd"/>
      <w:r>
        <w:t xml:space="preserve"> to address text that was added into the P802.11ah draft with a description of Service Type.</w:t>
      </w:r>
    </w:p>
    <w:p w14:paraId="1175A2A3" w14:textId="77777777" w:rsidR="00803E49" w:rsidRDefault="00803E49" w:rsidP="00803E49">
      <w:pPr>
        <w:pStyle w:val="ListParagraph"/>
        <w:numPr>
          <w:ilvl w:val="0"/>
          <w:numId w:val="11"/>
        </w:numPr>
        <w:contextualSpacing/>
        <w:jc w:val="both"/>
      </w:pPr>
      <w:r>
        <w:t>We could define a transparent native discovery that allows other higher layer protocols to function.</w:t>
      </w:r>
    </w:p>
    <w:p w14:paraId="68ED1477" w14:textId="77777777" w:rsidR="00803E49" w:rsidRDefault="00803E49" w:rsidP="00803E49">
      <w:pPr>
        <w:pStyle w:val="ListParagraph"/>
        <w:numPr>
          <w:ilvl w:val="0"/>
          <w:numId w:val="11"/>
        </w:numPr>
        <w:contextualSpacing/>
        <w:jc w:val="both"/>
      </w:pPr>
      <w:r>
        <w:t>We could use the GAS comeback delay to address the “max response”.</w:t>
      </w:r>
    </w:p>
    <w:p w14:paraId="6A36FD7B" w14:textId="77777777" w:rsidR="00803E49" w:rsidRDefault="00803E49" w:rsidP="00803E49">
      <w:pPr>
        <w:pStyle w:val="ListParagraph"/>
        <w:numPr>
          <w:ilvl w:val="0"/>
          <w:numId w:val="11"/>
        </w:numPr>
        <w:contextualSpacing/>
        <w:jc w:val="both"/>
      </w:pPr>
      <w:r>
        <w:t xml:space="preserve">This presentation should include the “bloom filter” proposal. </w:t>
      </w:r>
    </w:p>
    <w:p w14:paraId="5AA7593C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Chair calls for AOB. </w:t>
      </w:r>
    </w:p>
    <w:p w14:paraId="61172ECF" w14:textId="1F02400B" w:rsidR="00803E49" w:rsidRDefault="00CE4293" w:rsidP="00803E49">
      <w:pPr>
        <w:pStyle w:val="ListParagraph"/>
        <w:numPr>
          <w:ilvl w:val="0"/>
          <w:numId w:val="8"/>
        </w:numPr>
        <w:contextualSpacing/>
      </w:pPr>
      <w:r>
        <w:t>Recess at 17:50 PDT.</w:t>
      </w:r>
    </w:p>
    <w:p w14:paraId="516B9723" w14:textId="77777777" w:rsidR="00803E49" w:rsidRDefault="00803E49" w:rsidP="00803E49">
      <w:r>
        <w:br w:type="page"/>
      </w:r>
    </w:p>
    <w:p w14:paraId="2791EEAF" w14:textId="77777777" w:rsidR="00803E49" w:rsidRDefault="00803E49" w:rsidP="00803E49">
      <w:pPr>
        <w:pStyle w:val="Heading1"/>
      </w:pPr>
      <w:r>
        <w:lastRenderedPageBreak/>
        <w:t>Tuesday July 14, 10:30-12:30</w:t>
      </w:r>
    </w:p>
    <w:p w14:paraId="247E88AA" w14:textId="77777777" w:rsidR="00803E49" w:rsidRDefault="00803E49" w:rsidP="00803E49">
      <w:pPr>
        <w:pStyle w:val="Heading3"/>
      </w:pPr>
      <w:r>
        <w:t>Stephen McCann, BlackBerry – Chair</w:t>
      </w:r>
    </w:p>
    <w:p w14:paraId="254DBA7A" w14:textId="77777777" w:rsidR="00803E49" w:rsidRDefault="00803E49" w:rsidP="00803E49"/>
    <w:p w14:paraId="31F79032" w14:textId="345FB160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Meeting called to order at 10:30</w:t>
      </w:r>
      <w:r w:rsidR="00CE4293">
        <w:t xml:space="preserve"> PDT</w:t>
      </w:r>
    </w:p>
    <w:p w14:paraId="016398A6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Agenda Review – approved as document 11-14/734r3</w:t>
      </w:r>
    </w:p>
    <w:p w14:paraId="64E3BA8C" w14:textId="77777777" w:rsidR="00803E49" w:rsidRDefault="00803E49" w:rsidP="00803E49">
      <w:pPr>
        <w:pStyle w:val="ListParagraph"/>
        <w:numPr>
          <w:ilvl w:val="0"/>
          <w:numId w:val="12"/>
        </w:numPr>
        <w:contextualSpacing/>
      </w:pPr>
      <w:r>
        <w:t>The group should wait until September before making a call for comment submission.</w:t>
      </w:r>
    </w:p>
    <w:p w14:paraId="0F786714" w14:textId="77777777" w:rsidR="00803E49" w:rsidRDefault="00803E49" w:rsidP="00803E49">
      <w:pPr>
        <w:pStyle w:val="ListParagraph"/>
        <w:numPr>
          <w:ilvl w:val="0"/>
          <w:numId w:val="12"/>
        </w:numPr>
        <w:contextualSpacing/>
      </w:pPr>
      <w:r>
        <w:t>The group feels that a teleconference would be needed between the July and September meetings.</w:t>
      </w:r>
    </w:p>
    <w:p w14:paraId="19171D85" w14:textId="77777777" w:rsidR="00803E49" w:rsidRDefault="00803E49" w:rsidP="00803E49">
      <w:pPr>
        <w:pStyle w:val="ListParagraph"/>
        <w:numPr>
          <w:ilvl w:val="0"/>
          <w:numId w:val="12"/>
        </w:numPr>
        <w:contextualSpacing/>
      </w:pPr>
      <w:r>
        <w:t>The group should request for time slots for the meeting in Athens.</w:t>
      </w:r>
    </w:p>
    <w:p w14:paraId="26D43416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Presentation of document 11-14/912r0 by </w:t>
      </w:r>
      <w:proofErr w:type="spellStart"/>
      <w:r>
        <w:t>Yunsong</w:t>
      </w:r>
      <w:proofErr w:type="spellEnd"/>
      <w:r>
        <w:t xml:space="preserve"> Yang (Huawei)</w:t>
      </w:r>
    </w:p>
    <w:p w14:paraId="35DEEF62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This proposal is based on the result of a </w:t>
      </w:r>
      <w:proofErr w:type="spellStart"/>
      <w:r>
        <w:t>strawpoll</w:t>
      </w:r>
      <w:proofErr w:type="spellEnd"/>
      <w:r>
        <w:t xml:space="preserve"> on the proposals contained in document 11-14/618r2.</w:t>
      </w:r>
    </w:p>
    <w:p w14:paraId="44924FB4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proofErr w:type="spellStart"/>
      <w:r>
        <w:t>TGai</w:t>
      </w:r>
      <w:proofErr w:type="spellEnd"/>
      <w:r>
        <w:t xml:space="preserve"> has discussed the abbreviation of CAG. CAG refers to all ANQP elements in the ANQP server. </w:t>
      </w:r>
      <w:proofErr w:type="spellStart"/>
      <w:r>
        <w:t>TGai</w:t>
      </w:r>
      <w:proofErr w:type="spellEnd"/>
      <w:r>
        <w:t xml:space="preserve"> has renamed the parameter.</w:t>
      </w:r>
    </w:p>
    <w:p w14:paraId="3C0882B5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There seems to be a discrepancy in the understanding of what CAG means based on the </w:t>
      </w:r>
      <w:proofErr w:type="spellStart"/>
      <w:r>
        <w:t>TGai</w:t>
      </w:r>
      <w:proofErr w:type="spellEnd"/>
      <w:r>
        <w:t xml:space="preserve"> text.</w:t>
      </w:r>
    </w:p>
    <w:p w14:paraId="2D8B3D2F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proofErr w:type="spellStart"/>
      <w:r>
        <w:t>TGai</w:t>
      </w:r>
      <w:proofErr w:type="spellEnd"/>
      <w:r>
        <w:t xml:space="preserve"> is currently working on this parameter at the same time as </w:t>
      </w:r>
      <w:proofErr w:type="spellStart"/>
      <w:r>
        <w:t>TGaq</w:t>
      </w:r>
      <w:proofErr w:type="spellEnd"/>
      <w:r>
        <w:t>.</w:t>
      </w:r>
    </w:p>
    <w:p w14:paraId="51B70F56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 agreement with the </w:t>
      </w:r>
      <w:proofErr w:type="spellStart"/>
      <w:r>
        <w:t>TGai</w:t>
      </w:r>
      <w:proofErr w:type="spellEnd"/>
      <w:r>
        <w:t xml:space="preserve"> officers is that </w:t>
      </w:r>
      <w:proofErr w:type="spellStart"/>
      <w:r>
        <w:t>TGai</w:t>
      </w:r>
      <w:proofErr w:type="spellEnd"/>
      <w:r>
        <w:t xml:space="preserve"> adds the initial parameter and </w:t>
      </w:r>
      <w:proofErr w:type="spellStart"/>
      <w:r>
        <w:t>TGaq</w:t>
      </w:r>
      <w:proofErr w:type="spellEnd"/>
      <w:r>
        <w:t xml:space="preserve"> extends the definition.</w:t>
      </w:r>
    </w:p>
    <w:p w14:paraId="76D43938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proofErr w:type="spellStart"/>
      <w:r>
        <w:t>TGai</w:t>
      </w:r>
      <w:proofErr w:type="spellEnd"/>
      <w:r>
        <w:t xml:space="preserve"> should define an extensible version that </w:t>
      </w:r>
      <w:proofErr w:type="spellStart"/>
      <w:r>
        <w:t>TGaq</w:t>
      </w:r>
      <w:proofErr w:type="spellEnd"/>
      <w:r>
        <w:t xml:space="preserve"> could use. </w:t>
      </w:r>
    </w:p>
    <w:p w14:paraId="46A41786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Request to have a joint session in Athens between </w:t>
      </w:r>
      <w:proofErr w:type="spellStart"/>
      <w:r>
        <w:t>TGai</w:t>
      </w:r>
      <w:proofErr w:type="spellEnd"/>
      <w:r>
        <w:t xml:space="preserve"> and </w:t>
      </w:r>
      <w:proofErr w:type="spellStart"/>
      <w:r>
        <w:t>TGaq</w:t>
      </w:r>
      <w:proofErr w:type="spellEnd"/>
      <w:r>
        <w:t xml:space="preserve"> to flush out the definition of CAG.</w:t>
      </w:r>
    </w:p>
    <w:p w14:paraId="20274506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info ID is required so that the STA can query the PADP proxy for the PADP CAG Version.</w:t>
      </w:r>
    </w:p>
    <w:p w14:paraId="1D8FCCC0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 clause numbers in this proposal use clause numbers from </w:t>
      </w:r>
      <w:proofErr w:type="spellStart"/>
      <w:r>
        <w:t>TGai</w:t>
      </w:r>
      <w:proofErr w:type="spellEnd"/>
      <w:r>
        <w:t xml:space="preserve">. In a submission to </w:t>
      </w:r>
      <w:proofErr w:type="spellStart"/>
      <w:r>
        <w:t>TGaq</w:t>
      </w:r>
      <w:proofErr w:type="spellEnd"/>
      <w:r>
        <w:t xml:space="preserve">, these clauses should be </w:t>
      </w:r>
      <w:proofErr w:type="spellStart"/>
      <w:r>
        <w:t>TGaq</w:t>
      </w:r>
      <w:proofErr w:type="spellEnd"/>
      <w:r>
        <w:t>-specific clause numbers.</w:t>
      </w:r>
    </w:p>
    <w:p w14:paraId="30AEA5DC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information is included in both the Beacon frame and the Probe Request/Response frame. The PADP element would be used as part of a GAS exchange.</w:t>
      </w:r>
    </w:p>
    <w:p w14:paraId="371DC708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STA can query the AP to obtain the version contained within the AP. The STA can also query the Proxy for the version.</w:t>
      </w:r>
    </w:p>
    <w:p w14:paraId="0C695D25" w14:textId="52C4B3A5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 </w:t>
      </w:r>
      <w:r w:rsidR="00CE4293">
        <w:t>proposal given</w:t>
      </w:r>
      <w:r>
        <w:t xml:space="preserve"> in document 11-14/433r1 should be modified to align with this proposal.</w:t>
      </w:r>
    </w:p>
    <w:p w14:paraId="412702BF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Proposed text for </w:t>
      </w:r>
      <w:proofErr w:type="spellStart"/>
      <w:r>
        <w:t>TGaq</w:t>
      </w:r>
      <w:proofErr w:type="spellEnd"/>
      <w:r>
        <w:t xml:space="preserve"> should include new </w:t>
      </w:r>
      <w:proofErr w:type="spellStart"/>
      <w:r>
        <w:t>TGaq</w:t>
      </w:r>
      <w:proofErr w:type="spellEnd"/>
      <w:r>
        <w:t xml:space="preserve"> clause numbers.  We could use this current version to discuss the disposition of this proposal with </w:t>
      </w:r>
      <w:proofErr w:type="spellStart"/>
      <w:r>
        <w:t>TGai</w:t>
      </w:r>
      <w:proofErr w:type="spellEnd"/>
      <w:r>
        <w:t xml:space="preserve">. An update proposal should be presented to </w:t>
      </w:r>
      <w:proofErr w:type="spellStart"/>
      <w:r>
        <w:t>TGaq</w:t>
      </w:r>
      <w:proofErr w:type="spellEnd"/>
      <w:r>
        <w:t>.</w:t>
      </w:r>
    </w:p>
    <w:p w14:paraId="10A13CF8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An updated proposal will be posted and discussed on Thursday. It would have to be on the server four hours prior to any motion. </w:t>
      </w:r>
    </w:p>
    <w:p w14:paraId="14ACB8EF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Discussion on Editorial comments on D0.01 by Stephen McCann (BlackBerry)</w:t>
      </w:r>
    </w:p>
    <w:p w14:paraId="413F5D33" w14:textId="77777777" w:rsidR="00803E49" w:rsidRPr="00803E49" w:rsidRDefault="00803E49" w:rsidP="00803E49">
      <w:pPr>
        <w:pStyle w:val="ListParagraph"/>
        <w:numPr>
          <w:ilvl w:val="0"/>
          <w:numId w:val="9"/>
        </w:numPr>
        <w:contextualSpacing/>
        <w:rPr>
          <w:b/>
          <w:i/>
        </w:rPr>
      </w:pPr>
      <w:proofErr w:type="spellStart"/>
      <w:r w:rsidRPr="00803E49">
        <w:rPr>
          <w:b/>
          <w:i/>
        </w:rPr>
        <w:t>Yunsong</w:t>
      </w:r>
      <w:proofErr w:type="spellEnd"/>
      <w:r w:rsidRPr="00803E49">
        <w:rPr>
          <w:b/>
          <w:i/>
        </w:rPr>
        <w:t xml:space="preserve"> Yang, the </w:t>
      </w:r>
      <w:proofErr w:type="spellStart"/>
      <w:r w:rsidRPr="00803E49">
        <w:rPr>
          <w:b/>
          <w:i/>
        </w:rPr>
        <w:t>TGaq</w:t>
      </w:r>
      <w:proofErr w:type="spellEnd"/>
      <w:r w:rsidRPr="00803E49">
        <w:rPr>
          <w:b/>
          <w:i/>
        </w:rPr>
        <w:t xml:space="preserve"> Vice Chair acts as Chair while Stephen McCann is presenting.</w:t>
      </w:r>
    </w:p>
    <w:p w14:paraId="36E74618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draft can’t provide a reference to the approved PAR because the approved PAR is stored in a database and cannot be referenced by a URL.</w:t>
      </w:r>
    </w:p>
    <w:p w14:paraId="6178D504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A PAR change should not be required to report that the </w:t>
      </w:r>
      <w:proofErr w:type="spellStart"/>
      <w:r>
        <w:t>TGaq</w:t>
      </w:r>
      <w:proofErr w:type="spellEnd"/>
      <w:r>
        <w:t xml:space="preserve"> amendment is based on </w:t>
      </w:r>
      <w:proofErr w:type="gramStart"/>
      <w:r>
        <w:t>a</w:t>
      </w:r>
      <w:proofErr w:type="gramEnd"/>
      <w:r>
        <w:t xml:space="preserve"> 802.11REVmc.</w:t>
      </w:r>
    </w:p>
    <w:p w14:paraId="7390F389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PADP Token field should be moved from 8.4.6.1. The presenter will create a submission to propose changes to the draft.</w:t>
      </w:r>
    </w:p>
    <w:p w14:paraId="1ADBBCFE" w14:textId="525AD9F7" w:rsidR="00803E49" w:rsidRPr="00803E49" w:rsidRDefault="00803E49" w:rsidP="00803E49">
      <w:pPr>
        <w:pStyle w:val="ListParagraph"/>
        <w:numPr>
          <w:ilvl w:val="0"/>
          <w:numId w:val="9"/>
        </w:numPr>
        <w:contextualSpacing/>
        <w:rPr>
          <w:b/>
          <w:i/>
        </w:rPr>
      </w:pPr>
      <w:r w:rsidRPr="00803E49">
        <w:rPr>
          <w:b/>
          <w:i/>
        </w:rPr>
        <w:t>Stephen McCann resumes role as the Chair</w:t>
      </w:r>
    </w:p>
    <w:p w14:paraId="7AEE173D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Chair calls for AOB. </w:t>
      </w:r>
    </w:p>
    <w:p w14:paraId="302107D7" w14:textId="5F2CA831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Recess at 11:49</w:t>
      </w:r>
      <w:r w:rsidR="00CE4293">
        <w:t xml:space="preserve"> PDT</w:t>
      </w:r>
      <w:r>
        <w:t>.</w:t>
      </w:r>
    </w:p>
    <w:p w14:paraId="7E369E5D" w14:textId="77777777" w:rsidR="00803E49" w:rsidRDefault="00803E49" w:rsidP="00803E49">
      <w:pPr>
        <w:pStyle w:val="Heading1"/>
      </w:pPr>
      <w:proofErr w:type="gramStart"/>
      <w:r>
        <w:lastRenderedPageBreak/>
        <w:t>Thursday  July</w:t>
      </w:r>
      <w:proofErr w:type="gramEnd"/>
      <w:r>
        <w:t xml:space="preserve"> 17, 10:30-12:30</w:t>
      </w:r>
    </w:p>
    <w:p w14:paraId="10665F22" w14:textId="77777777" w:rsidR="00803E49" w:rsidRDefault="00803E49" w:rsidP="00803E49">
      <w:pPr>
        <w:pStyle w:val="Heading3"/>
      </w:pPr>
      <w:r>
        <w:t>Stephen McCann, BlackBerry – Chair</w:t>
      </w:r>
    </w:p>
    <w:p w14:paraId="425C4CE1" w14:textId="77777777" w:rsidR="00803E49" w:rsidRDefault="00803E49" w:rsidP="00803E49"/>
    <w:p w14:paraId="69FE300C" w14:textId="7C93C655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Me</w:t>
      </w:r>
      <w:r w:rsidR="00CE4293">
        <w:t>eting called to order at 10:32 PDT</w:t>
      </w:r>
    </w:p>
    <w:p w14:paraId="5786342B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Review of Agenda – approved as document 11-14/734r4</w:t>
      </w:r>
    </w:p>
    <w:p w14:paraId="528C4078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Discussion on PADP acronym</w:t>
      </w:r>
    </w:p>
    <w:p w14:paraId="6992162E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Propose that PADP be renamed to PAD</w:t>
      </w:r>
    </w:p>
    <w:p w14:paraId="2469D3B4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There is concern that changing the name would be inconsistent with other GAS protocols. For example, ANQP or RLQP.</w:t>
      </w:r>
    </w:p>
    <w:p w14:paraId="0AEB76F0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Suggest that a comment be added to 11mc to drop the “P” from ANQP and RKQP, etc. from the base draft.</w:t>
      </w:r>
    </w:p>
    <w:p w14:paraId="063E80CD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No objections to changing name.</w:t>
      </w:r>
    </w:p>
    <w:p w14:paraId="26DFE103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Presentation of document 11-14/877r2 by SK Yong (Apple).</w:t>
      </w:r>
    </w:p>
    <w:p w14:paraId="75C7EDD4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It’s an interesting proposal but it has limited practicality.</w:t>
      </w:r>
    </w:p>
    <w:p w14:paraId="11FBD1A2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A bitmask is much more efficient compared with a service hash </w:t>
      </w:r>
    </w:p>
    <w:p w14:paraId="04A5F1D2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solution is independent of the underlying system architecture.</w:t>
      </w:r>
    </w:p>
    <w:p w14:paraId="6D3AC114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If the STA has to launch an individual query, then there isn’t much efficiency.</w:t>
      </w:r>
    </w:p>
    <w:p w14:paraId="020E1A86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This solution may be more advantageous in a stadium environment.</w:t>
      </w:r>
    </w:p>
    <w:p w14:paraId="721C3CB3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proposal is flexible and has no restriction on the deployment scenarios. Parameters can be tailored to the environment.</w:t>
      </w:r>
    </w:p>
    <w:p w14:paraId="40519DCF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If this is proposal is added to the draft, rules need to be defined to govern the deployment.</w:t>
      </w:r>
    </w:p>
    <w:p w14:paraId="161FE5A5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It would be good to see an analysis of the Stadium case. However to do this, we would have to understand the assumptions.</w:t>
      </w:r>
    </w:p>
    <w:p w14:paraId="60B99D71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This group should define the hash function. Deployment guidelines can be left to other groups.</w:t>
      </w:r>
    </w:p>
    <w:p w14:paraId="4BD9E239" w14:textId="77777777" w:rsidR="00803E49" w:rsidRDefault="00803E49" w:rsidP="00803E49">
      <w:pPr>
        <w:ind w:left="1080"/>
      </w:pPr>
    </w:p>
    <w:p w14:paraId="00C88D50" w14:textId="77777777" w:rsidR="00803E49" w:rsidRDefault="00803E49" w:rsidP="00803E49">
      <w:pPr>
        <w:ind w:left="1080"/>
        <w:rPr>
          <w:color w:val="FF0000"/>
        </w:rPr>
      </w:pPr>
      <w:r>
        <w:rPr>
          <w:color w:val="FF0000"/>
        </w:rPr>
        <w:t>STRAW_POLL: Do you support the dynamic Bloom filter operation described in 877r2 to be included in the 11aq draft?</w:t>
      </w:r>
    </w:p>
    <w:p w14:paraId="28E1D90E" w14:textId="77777777" w:rsidR="00803E49" w:rsidRDefault="00803E49" w:rsidP="00803E49">
      <w:pPr>
        <w:ind w:left="1080"/>
        <w:rPr>
          <w:color w:val="FF0000"/>
        </w:rPr>
      </w:pPr>
      <w:r>
        <w:rPr>
          <w:color w:val="FF0000"/>
        </w:rPr>
        <w:t>RESULT: 6 – Yes; 0 – No; 5 – Abstain.</w:t>
      </w:r>
    </w:p>
    <w:p w14:paraId="7B50C141" w14:textId="77777777" w:rsidR="00803E49" w:rsidRPr="0090783B" w:rsidRDefault="00803E49" w:rsidP="00803E49">
      <w:pPr>
        <w:ind w:left="1080"/>
        <w:rPr>
          <w:color w:val="FF0000"/>
        </w:rPr>
      </w:pPr>
    </w:p>
    <w:p w14:paraId="6412D7C7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Presentation of document 11-14/433r2 by RYU </w:t>
      </w:r>
      <w:proofErr w:type="spellStart"/>
      <w:r>
        <w:t>Cheol</w:t>
      </w:r>
      <w:proofErr w:type="spellEnd"/>
      <w:r>
        <w:t xml:space="preserve"> (ETRI)</w:t>
      </w:r>
    </w:p>
    <w:p w14:paraId="41ECEAF3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Update Counter field is the same as the CAG number. The two solutions should be converged.</w:t>
      </w:r>
    </w:p>
    <w:p w14:paraId="38FE3735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 version needs to be maintained by both the AP infrastructure and the Proxy. </w:t>
      </w:r>
    </w:p>
    <w:p w14:paraId="0B98B84F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 w:rsidRPr="008570D9">
        <w:t xml:space="preserve">In D0.01, it is assumed that the capabilities element advertises the service discovery protocol (SDP) that the AP supports.  The STA would then conform and use it. The PADP IDs indicated these SD protocols </w:t>
      </w:r>
      <w:proofErr w:type="gramStart"/>
      <w:r w:rsidRPr="008570D9">
        <w:t>So</w:t>
      </w:r>
      <w:proofErr w:type="gramEnd"/>
      <w:r w:rsidRPr="008570D9">
        <w:t xml:space="preserve"> do we want an AP to advertise multiple SDPs or just one? </w:t>
      </w:r>
    </w:p>
    <w:p w14:paraId="7CE3702F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 w:rsidRPr="008570D9">
        <w:t xml:space="preserve">That </w:t>
      </w:r>
      <w:r>
        <w:t xml:space="preserve">answer </w:t>
      </w:r>
      <w:r w:rsidRPr="008570D9">
        <w:t>determines whether you</w:t>
      </w:r>
      <w:r>
        <w:t xml:space="preserve"> want to use a list or a mask.</w:t>
      </w:r>
      <w:r w:rsidRPr="008570D9">
        <w:t xml:space="preserve"> No answer.  </w:t>
      </w:r>
    </w:p>
    <w:p w14:paraId="3C53B1D6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Is the broadcast message</w:t>
      </w:r>
      <w:r w:rsidRPr="008570D9">
        <w:t xml:space="preserve"> (Clause 8.4.6.5</w:t>
      </w:r>
      <w:r>
        <w:t>) is not necessarily transported over GAS.</w:t>
      </w:r>
      <w:r w:rsidRPr="008570D9">
        <w:t xml:space="preserve">  </w:t>
      </w:r>
    </w:p>
    <w:p w14:paraId="71DA34D5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submission needs to be updated to indicate</w:t>
      </w:r>
      <w:r w:rsidRPr="008570D9">
        <w:t xml:space="preserve"> the destination address</w:t>
      </w:r>
      <w:r>
        <w:t>.</w:t>
      </w:r>
      <w:r w:rsidRPr="008570D9">
        <w:t xml:space="preserve"> </w:t>
      </w:r>
    </w:p>
    <w:p w14:paraId="5B29C444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Likely the </w:t>
      </w:r>
      <w:r w:rsidRPr="008570D9">
        <w:t xml:space="preserve">AP would then send out this message with a group address frame.  You also need </w:t>
      </w:r>
      <w:r>
        <w:t xml:space="preserve">to provide </w:t>
      </w:r>
      <w:r w:rsidRPr="008570D9">
        <w:t xml:space="preserve">a schedule so that the STA knows </w:t>
      </w:r>
      <w:r>
        <w:t xml:space="preserve">when to listen to </w:t>
      </w:r>
      <w:r w:rsidRPr="008570D9">
        <w:t xml:space="preserve">the </w:t>
      </w:r>
      <w:r>
        <w:t>broadcast</w:t>
      </w:r>
      <w:r w:rsidRPr="008570D9">
        <w:t>. Otherwise the STA will never see the broadcast</w:t>
      </w:r>
    </w:p>
    <w:p w14:paraId="6C5B4C54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 Presentation of document 11-14/912r2 by </w:t>
      </w:r>
      <w:proofErr w:type="spellStart"/>
      <w:r>
        <w:t>Yongsong</w:t>
      </w:r>
      <w:proofErr w:type="spellEnd"/>
      <w:r>
        <w:t xml:space="preserve"> Yang (Huawei)</w:t>
      </w:r>
    </w:p>
    <w:p w14:paraId="058C1460" w14:textId="657BBB1A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 CAG is not a complete idea in </w:t>
      </w:r>
      <w:proofErr w:type="spellStart"/>
      <w:r w:rsidR="00CE4293">
        <w:t>TGai</w:t>
      </w:r>
      <w:proofErr w:type="spellEnd"/>
      <w:r w:rsidR="00CE4293">
        <w:t xml:space="preserve"> and</w:t>
      </w:r>
      <w:r>
        <w:t xml:space="preserve"> should not be considered in </w:t>
      </w:r>
      <w:proofErr w:type="spellStart"/>
      <w:r>
        <w:t>TGaq</w:t>
      </w:r>
      <w:proofErr w:type="spellEnd"/>
      <w:r>
        <w:t>. This is not the forum for this submission.</w:t>
      </w:r>
    </w:p>
    <w:p w14:paraId="69F6630A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lastRenderedPageBreak/>
        <w:t xml:space="preserve">The feature is useful to </w:t>
      </w:r>
      <w:proofErr w:type="spellStart"/>
      <w:r>
        <w:t>TGaq</w:t>
      </w:r>
      <w:proofErr w:type="spellEnd"/>
      <w:r>
        <w:t xml:space="preserve"> and should involve </w:t>
      </w:r>
      <w:proofErr w:type="spellStart"/>
      <w:r>
        <w:t>TGaq</w:t>
      </w:r>
      <w:proofErr w:type="spellEnd"/>
      <w:r>
        <w:t xml:space="preserve"> members. </w:t>
      </w:r>
      <w:proofErr w:type="spellStart"/>
      <w:r>
        <w:t>TGaq</w:t>
      </w:r>
      <w:proofErr w:type="spellEnd"/>
      <w:r>
        <w:t xml:space="preserve"> time can be spent to perfect the text.</w:t>
      </w:r>
    </w:p>
    <w:p w14:paraId="2C42715E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 CAG definition should be created to be extensible in </w:t>
      </w:r>
      <w:proofErr w:type="spellStart"/>
      <w:r>
        <w:t>TGai</w:t>
      </w:r>
      <w:proofErr w:type="spellEnd"/>
      <w:r>
        <w:t xml:space="preserve">. </w:t>
      </w:r>
    </w:p>
    <w:p w14:paraId="0C03EADC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 format of this proposal is compatible with </w:t>
      </w:r>
      <w:proofErr w:type="spellStart"/>
      <w:r>
        <w:t>TGai</w:t>
      </w:r>
      <w:proofErr w:type="spellEnd"/>
      <w:r>
        <w:t>.</w:t>
      </w:r>
    </w:p>
    <w:p w14:paraId="0D55A6E2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There’s a request for a joint meeting between </w:t>
      </w:r>
      <w:proofErr w:type="spellStart"/>
      <w:r>
        <w:t>TGai</w:t>
      </w:r>
      <w:proofErr w:type="spellEnd"/>
      <w:r>
        <w:t xml:space="preserve"> and </w:t>
      </w:r>
      <w:proofErr w:type="spellStart"/>
      <w:r>
        <w:t>TGaq</w:t>
      </w:r>
      <w:proofErr w:type="spellEnd"/>
      <w:r>
        <w:t xml:space="preserve"> for September. It would be better to create a straw poll to gage support rather than a motion.</w:t>
      </w:r>
    </w:p>
    <w:p w14:paraId="29EFDEFB" w14:textId="77777777" w:rsidR="00803E49" w:rsidRDefault="00803E49" w:rsidP="00803E49">
      <w:pPr>
        <w:pStyle w:val="ListParagraph"/>
        <w:ind w:left="1440"/>
      </w:pPr>
    </w:p>
    <w:p w14:paraId="724A0378" w14:textId="77777777" w:rsidR="00803E49" w:rsidRPr="00D15656" w:rsidRDefault="00803E49" w:rsidP="00803E49">
      <w:pPr>
        <w:ind w:left="1080"/>
        <w:rPr>
          <w:color w:val="FF0000"/>
        </w:rPr>
      </w:pPr>
      <w:r w:rsidRPr="00D15656">
        <w:rPr>
          <w:color w:val="FF0000"/>
        </w:rPr>
        <w:t xml:space="preserve">STRAW_POLL: </w:t>
      </w:r>
      <w:r>
        <w:rPr>
          <w:color w:val="FF0000"/>
        </w:rPr>
        <w:t xml:space="preserve">Do you think that document 11-14/912r2 is suitable for the </w:t>
      </w:r>
      <w:proofErr w:type="spellStart"/>
      <w:r>
        <w:rPr>
          <w:color w:val="FF0000"/>
        </w:rPr>
        <w:t>TGaq</w:t>
      </w:r>
      <w:proofErr w:type="spellEnd"/>
      <w:r>
        <w:rPr>
          <w:color w:val="FF0000"/>
        </w:rPr>
        <w:t xml:space="preserve"> </w:t>
      </w:r>
      <w:proofErr w:type="gramStart"/>
      <w:r>
        <w:rPr>
          <w:color w:val="FF0000"/>
        </w:rPr>
        <w:t>draft.</w:t>
      </w:r>
      <w:proofErr w:type="gramEnd"/>
    </w:p>
    <w:p w14:paraId="1C740CF4" w14:textId="77777777" w:rsidR="00803E49" w:rsidRPr="00D15656" w:rsidRDefault="00803E49" w:rsidP="00803E49">
      <w:pPr>
        <w:ind w:left="1080"/>
        <w:rPr>
          <w:color w:val="FF0000"/>
        </w:rPr>
      </w:pPr>
      <w:r w:rsidRPr="00D15656">
        <w:rPr>
          <w:color w:val="FF0000"/>
        </w:rPr>
        <w:t xml:space="preserve">RESULT: 6 – Yes; </w:t>
      </w:r>
      <w:r>
        <w:rPr>
          <w:color w:val="FF0000"/>
        </w:rPr>
        <w:t>1</w:t>
      </w:r>
      <w:r w:rsidRPr="00D15656">
        <w:rPr>
          <w:color w:val="FF0000"/>
        </w:rPr>
        <w:t xml:space="preserve"> – No; </w:t>
      </w:r>
      <w:r>
        <w:rPr>
          <w:color w:val="FF0000"/>
        </w:rPr>
        <w:t>4</w:t>
      </w:r>
      <w:r w:rsidRPr="00D15656">
        <w:rPr>
          <w:color w:val="FF0000"/>
        </w:rPr>
        <w:t xml:space="preserve"> – Abstain.</w:t>
      </w:r>
    </w:p>
    <w:p w14:paraId="2B21B7F2" w14:textId="77777777" w:rsidR="00803E49" w:rsidRDefault="00803E49" w:rsidP="00803E49">
      <w:pPr>
        <w:ind w:left="1080"/>
      </w:pPr>
      <w:r>
        <w:t xml:space="preserve"> </w:t>
      </w:r>
    </w:p>
    <w:p w14:paraId="479A8772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Presentation of document 11-14/970r0 by RYU </w:t>
      </w:r>
      <w:proofErr w:type="spellStart"/>
      <w:r>
        <w:t>Cheol</w:t>
      </w:r>
      <w:proofErr w:type="spellEnd"/>
      <w:r>
        <w:t xml:space="preserve"> (ETRI)</w:t>
      </w:r>
    </w:p>
    <w:p w14:paraId="0E4AF3AA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 straw poll relates to advertising specific services rather than service hints in Probe Request/Response.</w:t>
      </w:r>
    </w:p>
    <w:p w14:paraId="6C726CAA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There could possibly be new criteria for an AP to respond to a Probe Response to a Probe Request</w:t>
      </w:r>
    </w:p>
    <w:p w14:paraId="7CBFA087" w14:textId="77777777" w:rsidR="00803E49" w:rsidRDefault="00803E49" w:rsidP="00803E49"/>
    <w:p w14:paraId="5E7E551A" w14:textId="77777777" w:rsidR="00803E49" w:rsidRPr="00D15656" w:rsidRDefault="00803E49" w:rsidP="00803E49">
      <w:pPr>
        <w:ind w:left="1080"/>
        <w:rPr>
          <w:color w:val="FF0000"/>
        </w:rPr>
      </w:pPr>
      <w:r w:rsidRPr="00D15656">
        <w:rPr>
          <w:color w:val="FF0000"/>
        </w:rPr>
        <w:t xml:space="preserve">STRAW_POLL: </w:t>
      </w:r>
      <w:r>
        <w:rPr>
          <w:color w:val="FF0000"/>
        </w:rPr>
        <w:t xml:space="preserve">Do you agree that we have to consider </w:t>
      </w:r>
      <w:proofErr w:type="gramStart"/>
      <w:r>
        <w:rPr>
          <w:color w:val="FF0000"/>
        </w:rPr>
        <w:t>to use</w:t>
      </w:r>
      <w:proofErr w:type="gramEnd"/>
      <w:r>
        <w:rPr>
          <w:color w:val="FF0000"/>
        </w:rPr>
        <w:t xml:space="preserve"> probe frames with SIN and SIH as well as GAS frames to discover services?</w:t>
      </w:r>
    </w:p>
    <w:p w14:paraId="2F939C3D" w14:textId="77777777" w:rsidR="00803E49" w:rsidRDefault="00803E49" w:rsidP="00803E49">
      <w:pPr>
        <w:ind w:left="1080"/>
        <w:rPr>
          <w:color w:val="FF0000"/>
        </w:rPr>
      </w:pPr>
      <w:r w:rsidRPr="00D15656">
        <w:rPr>
          <w:color w:val="FF0000"/>
        </w:rPr>
        <w:t xml:space="preserve">RESULT: </w:t>
      </w:r>
      <w:r>
        <w:rPr>
          <w:color w:val="FF0000"/>
        </w:rPr>
        <w:t>4</w:t>
      </w:r>
      <w:r w:rsidRPr="00D15656">
        <w:rPr>
          <w:color w:val="FF0000"/>
        </w:rPr>
        <w:t xml:space="preserve"> – Yes; </w:t>
      </w:r>
      <w:r>
        <w:rPr>
          <w:color w:val="FF0000"/>
        </w:rPr>
        <w:t>1</w:t>
      </w:r>
      <w:r w:rsidRPr="00D15656">
        <w:rPr>
          <w:color w:val="FF0000"/>
        </w:rPr>
        <w:t xml:space="preserve"> – No; </w:t>
      </w:r>
      <w:r>
        <w:rPr>
          <w:color w:val="FF0000"/>
        </w:rPr>
        <w:t>5</w:t>
      </w:r>
      <w:r w:rsidRPr="00D15656">
        <w:rPr>
          <w:color w:val="FF0000"/>
        </w:rPr>
        <w:t xml:space="preserve"> – Abstain.</w:t>
      </w:r>
    </w:p>
    <w:p w14:paraId="4CDDA92D" w14:textId="77777777" w:rsidR="00803E49" w:rsidRPr="00D15656" w:rsidRDefault="00803E49" w:rsidP="00803E49">
      <w:pPr>
        <w:ind w:left="1080"/>
        <w:rPr>
          <w:color w:val="FF0000"/>
        </w:rPr>
      </w:pPr>
    </w:p>
    <w:p w14:paraId="6EAFF518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Presentation of document 11-14/925r0 by Stephen McCann (BlackBerry)</w:t>
      </w:r>
    </w:p>
    <w:p w14:paraId="6F5A7A13" w14:textId="77777777" w:rsidR="00803E49" w:rsidRPr="00803E49" w:rsidRDefault="00803E49" w:rsidP="00803E49">
      <w:pPr>
        <w:pStyle w:val="ListParagraph"/>
        <w:numPr>
          <w:ilvl w:val="0"/>
          <w:numId w:val="9"/>
        </w:numPr>
        <w:contextualSpacing/>
        <w:rPr>
          <w:b/>
          <w:i/>
        </w:rPr>
      </w:pPr>
      <w:proofErr w:type="spellStart"/>
      <w:r w:rsidRPr="00803E49">
        <w:rPr>
          <w:b/>
          <w:i/>
        </w:rPr>
        <w:t>Yongsong</w:t>
      </w:r>
      <w:proofErr w:type="spellEnd"/>
      <w:r w:rsidRPr="00803E49">
        <w:rPr>
          <w:b/>
          <w:i/>
        </w:rPr>
        <w:t xml:space="preserve"> Yang acts as Chair as Stephen McCann makes a submission.</w:t>
      </w:r>
    </w:p>
    <w:p w14:paraId="7D0A1B84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This is clearly an editorial change. However the updates to the draft should be motioned.</w:t>
      </w:r>
    </w:p>
    <w:p w14:paraId="07CE9775" w14:textId="1DEF7312" w:rsidR="00803E49" w:rsidRPr="00803E49" w:rsidRDefault="00803E49" w:rsidP="00803E49">
      <w:pPr>
        <w:pStyle w:val="ListParagraph"/>
        <w:numPr>
          <w:ilvl w:val="0"/>
          <w:numId w:val="9"/>
        </w:numPr>
        <w:contextualSpacing/>
        <w:rPr>
          <w:b/>
          <w:i/>
        </w:rPr>
      </w:pPr>
      <w:r w:rsidRPr="00803E49">
        <w:rPr>
          <w:b/>
          <w:i/>
        </w:rPr>
        <w:t>Stephen McCann resumes role as Chair.</w:t>
      </w:r>
    </w:p>
    <w:p w14:paraId="1B952AC3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Next Steps</w:t>
      </w:r>
    </w:p>
    <w:p w14:paraId="44964AB7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No updates to the draft are required.</w:t>
      </w:r>
    </w:p>
    <w:p w14:paraId="54BD1A15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Timeline </w:t>
      </w:r>
    </w:p>
    <w:p w14:paraId="759E7C08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No changes</w:t>
      </w:r>
    </w:p>
    <w:p w14:paraId="5C092807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 Teleconferences</w:t>
      </w:r>
    </w:p>
    <w:p w14:paraId="66518EC0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>Tuesday August 26 at 10am ET</w:t>
      </w:r>
    </w:p>
    <w:p w14:paraId="61DE3F67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 xml:space="preserve"> Preparation for September 2014 Interim</w:t>
      </w:r>
    </w:p>
    <w:p w14:paraId="26334296" w14:textId="77777777" w:rsidR="00803E49" w:rsidRDefault="00803E49" w:rsidP="00803E49">
      <w:pPr>
        <w:pStyle w:val="ListParagraph"/>
        <w:numPr>
          <w:ilvl w:val="0"/>
          <w:numId w:val="9"/>
        </w:numPr>
        <w:contextualSpacing/>
      </w:pPr>
      <w:r>
        <w:t xml:space="preserve">The joint </w:t>
      </w:r>
      <w:proofErr w:type="spellStart"/>
      <w:r>
        <w:t>TGaq</w:t>
      </w:r>
      <w:proofErr w:type="spellEnd"/>
      <w:r>
        <w:t>/</w:t>
      </w:r>
      <w:proofErr w:type="spellStart"/>
      <w:r>
        <w:t>TGai</w:t>
      </w:r>
      <w:proofErr w:type="spellEnd"/>
      <w:r>
        <w:t xml:space="preserve"> meeting would be considered separate from the </w:t>
      </w:r>
      <w:proofErr w:type="spellStart"/>
      <w:r>
        <w:t>TGaq</w:t>
      </w:r>
      <w:proofErr w:type="spellEnd"/>
      <w:r>
        <w:t xml:space="preserve"> allocation.</w:t>
      </w:r>
    </w:p>
    <w:p w14:paraId="178E4B1D" w14:textId="77777777" w:rsidR="00803E49" w:rsidRDefault="00803E49" w:rsidP="00803E49">
      <w:pPr>
        <w:pStyle w:val="ListParagraph"/>
        <w:numPr>
          <w:ilvl w:val="0"/>
          <w:numId w:val="8"/>
        </w:numPr>
        <w:contextualSpacing/>
      </w:pPr>
      <w:r>
        <w:t>AOB</w:t>
      </w:r>
    </w:p>
    <w:p w14:paraId="741D843E" w14:textId="2ACDB101" w:rsidR="00CA09B2" w:rsidRDefault="00803E49" w:rsidP="00CE4293">
      <w:pPr>
        <w:pStyle w:val="ListParagraph"/>
        <w:numPr>
          <w:ilvl w:val="0"/>
          <w:numId w:val="8"/>
        </w:numPr>
        <w:contextualSpacing/>
      </w:pPr>
      <w:r>
        <w:t>Meeting Adjourned at 12:05</w:t>
      </w:r>
      <w:r w:rsidR="00CE4293">
        <w:t xml:space="preserve"> PDT</w:t>
      </w:r>
      <w:bookmarkStart w:id="0" w:name="_GoBack"/>
      <w:bookmarkEnd w:id="0"/>
    </w:p>
    <w:sectPr w:rsidR="00CA09B2" w:rsidSect="00A0077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D5B20" w14:textId="77777777" w:rsidR="00DC2026" w:rsidRDefault="00DC2026">
      <w:r>
        <w:separator/>
      </w:r>
    </w:p>
  </w:endnote>
  <w:endnote w:type="continuationSeparator" w:id="0">
    <w:p w14:paraId="4567C367" w14:textId="77777777" w:rsidR="00DC2026" w:rsidRDefault="00D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0E0D3" w14:textId="77777777" w:rsidR="00DC2026" w:rsidRDefault="00CE429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C2026">
      <w:t>Submission</w:t>
    </w:r>
    <w:r>
      <w:fldChar w:fldCharType="end"/>
    </w:r>
    <w:r w:rsidR="00DC2026">
      <w:tab/>
      <w:t xml:space="preserve">page </w:t>
    </w:r>
    <w:r w:rsidR="00DC2026">
      <w:fldChar w:fldCharType="begin"/>
    </w:r>
    <w:r w:rsidR="00DC2026">
      <w:instrText xml:space="preserve">page </w:instrText>
    </w:r>
    <w:r w:rsidR="00DC2026">
      <w:fldChar w:fldCharType="separate"/>
    </w:r>
    <w:r>
      <w:rPr>
        <w:noProof/>
      </w:rPr>
      <w:t>5</w:t>
    </w:r>
    <w:r w:rsidR="00DC2026">
      <w:rPr>
        <w:noProof/>
      </w:rPr>
      <w:fldChar w:fldCharType="end"/>
    </w:r>
    <w:r w:rsidR="00DC2026">
      <w:tab/>
    </w:r>
    <w:r>
      <w:fldChar w:fldCharType="begin"/>
    </w:r>
    <w:r>
      <w:instrText xml:space="preserve"> COMMENTS  \* MERGEFORMAT </w:instrText>
    </w:r>
    <w:r>
      <w:fldChar w:fldCharType="separate"/>
    </w:r>
    <w:r w:rsidR="00426EDE">
      <w:t>Michael Montemurro, BlackBerry</w:t>
    </w:r>
    <w:r>
      <w:fldChar w:fldCharType="end"/>
    </w:r>
  </w:p>
  <w:p w14:paraId="1C3DE1B6" w14:textId="77777777" w:rsidR="00DC2026" w:rsidRDefault="00DC202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BF0E6" w14:textId="77777777" w:rsidR="00DC2026" w:rsidRDefault="00DC2026">
      <w:r>
        <w:separator/>
      </w:r>
    </w:p>
  </w:footnote>
  <w:footnote w:type="continuationSeparator" w:id="0">
    <w:p w14:paraId="2D612FA1" w14:textId="77777777" w:rsidR="00DC2026" w:rsidRDefault="00DC20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DE5AF" w14:textId="77777777" w:rsidR="00DC2026" w:rsidRDefault="00CE429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03E49">
      <w:t>July 2014</w:t>
    </w:r>
    <w:r>
      <w:fldChar w:fldCharType="end"/>
    </w:r>
    <w:r w:rsidR="00DC2026">
      <w:tab/>
    </w:r>
    <w:r w:rsidR="00DC2026">
      <w:tab/>
    </w:r>
    <w:r>
      <w:fldChar w:fldCharType="begin"/>
    </w:r>
    <w:r>
      <w:instrText xml:space="preserve"> TITLE  \* MERGEFORMAT </w:instrText>
    </w:r>
    <w:r>
      <w:fldChar w:fldCharType="separate"/>
    </w:r>
    <w:r w:rsidR="00803E49">
      <w:t>doc.: IEEE 802.11-14/0992r0</w:t>
    </w:r>
    <w:r>
      <w:fldChar w:fldCharType="end"/>
    </w:r>
  </w:p>
  <w:p w14:paraId="2DA15041" w14:textId="77777777" w:rsidR="00DC2026" w:rsidRDefault="00DC202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7BA"/>
    <w:multiLevelType w:val="hybridMultilevel"/>
    <w:tmpl w:val="F7FC1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F113B5"/>
    <w:multiLevelType w:val="hybridMultilevel"/>
    <w:tmpl w:val="96083D08"/>
    <w:lvl w:ilvl="0" w:tplc="EC4EF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E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C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3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E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C5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0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0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FB1345"/>
    <w:multiLevelType w:val="hybridMultilevel"/>
    <w:tmpl w:val="F65A6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2855"/>
    <w:multiLevelType w:val="hybridMultilevel"/>
    <w:tmpl w:val="C53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32FBB"/>
    <w:multiLevelType w:val="hybridMultilevel"/>
    <w:tmpl w:val="2BD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A6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A306F5"/>
    <w:multiLevelType w:val="hybridMultilevel"/>
    <w:tmpl w:val="0610E650"/>
    <w:lvl w:ilvl="0" w:tplc="489A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4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8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69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A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4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2724830"/>
    <w:multiLevelType w:val="hybridMultilevel"/>
    <w:tmpl w:val="2D3CA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69205D"/>
    <w:multiLevelType w:val="hybridMultilevel"/>
    <w:tmpl w:val="92706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886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B933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EC68CE"/>
    <w:multiLevelType w:val="hybridMultilevel"/>
    <w:tmpl w:val="C43E0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5"/>
    <w:rsid w:val="00001433"/>
    <w:rsid w:val="00003D13"/>
    <w:rsid w:val="0001206E"/>
    <w:rsid w:val="00016F4B"/>
    <w:rsid w:val="00022721"/>
    <w:rsid w:val="00030DA2"/>
    <w:rsid w:val="000467FB"/>
    <w:rsid w:val="000577C1"/>
    <w:rsid w:val="000664D2"/>
    <w:rsid w:val="000718D4"/>
    <w:rsid w:val="00071BDC"/>
    <w:rsid w:val="0007615F"/>
    <w:rsid w:val="0009076A"/>
    <w:rsid w:val="000969CD"/>
    <w:rsid w:val="000971D1"/>
    <w:rsid w:val="000E4B5F"/>
    <w:rsid w:val="000F1588"/>
    <w:rsid w:val="000F27E7"/>
    <w:rsid w:val="000F4464"/>
    <w:rsid w:val="001031B0"/>
    <w:rsid w:val="00103D0B"/>
    <w:rsid w:val="0010586B"/>
    <w:rsid w:val="00127FE2"/>
    <w:rsid w:val="00131452"/>
    <w:rsid w:val="00133532"/>
    <w:rsid w:val="001414F2"/>
    <w:rsid w:val="00141B08"/>
    <w:rsid w:val="00144E67"/>
    <w:rsid w:val="0015474B"/>
    <w:rsid w:val="00185986"/>
    <w:rsid w:val="001A3B21"/>
    <w:rsid w:val="001B1751"/>
    <w:rsid w:val="001B3B62"/>
    <w:rsid w:val="001B5CD2"/>
    <w:rsid w:val="001C4118"/>
    <w:rsid w:val="001C6CBE"/>
    <w:rsid w:val="001C7741"/>
    <w:rsid w:val="001D723B"/>
    <w:rsid w:val="001D7803"/>
    <w:rsid w:val="001F7D34"/>
    <w:rsid w:val="00205D7E"/>
    <w:rsid w:val="00210A0B"/>
    <w:rsid w:val="002216D8"/>
    <w:rsid w:val="00223C7D"/>
    <w:rsid w:val="0024461C"/>
    <w:rsid w:val="002809D6"/>
    <w:rsid w:val="00281F6D"/>
    <w:rsid w:val="0029020B"/>
    <w:rsid w:val="002B7DCA"/>
    <w:rsid w:val="002C1708"/>
    <w:rsid w:val="002C5BBB"/>
    <w:rsid w:val="002C77DD"/>
    <w:rsid w:val="002D276B"/>
    <w:rsid w:val="002D44BE"/>
    <w:rsid w:val="002E2D74"/>
    <w:rsid w:val="002F0F21"/>
    <w:rsid w:val="002F7D72"/>
    <w:rsid w:val="003049CB"/>
    <w:rsid w:val="00314055"/>
    <w:rsid w:val="0032647E"/>
    <w:rsid w:val="00327EB1"/>
    <w:rsid w:val="00331E46"/>
    <w:rsid w:val="003366A1"/>
    <w:rsid w:val="0034092F"/>
    <w:rsid w:val="00343D9E"/>
    <w:rsid w:val="0034506D"/>
    <w:rsid w:val="00356851"/>
    <w:rsid w:val="003645F9"/>
    <w:rsid w:val="003662AB"/>
    <w:rsid w:val="00371FFA"/>
    <w:rsid w:val="00373C39"/>
    <w:rsid w:val="00381539"/>
    <w:rsid w:val="0038647E"/>
    <w:rsid w:val="00391839"/>
    <w:rsid w:val="0039562A"/>
    <w:rsid w:val="003A2FCE"/>
    <w:rsid w:val="003B302C"/>
    <w:rsid w:val="003B71BD"/>
    <w:rsid w:val="003D5DC0"/>
    <w:rsid w:val="003E2660"/>
    <w:rsid w:val="003F4637"/>
    <w:rsid w:val="00403AAC"/>
    <w:rsid w:val="00407B36"/>
    <w:rsid w:val="00416386"/>
    <w:rsid w:val="00420982"/>
    <w:rsid w:val="00422C27"/>
    <w:rsid w:val="00426EDE"/>
    <w:rsid w:val="00430AA7"/>
    <w:rsid w:val="00430ACC"/>
    <w:rsid w:val="00432529"/>
    <w:rsid w:val="004350CA"/>
    <w:rsid w:val="00442037"/>
    <w:rsid w:val="004420D3"/>
    <w:rsid w:val="00442B25"/>
    <w:rsid w:val="004564A9"/>
    <w:rsid w:val="004601D7"/>
    <w:rsid w:val="00471DF7"/>
    <w:rsid w:val="00477990"/>
    <w:rsid w:val="00484511"/>
    <w:rsid w:val="00495048"/>
    <w:rsid w:val="004B6C69"/>
    <w:rsid w:val="004B7C1B"/>
    <w:rsid w:val="004C4E95"/>
    <w:rsid w:val="004D0583"/>
    <w:rsid w:val="004D1FA8"/>
    <w:rsid w:val="004D3DCE"/>
    <w:rsid w:val="0051039F"/>
    <w:rsid w:val="00512A5D"/>
    <w:rsid w:val="00514DC8"/>
    <w:rsid w:val="00533B04"/>
    <w:rsid w:val="00541DE1"/>
    <w:rsid w:val="00552800"/>
    <w:rsid w:val="00575AC2"/>
    <w:rsid w:val="00584321"/>
    <w:rsid w:val="005A0E79"/>
    <w:rsid w:val="005A34BD"/>
    <w:rsid w:val="005A63EF"/>
    <w:rsid w:val="005A712F"/>
    <w:rsid w:val="005B3201"/>
    <w:rsid w:val="005B64EA"/>
    <w:rsid w:val="005C22A7"/>
    <w:rsid w:val="005C52A7"/>
    <w:rsid w:val="005D6598"/>
    <w:rsid w:val="005E0A92"/>
    <w:rsid w:val="005E463E"/>
    <w:rsid w:val="005F477A"/>
    <w:rsid w:val="005F4D4C"/>
    <w:rsid w:val="005F63F3"/>
    <w:rsid w:val="006003AA"/>
    <w:rsid w:val="00604A69"/>
    <w:rsid w:val="0060778F"/>
    <w:rsid w:val="0062440B"/>
    <w:rsid w:val="00630F53"/>
    <w:rsid w:val="00630F71"/>
    <w:rsid w:val="00633AEB"/>
    <w:rsid w:val="00680AE0"/>
    <w:rsid w:val="00690B6E"/>
    <w:rsid w:val="006964F8"/>
    <w:rsid w:val="006A1AFB"/>
    <w:rsid w:val="006A56F4"/>
    <w:rsid w:val="006C03F5"/>
    <w:rsid w:val="006C0727"/>
    <w:rsid w:val="006C1645"/>
    <w:rsid w:val="006C6CDE"/>
    <w:rsid w:val="006C779B"/>
    <w:rsid w:val="006C7D00"/>
    <w:rsid w:val="006D0F58"/>
    <w:rsid w:val="006D1FAF"/>
    <w:rsid w:val="006D32BF"/>
    <w:rsid w:val="006E0292"/>
    <w:rsid w:val="006E145F"/>
    <w:rsid w:val="006E33A3"/>
    <w:rsid w:val="006E3DCE"/>
    <w:rsid w:val="006F4C69"/>
    <w:rsid w:val="00702DEE"/>
    <w:rsid w:val="00706402"/>
    <w:rsid w:val="00710A10"/>
    <w:rsid w:val="00710D60"/>
    <w:rsid w:val="00730D84"/>
    <w:rsid w:val="00733F83"/>
    <w:rsid w:val="007355FB"/>
    <w:rsid w:val="00740935"/>
    <w:rsid w:val="007619FF"/>
    <w:rsid w:val="00770572"/>
    <w:rsid w:val="00772960"/>
    <w:rsid w:val="0078481A"/>
    <w:rsid w:val="00787CDC"/>
    <w:rsid w:val="0079180E"/>
    <w:rsid w:val="007A005E"/>
    <w:rsid w:val="007A1BD2"/>
    <w:rsid w:val="007B6159"/>
    <w:rsid w:val="007D070B"/>
    <w:rsid w:val="007D76E4"/>
    <w:rsid w:val="007F0E20"/>
    <w:rsid w:val="007F461A"/>
    <w:rsid w:val="00803E49"/>
    <w:rsid w:val="008139C4"/>
    <w:rsid w:val="008154B2"/>
    <w:rsid w:val="008366CC"/>
    <w:rsid w:val="0084292B"/>
    <w:rsid w:val="00857238"/>
    <w:rsid w:val="0086279C"/>
    <w:rsid w:val="008656D8"/>
    <w:rsid w:val="00867808"/>
    <w:rsid w:val="00870B72"/>
    <w:rsid w:val="00872FC2"/>
    <w:rsid w:val="00877694"/>
    <w:rsid w:val="008842C2"/>
    <w:rsid w:val="0089655B"/>
    <w:rsid w:val="008A00BB"/>
    <w:rsid w:val="008A52B2"/>
    <w:rsid w:val="008A5E55"/>
    <w:rsid w:val="008A6499"/>
    <w:rsid w:val="008B781C"/>
    <w:rsid w:val="008D1EFF"/>
    <w:rsid w:val="008E11E1"/>
    <w:rsid w:val="008E7470"/>
    <w:rsid w:val="008F08AF"/>
    <w:rsid w:val="008F4753"/>
    <w:rsid w:val="009122E1"/>
    <w:rsid w:val="0091458C"/>
    <w:rsid w:val="00914635"/>
    <w:rsid w:val="00936C40"/>
    <w:rsid w:val="0094572D"/>
    <w:rsid w:val="0094725A"/>
    <w:rsid w:val="00951E75"/>
    <w:rsid w:val="00954039"/>
    <w:rsid w:val="00980ABE"/>
    <w:rsid w:val="00994CE1"/>
    <w:rsid w:val="0099709C"/>
    <w:rsid w:val="009A2359"/>
    <w:rsid w:val="009B5E43"/>
    <w:rsid w:val="009B5F63"/>
    <w:rsid w:val="009B70B7"/>
    <w:rsid w:val="009B7A17"/>
    <w:rsid w:val="009D1391"/>
    <w:rsid w:val="009F2619"/>
    <w:rsid w:val="009F654B"/>
    <w:rsid w:val="00A00773"/>
    <w:rsid w:val="00A01981"/>
    <w:rsid w:val="00A05B8D"/>
    <w:rsid w:val="00A07C94"/>
    <w:rsid w:val="00A13D15"/>
    <w:rsid w:val="00A263E1"/>
    <w:rsid w:val="00A348EA"/>
    <w:rsid w:val="00A3774C"/>
    <w:rsid w:val="00A4185D"/>
    <w:rsid w:val="00A56093"/>
    <w:rsid w:val="00A769CC"/>
    <w:rsid w:val="00A76D4E"/>
    <w:rsid w:val="00A86C1B"/>
    <w:rsid w:val="00A87217"/>
    <w:rsid w:val="00A90C74"/>
    <w:rsid w:val="00A93721"/>
    <w:rsid w:val="00AA2A1B"/>
    <w:rsid w:val="00AA427C"/>
    <w:rsid w:val="00AB240C"/>
    <w:rsid w:val="00AB4F3F"/>
    <w:rsid w:val="00AC74BA"/>
    <w:rsid w:val="00AD3807"/>
    <w:rsid w:val="00AE0A7E"/>
    <w:rsid w:val="00AE11B3"/>
    <w:rsid w:val="00AE1A30"/>
    <w:rsid w:val="00AE7AA3"/>
    <w:rsid w:val="00AF1F74"/>
    <w:rsid w:val="00AF41A6"/>
    <w:rsid w:val="00B03DA5"/>
    <w:rsid w:val="00B0405D"/>
    <w:rsid w:val="00B05ABA"/>
    <w:rsid w:val="00B116E1"/>
    <w:rsid w:val="00B24056"/>
    <w:rsid w:val="00B50554"/>
    <w:rsid w:val="00B57C18"/>
    <w:rsid w:val="00B65406"/>
    <w:rsid w:val="00B856B3"/>
    <w:rsid w:val="00B857A1"/>
    <w:rsid w:val="00B87C7F"/>
    <w:rsid w:val="00B95915"/>
    <w:rsid w:val="00B97DAF"/>
    <w:rsid w:val="00BA1CD6"/>
    <w:rsid w:val="00BB0994"/>
    <w:rsid w:val="00BC4058"/>
    <w:rsid w:val="00BC65C4"/>
    <w:rsid w:val="00BD7980"/>
    <w:rsid w:val="00BE68C2"/>
    <w:rsid w:val="00BE72AD"/>
    <w:rsid w:val="00BF1615"/>
    <w:rsid w:val="00BF713C"/>
    <w:rsid w:val="00C03D47"/>
    <w:rsid w:val="00C1572E"/>
    <w:rsid w:val="00C270E8"/>
    <w:rsid w:val="00C35BD5"/>
    <w:rsid w:val="00C35C80"/>
    <w:rsid w:val="00C55393"/>
    <w:rsid w:val="00C72818"/>
    <w:rsid w:val="00C742B5"/>
    <w:rsid w:val="00C96E43"/>
    <w:rsid w:val="00CA09B2"/>
    <w:rsid w:val="00CB440D"/>
    <w:rsid w:val="00CC1C74"/>
    <w:rsid w:val="00CC6397"/>
    <w:rsid w:val="00CE0253"/>
    <w:rsid w:val="00CE4293"/>
    <w:rsid w:val="00D11308"/>
    <w:rsid w:val="00D1239C"/>
    <w:rsid w:val="00D1344C"/>
    <w:rsid w:val="00D1612C"/>
    <w:rsid w:val="00D17FBE"/>
    <w:rsid w:val="00D209AB"/>
    <w:rsid w:val="00D25260"/>
    <w:rsid w:val="00D30714"/>
    <w:rsid w:val="00D3443C"/>
    <w:rsid w:val="00D35834"/>
    <w:rsid w:val="00D36349"/>
    <w:rsid w:val="00D369D2"/>
    <w:rsid w:val="00D514C3"/>
    <w:rsid w:val="00D54A91"/>
    <w:rsid w:val="00D55E51"/>
    <w:rsid w:val="00D55F47"/>
    <w:rsid w:val="00D70150"/>
    <w:rsid w:val="00D73417"/>
    <w:rsid w:val="00D7733B"/>
    <w:rsid w:val="00D815DC"/>
    <w:rsid w:val="00D926D9"/>
    <w:rsid w:val="00D9474E"/>
    <w:rsid w:val="00D979F9"/>
    <w:rsid w:val="00DA0E4A"/>
    <w:rsid w:val="00DA10DE"/>
    <w:rsid w:val="00DA3FF9"/>
    <w:rsid w:val="00DA48E9"/>
    <w:rsid w:val="00DB7E93"/>
    <w:rsid w:val="00DC2026"/>
    <w:rsid w:val="00DC380D"/>
    <w:rsid w:val="00DC59CD"/>
    <w:rsid w:val="00DC5A7B"/>
    <w:rsid w:val="00DD359D"/>
    <w:rsid w:val="00DE03BE"/>
    <w:rsid w:val="00DE25E9"/>
    <w:rsid w:val="00DE34DB"/>
    <w:rsid w:val="00DF106C"/>
    <w:rsid w:val="00DF13E2"/>
    <w:rsid w:val="00DF361A"/>
    <w:rsid w:val="00DF4691"/>
    <w:rsid w:val="00DF490E"/>
    <w:rsid w:val="00E04E63"/>
    <w:rsid w:val="00E10819"/>
    <w:rsid w:val="00E25B0C"/>
    <w:rsid w:val="00E40AA1"/>
    <w:rsid w:val="00E50933"/>
    <w:rsid w:val="00E56F7F"/>
    <w:rsid w:val="00E73168"/>
    <w:rsid w:val="00E75A2E"/>
    <w:rsid w:val="00E76F2D"/>
    <w:rsid w:val="00E92FB2"/>
    <w:rsid w:val="00EB7C5B"/>
    <w:rsid w:val="00EB7F23"/>
    <w:rsid w:val="00F06090"/>
    <w:rsid w:val="00F21CE2"/>
    <w:rsid w:val="00F249BE"/>
    <w:rsid w:val="00F31D05"/>
    <w:rsid w:val="00F5630D"/>
    <w:rsid w:val="00F62C5F"/>
    <w:rsid w:val="00F63B9A"/>
    <w:rsid w:val="00F657A4"/>
    <w:rsid w:val="00F73F7A"/>
    <w:rsid w:val="00F975F1"/>
    <w:rsid w:val="00F97F5D"/>
    <w:rsid w:val="00FA3FF4"/>
    <w:rsid w:val="00FB49DE"/>
    <w:rsid w:val="00FD0EFE"/>
    <w:rsid w:val="00FD699E"/>
    <w:rsid w:val="00FF6DC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0AA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007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007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007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007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007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00773"/>
    <w:pPr>
      <w:jc w:val="center"/>
    </w:pPr>
    <w:rPr>
      <w:b/>
      <w:sz w:val="28"/>
    </w:rPr>
  </w:style>
  <w:style w:type="paragraph" w:customStyle="1" w:styleId="T2">
    <w:name w:val="T2"/>
    <w:basedOn w:val="T1"/>
    <w:rsid w:val="00A00773"/>
    <w:pPr>
      <w:spacing w:after="240"/>
      <w:ind w:left="720" w:right="720"/>
    </w:pPr>
  </w:style>
  <w:style w:type="paragraph" w:customStyle="1" w:styleId="T3">
    <w:name w:val="T3"/>
    <w:basedOn w:val="T1"/>
    <w:rsid w:val="00A007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00773"/>
    <w:pPr>
      <w:ind w:left="720" w:hanging="720"/>
    </w:pPr>
  </w:style>
  <w:style w:type="character" w:styleId="Hyperlink">
    <w:name w:val="Hyperlink"/>
    <w:basedOn w:val="DefaultParagraphFont"/>
    <w:rsid w:val="00A00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691"/>
    <w:pPr>
      <w:ind w:left="720"/>
    </w:pPr>
    <w:rPr>
      <w:rFonts w:ascii="Calibri" w:eastAsia="Calibri" w:hAnsi="Calibri"/>
      <w:szCs w:val="22"/>
      <w:lang w:val="en-US"/>
    </w:rPr>
  </w:style>
  <w:style w:type="character" w:styleId="FollowedHyperlink">
    <w:name w:val="FollowedHyperlink"/>
    <w:basedOn w:val="DefaultParagraphFont"/>
    <w:rsid w:val="00552800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3B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fischer@broadcom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ischer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0C47-8E37-BF49-9B58-428F7237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Settings\mfischer\Application Data\Microsoft\Templates\802-11-Submission-Portrait.dot</Template>
  <TotalTime>7</TotalTime>
  <Pages>5</Pages>
  <Words>1584</Words>
  <Characters>7890</Characters>
  <Application>Microsoft Macintosh Word</Application>
  <DocSecurity>0</DocSecurity>
  <Lines>202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802.11-13/0930r0</vt:lpstr>
    </vt:vector>
  </TitlesOfParts>
  <Manager/>
  <Company>BlackBerry</Company>
  <LinksUpToDate>false</LinksUpToDate>
  <CharactersWithSpaces>9317</CharactersWithSpaces>
  <SharedDoc>false</SharedDoc>
  <HyperlinkBase/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802.11-14/0992r0</dc:title>
  <dc:subject>Submission</dc:subject>
  <dc:creator>Michael Montemurro</dc:creator>
  <cp:keywords>July 2014</cp:keywords>
  <dc:description>Michael Montemurro, BlackBerry</dc:description>
  <cp:lastModifiedBy>Michael Montemurro</cp:lastModifiedBy>
  <cp:revision>4</cp:revision>
  <cp:lastPrinted>2011-06-22T15:59:00Z</cp:lastPrinted>
  <dcterms:created xsi:type="dcterms:W3CDTF">2014-07-21T20:31:00Z</dcterms:created>
  <dcterms:modified xsi:type="dcterms:W3CDTF">2014-07-22T13:34:00Z</dcterms:modified>
  <cp:category/>
</cp:coreProperties>
</file>