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AFBC" w14:textId="77777777" w:rsidR="0097259B" w:rsidRDefault="0097259B">
      <w:pPr>
        <w:pStyle w:val="T1"/>
        <w:pBdr>
          <w:bottom w:val="single" w:sz="6" w:space="0" w:color="auto"/>
        </w:pBdr>
        <w:spacing w:after="240"/>
      </w:pPr>
    </w:p>
    <w:p w14:paraId="16398E20" w14:textId="77777777" w:rsidR="0097259B" w:rsidRDefault="0097259B">
      <w:pPr>
        <w:pStyle w:val="T1"/>
        <w:pBdr>
          <w:bottom w:val="single" w:sz="6" w:space="0" w:color="auto"/>
        </w:pBdr>
        <w:spacing w:after="240"/>
      </w:pPr>
    </w:p>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2E73A7EA"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E2754E">
              <w:rPr>
                <w:b w:val="0"/>
                <w:sz w:val="20"/>
              </w:rPr>
              <w:t>09</w:t>
            </w:r>
            <w:r>
              <w:rPr>
                <w:b w:val="0"/>
                <w:sz w:val="20"/>
              </w:rPr>
              <w:t>-</w:t>
            </w:r>
            <w:r w:rsidR="00E2754E">
              <w:rPr>
                <w:b w:val="0"/>
                <w:sz w:val="20"/>
              </w:rPr>
              <w:t>1</w:t>
            </w:r>
            <w:r w:rsidR="003E179C">
              <w:rPr>
                <w:b w:val="0"/>
                <w:sz w:val="20"/>
              </w:rPr>
              <w:t>7</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97259B"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97259B" w:rsidRDefault="0097259B">
                            <w:pPr>
                              <w:pStyle w:val="T1"/>
                              <w:spacing w:after="120"/>
                            </w:pPr>
                            <w:r>
                              <w:t>Abstract</w:t>
                            </w:r>
                          </w:p>
                          <w:p w14:paraId="3B4A246A" w14:textId="77777777" w:rsidR="0097259B" w:rsidRDefault="0097259B">
                            <w:pPr>
                              <w:jc w:val="both"/>
                            </w:pPr>
                            <w:r>
                              <w:t xml:space="preserve">This document proposes a resolution for the CIDs indicated below from LB202, the comment on TGm Draft 3.0. </w:t>
                            </w:r>
                          </w:p>
                          <w:p w14:paraId="2663BB12" w14:textId="77777777" w:rsidR="0097259B" w:rsidRDefault="0097259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83242B" w:rsidRDefault="0083242B">
                      <w:pPr>
                        <w:pStyle w:val="T1"/>
                        <w:spacing w:after="120"/>
                      </w:pPr>
                      <w:r>
                        <w:t>Abstract</w:t>
                      </w:r>
                    </w:p>
                    <w:p w14:paraId="3B4A246A" w14:textId="77777777" w:rsidR="0083242B" w:rsidRDefault="0083242B">
                      <w:pPr>
                        <w:jc w:val="both"/>
                      </w:pPr>
                      <w:r>
                        <w:t xml:space="preserve">This document proposes a resolution for the CIDs indicated below from LB202, the comment on TGm Draft 3.0. </w:t>
                      </w:r>
                    </w:p>
                    <w:p w14:paraId="2663BB12" w14:textId="77777777" w:rsidR="0083242B" w:rsidRDefault="0083242B">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1D570A5" w:rsidR="00F70059" w:rsidRPr="00A91B77" w:rsidRDefault="00F70059" w:rsidP="00A91B77">
            <w:pPr>
              <w:rPr>
                <w:rFonts w:ascii="Arial" w:hAnsi="Arial" w:cs="Arial"/>
                <w:b/>
                <w:bCs/>
                <w:sz w:val="20"/>
                <w:lang w:val="en-CA"/>
              </w:rPr>
            </w:pPr>
            <w:r>
              <w:rPr>
                <w:rFonts w:ascii="Arial" w:hAnsi="Arial" w:cs="Arial"/>
                <w:b/>
                <w:bCs/>
                <w:sz w:val="20"/>
                <w:lang w:val="en-CA"/>
              </w:rPr>
              <w:t>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52"/>
        <w:gridCol w:w="1618"/>
        <w:gridCol w:w="706"/>
        <w:gridCol w:w="872"/>
        <w:gridCol w:w="3064"/>
        <w:gridCol w:w="1414"/>
        <w:gridCol w:w="1250"/>
      </w:tblGrid>
      <w:tr w:rsidR="002F0612" w:rsidRPr="00A91B77" w14:paraId="4A69E2E8" w14:textId="77777777" w:rsidTr="002F0612">
        <w:trPr>
          <w:trHeight w:val="720"/>
        </w:trPr>
        <w:tc>
          <w:tcPr>
            <w:tcW w:w="652" w:type="dxa"/>
            <w:hideMark/>
          </w:tcPr>
          <w:p w14:paraId="130C5D18"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618" w:type="dxa"/>
            <w:hideMark/>
          </w:tcPr>
          <w:p w14:paraId="5C5C28F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706" w:type="dxa"/>
            <w:hideMark/>
          </w:tcPr>
          <w:p w14:paraId="569CCEB1"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872" w:type="dxa"/>
            <w:hideMark/>
          </w:tcPr>
          <w:p w14:paraId="58B24E44"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3064" w:type="dxa"/>
            <w:hideMark/>
          </w:tcPr>
          <w:p w14:paraId="4B716B1B"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414" w:type="dxa"/>
            <w:hideMark/>
          </w:tcPr>
          <w:p w14:paraId="5926D3E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1250" w:type="dxa"/>
          </w:tcPr>
          <w:p w14:paraId="419D4B98"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F70059" w:rsidRPr="000401D3" w14:paraId="678F2436" w14:textId="5EC518BA" w:rsidTr="002F0612">
        <w:trPr>
          <w:trHeight w:val="1440"/>
        </w:trPr>
        <w:tc>
          <w:tcPr>
            <w:tcW w:w="652"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18"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706"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872"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3064"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414"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50"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9576" w:type="dxa"/>
        <w:tblLayout w:type="fixed"/>
        <w:tblLook w:val="04A0" w:firstRow="1" w:lastRow="0" w:firstColumn="1" w:lastColumn="0" w:noHBand="0" w:noVBand="1"/>
      </w:tblPr>
      <w:tblGrid>
        <w:gridCol w:w="573"/>
        <w:gridCol w:w="1095"/>
        <w:gridCol w:w="992"/>
        <w:gridCol w:w="992"/>
        <w:gridCol w:w="1985"/>
        <w:gridCol w:w="1842"/>
        <w:gridCol w:w="2097"/>
      </w:tblGrid>
      <w:tr w:rsidR="002F0612" w:rsidRPr="00A91B77" w14:paraId="63AE722C" w14:textId="77777777" w:rsidTr="002F0612">
        <w:trPr>
          <w:trHeight w:val="720"/>
          <w:tblHeader/>
        </w:trPr>
        <w:tc>
          <w:tcPr>
            <w:tcW w:w="573" w:type="dxa"/>
            <w:hideMark/>
          </w:tcPr>
          <w:p w14:paraId="5B32AC3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095" w:type="dxa"/>
            <w:hideMark/>
          </w:tcPr>
          <w:p w14:paraId="4205437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992" w:type="dxa"/>
            <w:hideMark/>
          </w:tcPr>
          <w:p w14:paraId="5EFB3B9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992" w:type="dxa"/>
            <w:hideMark/>
          </w:tcPr>
          <w:p w14:paraId="672A3BF7"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1985" w:type="dxa"/>
            <w:hideMark/>
          </w:tcPr>
          <w:p w14:paraId="5A4B5556"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842" w:type="dxa"/>
            <w:hideMark/>
          </w:tcPr>
          <w:p w14:paraId="17159F9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2097" w:type="dxa"/>
          </w:tcPr>
          <w:p w14:paraId="3397DAB7"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2F0612" w:rsidRPr="000401D3" w14:paraId="743E435A" w14:textId="2EB6B675" w:rsidTr="002F0612">
        <w:trPr>
          <w:trHeight w:val="720"/>
        </w:trPr>
        <w:tc>
          <w:tcPr>
            <w:tcW w:w="573" w:type="dxa"/>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1095" w:type="dxa"/>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992" w:type="dxa"/>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992" w:type="dxa"/>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985" w:type="dxa"/>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842" w:type="dxa"/>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2097" w:type="dxa"/>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2F0612" w:rsidRPr="007B7F8D" w14:paraId="09A372C3" w14:textId="4EDC772E" w:rsidTr="002F0612">
        <w:trPr>
          <w:trHeight w:val="699"/>
        </w:trPr>
        <w:tc>
          <w:tcPr>
            <w:tcW w:w="573" w:type="dxa"/>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1095" w:type="dxa"/>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992" w:type="dxa"/>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842" w:type="dxa"/>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2097" w:type="dxa"/>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2F0612" w:rsidRPr="007B7F8D" w14:paraId="1BBF594F" w14:textId="5A1CC95F" w:rsidTr="002F0612">
        <w:trPr>
          <w:trHeight w:val="6960"/>
        </w:trPr>
        <w:tc>
          <w:tcPr>
            <w:tcW w:w="573" w:type="dxa"/>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1095" w:type="dxa"/>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992" w:type="dxa"/>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842" w:type="dxa"/>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2097" w:type="dxa"/>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2F0612" w:rsidRPr="007B7F8D" w14:paraId="79C85957" w14:textId="74E2F2F2" w:rsidTr="002F0612">
        <w:trPr>
          <w:trHeight w:val="2640"/>
        </w:trPr>
        <w:tc>
          <w:tcPr>
            <w:tcW w:w="573" w:type="dxa"/>
            <w:hideMark/>
          </w:tcPr>
          <w:p w14:paraId="16D1DA4F"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3218</w:t>
            </w:r>
          </w:p>
        </w:tc>
        <w:tc>
          <w:tcPr>
            <w:tcW w:w="1095" w:type="dxa"/>
            <w:hideMark/>
          </w:tcPr>
          <w:p w14:paraId="0BB0BB6E"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Qi Wang</w:t>
            </w:r>
          </w:p>
        </w:tc>
        <w:tc>
          <w:tcPr>
            <w:tcW w:w="992" w:type="dxa"/>
            <w:hideMark/>
          </w:tcPr>
          <w:p w14:paraId="16131D51"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1799.29</w:t>
            </w:r>
          </w:p>
        </w:tc>
        <w:tc>
          <w:tcPr>
            <w:tcW w:w="992" w:type="dxa"/>
            <w:hideMark/>
          </w:tcPr>
          <w:p w14:paraId="7658624C"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10.33.2.1</w:t>
            </w:r>
          </w:p>
        </w:tc>
        <w:tc>
          <w:tcPr>
            <w:tcW w:w="1985" w:type="dxa"/>
            <w:hideMark/>
          </w:tcPr>
          <w:p w14:paraId="37BFEE74"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It is not clear what the parameter n is used for -- There's a "Loop 1,n" reference in the following figure (Figure 10-46), but neither the text nor the figure mandates or recommends a certain value for n. Therefore, this parameter seems to be of no use.</w:t>
            </w:r>
          </w:p>
        </w:tc>
        <w:tc>
          <w:tcPr>
            <w:tcW w:w="1842" w:type="dxa"/>
            <w:hideMark/>
          </w:tcPr>
          <w:p w14:paraId="592BA0E5"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2097" w:type="dxa"/>
          </w:tcPr>
          <w:p w14:paraId="382EBBB8"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Proposed Resolution:</w:t>
            </w:r>
          </w:p>
          <w:p w14:paraId="73E44FEB"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18DAE58E" w14:textId="77777777" w:rsidR="007D70D6" w:rsidRPr="00BE0FD3" w:rsidRDefault="007D70D6" w:rsidP="007D70D6">
            <w:pPr>
              <w:rPr>
                <w:rFonts w:ascii="Arial" w:hAnsi="Arial" w:cs="Arial"/>
                <w:sz w:val="16"/>
                <w:szCs w:val="16"/>
                <w:highlight w:val="yellow"/>
              </w:rPr>
            </w:pPr>
          </w:p>
          <w:p w14:paraId="20A543BE"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With</w:t>
            </w:r>
          </w:p>
          <w:p w14:paraId="7F248A9D"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“The FST Setup Request and FST Setup Response frame exchange is repeated as necessary until both the FST initiator and FST responder successfully move to the Setup Completion state, as described below. Figure 10-46 illustrates this behaviour.”</w:t>
            </w:r>
          </w:p>
          <w:p w14:paraId="37E6AAE3" w14:textId="77777777" w:rsidR="007D70D6" w:rsidRPr="00BE0FD3" w:rsidRDefault="007D70D6" w:rsidP="007D70D6">
            <w:pPr>
              <w:rPr>
                <w:rFonts w:ascii="Arial" w:hAnsi="Arial" w:cs="Arial"/>
                <w:sz w:val="16"/>
                <w:szCs w:val="16"/>
                <w:highlight w:val="yellow"/>
              </w:rPr>
            </w:pPr>
          </w:p>
          <w:p w14:paraId="27369810"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And in Figure 10-46, change “loop 1,n” to “loop &lt;1, inf&gt;”</w:t>
            </w:r>
          </w:p>
          <w:p w14:paraId="418F24AD" w14:textId="2048090C" w:rsidR="007B7F8D" w:rsidRPr="00BE0FD3" w:rsidRDefault="007B7F8D">
            <w:pPr>
              <w:rPr>
                <w:rFonts w:ascii="Arial" w:hAnsi="Arial" w:cs="Arial"/>
                <w:sz w:val="16"/>
                <w:szCs w:val="16"/>
                <w:highlight w:val="yellow"/>
              </w:rPr>
            </w:pPr>
          </w:p>
        </w:tc>
      </w:tr>
      <w:tr w:rsidR="002F0612" w:rsidRPr="007B7F8D" w14:paraId="3B9E1448" w14:textId="2B7ED6F1" w:rsidTr="002F0612">
        <w:trPr>
          <w:trHeight w:val="6960"/>
        </w:trPr>
        <w:tc>
          <w:tcPr>
            <w:tcW w:w="573" w:type="dxa"/>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1095" w:type="dxa"/>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992" w:type="dxa"/>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992" w:type="dxa"/>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985" w:type="dxa"/>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842" w:type="dxa"/>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2097" w:type="dxa"/>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2F0612" w:rsidRPr="007B7F8D" w14:paraId="19FFE027" w14:textId="33718287" w:rsidTr="002F0612">
        <w:trPr>
          <w:trHeight w:val="3360"/>
        </w:trPr>
        <w:tc>
          <w:tcPr>
            <w:tcW w:w="573" w:type="dxa"/>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1095" w:type="dxa"/>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992" w:type="dxa"/>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842" w:type="dxa"/>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2097" w:type="dxa"/>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2F0612" w:rsidRPr="00D94785" w14:paraId="602DD064" w14:textId="0F7797F0" w:rsidTr="002F0612">
        <w:trPr>
          <w:trHeight w:val="2880"/>
        </w:trPr>
        <w:tc>
          <w:tcPr>
            <w:tcW w:w="573" w:type="dxa"/>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1095" w:type="dxa"/>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992" w:type="dxa"/>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842" w:type="dxa"/>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2097" w:type="dxa"/>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2F0612" w:rsidRPr="00D94785" w14:paraId="700869C0" w14:textId="5047DBB6" w:rsidTr="002F0612">
        <w:trPr>
          <w:trHeight w:val="2640"/>
        </w:trPr>
        <w:tc>
          <w:tcPr>
            <w:tcW w:w="573" w:type="dxa"/>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1095" w:type="dxa"/>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992" w:type="dxa"/>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992" w:type="dxa"/>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985" w:type="dxa"/>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842" w:type="dxa"/>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2097" w:type="dxa"/>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2F0612" w:rsidRPr="00580449" w14:paraId="1325C3DD" w14:textId="6664CB17" w:rsidTr="002F0612">
        <w:trPr>
          <w:trHeight w:val="2160"/>
        </w:trPr>
        <w:tc>
          <w:tcPr>
            <w:tcW w:w="573" w:type="dxa"/>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1095" w:type="dxa"/>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992" w:type="dxa"/>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992" w:type="dxa"/>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985" w:type="dxa"/>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842" w:type="dxa"/>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2097" w:type="dxa"/>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2F0612" w:rsidRPr="00013CB1" w14:paraId="7DDA7081" w14:textId="210ABAAA" w:rsidTr="002F0612">
        <w:trPr>
          <w:trHeight w:val="1680"/>
        </w:trPr>
        <w:tc>
          <w:tcPr>
            <w:tcW w:w="573" w:type="dxa"/>
            <w:hideMark/>
          </w:tcPr>
          <w:p w14:paraId="2AD7A76A" w14:textId="27318DBF"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3322</w:t>
            </w:r>
          </w:p>
        </w:tc>
        <w:tc>
          <w:tcPr>
            <w:tcW w:w="1095" w:type="dxa"/>
            <w:hideMark/>
          </w:tcPr>
          <w:p w14:paraId="2E3E54D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284992F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1678.16</w:t>
            </w:r>
          </w:p>
        </w:tc>
        <w:tc>
          <w:tcPr>
            <w:tcW w:w="992" w:type="dxa"/>
            <w:hideMark/>
          </w:tcPr>
          <w:p w14:paraId="29973BC3"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w:t>
            </w:r>
          </w:p>
        </w:tc>
        <w:tc>
          <w:tcPr>
            <w:tcW w:w="1985" w:type="dxa"/>
            <w:hideMark/>
          </w:tcPr>
          <w:p w14:paraId="29DC6642"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 on 40 MHz AP restrictions appears to allow an AP to transmit a 40 MHz group PPDU even if some STAs are not 40 MHz-capable</w:t>
            </w:r>
          </w:p>
        </w:tc>
        <w:tc>
          <w:tcPr>
            <w:tcW w:w="1842" w:type="dxa"/>
            <w:hideMark/>
          </w:tcPr>
          <w:p w14:paraId="074BB138"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"and all of the STAs associated with the AP" to the first bullet of the second triplet of bullets.  Also fix the fourth para to cover the case where no NCW has been sent (cf. second para)</w:t>
            </w:r>
          </w:p>
        </w:tc>
        <w:tc>
          <w:tcPr>
            <w:tcW w:w="2097" w:type="dxa"/>
          </w:tcPr>
          <w:p w14:paraId="601A833E" w14:textId="3CF01A0A" w:rsidR="00F43C50" w:rsidRPr="00013CB1" w:rsidRDefault="00F43C50" w:rsidP="00F43C50">
            <w:pPr>
              <w:rPr>
                <w:rFonts w:ascii="Arial" w:hAnsi="Arial" w:cs="Arial"/>
                <w:sz w:val="16"/>
                <w:szCs w:val="16"/>
                <w:highlight w:val="yellow"/>
              </w:rPr>
            </w:pPr>
            <w:r w:rsidRPr="00013CB1">
              <w:rPr>
                <w:rFonts w:ascii="Arial" w:hAnsi="Arial" w:cs="Arial"/>
                <w:sz w:val="16"/>
                <w:szCs w:val="16"/>
                <w:highlight w:val="yellow"/>
              </w:rPr>
              <w:t>Revised, at 1678.38, change:</w:t>
            </w:r>
          </w:p>
          <w:p w14:paraId="6223D37D" w14:textId="60312B4E"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rPr>
              <w:t>“</w:t>
            </w:r>
            <w:r w:rsidRPr="00013CB1">
              <w:rPr>
                <w:rFonts w:ascii="Arial" w:hAnsi="Arial" w:cs="Arial"/>
                <w:sz w:val="16"/>
                <w:szCs w:val="16"/>
                <w:highlight w:val="yellow"/>
                <w:lang w:val="en-US"/>
              </w:rPr>
              <w:t>— The Supported Channel Width Set subfield of the HT Capabilities element of the AP is equal to 1”</w:t>
            </w:r>
          </w:p>
          <w:p w14:paraId="59572700" w14:textId="77777777"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to</w:t>
            </w:r>
          </w:p>
          <w:p w14:paraId="7F8018C4" w14:textId="77777777" w:rsidR="00F43C50" w:rsidRPr="00013CB1" w:rsidRDefault="00F43C50" w:rsidP="00F43C50">
            <w:pPr>
              <w:rPr>
                <w:rFonts w:ascii="Arial" w:hAnsi="Arial" w:cs="Arial"/>
                <w:sz w:val="16"/>
                <w:szCs w:val="16"/>
                <w:highlight w:val="yellow"/>
              </w:rPr>
            </w:pPr>
          </w:p>
          <w:p w14:paraId="2FF28647" w14:textId="4B4D6B40"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 The Supported Channel Width Set subfield of the HT Capabilities element of the AP and all associated STAs</w:t>
            </w:r>
          </w:p>
          <w:p w14:paraId="06160BF2" w14:textId="305970F5"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are equal to a nonzero value.”</w:t>
            </w:r>
          </w:p>
          <w:p w14:paraId="33A7C813" w14:textId="67F3D931" w:rsidR="00F70059" w:rsidRPr="00013CB1" w:rsidRDefault="00F70059" w:rsidP="00F43C50">
            <w:pPr>
              <w:rPr>
                <w:rFonts w:ascii="Arial" w:hAnsi="Arial" w:cs="Arial"/>
                <w:sz w:val="16"/>
                <w:szCs w:val="16"/>
                <w:highlight w:val="yellow"/>
              </w:rPr>
            </w:pPr>
          </w:p>
        </w:tc>
      </w:tr>
      <w:tr w:rsidR="002F0612" w:rsidRPr="00013CB1" w14:paraId="6B512672" w14:textId="46B36335" w:rsidTr="002F0612">
        <w:trPr>
          <w:trHeight w:val="1200"/>
        </w:trPr>
        <w:tc>
          <w:tcPr>
            <w:tcW w:w="573" w:type="dxa"/>
            <w:hideMark/>
          </w:tcPr>
          <w:p w14:paraId="401B09C9" w14:textId="70431B60"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3345</w:t>
            </w:r>
          </w:p>
        </w:tc>
        <w:tc>
          <w:tcPr>
            <w:tcW w:w="1095" w:type="dxa"/>
            <w:hideMark/>
          </w:tcPr>
          <w:p w14:paraId="685346D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DD1E31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1521.50</w:t>
            </w:r>
          </w:p>
        </w:tc>
        <w:tc>
          <w:tcPr>
            <w:tcW w:w="992" w:type="dxa"/>
            <w:hideMark/>
          </w:tcPr>
          <w:p w14:paraId="58012D7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403AE93B"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What is the required TSF accuracy for an AP?  The position of the current 0.01% requirement suggests it's only on non-AP STAs</w:t>
            </w:r>
          </w:p>
        </w:tc>
        <w:tc>
          <w:tcPr>
            <w:tcW w:w="1842" w:type="dxa"/>
            <w:hideMark/>
          </w:tcPr>
          <w:p w14:paraId="2F1247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Promote the 0.01% requirement to the top of the subclause so it applies to all STAs</w:t>
            </w:r>
          </w:p>
        </w:tc>
        <w:tc>
          <w:tcPr>
            <w:tcW w:w="2097" w:type="dxa"/>
          </w:tcPr>
          <w:p w14:paraId="3E257B60" w14:textId="77777777" w:rsidR="00F70059" w:rsidRPr="00013CB1" w:rsidRDefault="009E16EE">
            <w:pPr>
              <w:rPr>
                <w:rFonts w:ascii="Arial" w:hAnsi="Arial" w:cs="Arial"/>
                <w:sz w:val="16"/>
                <w:szCs w:val="16"/>
                <w:highlight w:val="yellow"/>
                <w:lang w:val="en-US"/>
              </w:rPr>
            </w:pPr>
            <w:r w:rsidRPr="00013CB1">
              <w:rPr>
                <w:rFonts w:ascii="Arial" w:hAnsi="Arial" w:cs="Arial"/>
                <w:sz w:val="16"/>
                <w:szCs w:val="16"/>
                <w:highlight w:val="yellow"/>
                <w:lang w:val="en-US"/>
              </w:rPr>
              <w:t>Revised.</w:t>
            </w:r>
          </w:p>
          <w:p w14:paraId="2BD63B5D"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Move “The</w:t>
            </w:r>
          </w:p>
          <w:p w14:paraId="7D361DD8"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accuracy of the TSF timer shall be no worse than ±0.01%.”  at 1521.50 to the beginning of the subclause.</w:t>
            </w:r>
          </w:p>
          <w:p w14:paraId="1B28527F" w14:textId="77777777" w:rsidR="009E16EE" w:rsidRPr="00013CB1" w:rsidRDefault="009E16EE" w:rsidP="009E16EE">
            <w:pPr>
              <w:rPr>
                <w:rFonts w:ascii="Arial" w:hAnsi="Arial" w:cs="Arial"/>
                <w:sz w:val="16"/>
                <w:szCs w:val="16"/>
                <w:highlight w:val="yellow"/>
                <w:lang w:val="en-US"/>
              </w:rPr>
            </w:pPr>
          </w:p>
          <w:p w14:paraId="5D7FE9FE"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Changing the sentence to “The</w:t>
            </w:r>
          </w:p>
          <w:p w14:paraId="6AF1CE14" w14:textId="25CC63FF" w:rsidR="009E16EE" w:rsidRPr="00013CB1" w:rsidRDefault="009E16EE" w:rsidP="009E16EE">
            <w:pPr>
              <w:rPr>
                <w:rFonts w:ascii="Arial" w:hAnsi="Arial" w:cs="Arial"/>
                <w:sz w:val="16"/>
                <w:szCs w:val="16"/>
                <w:highlight w:val="yellow"/>
              </w:rPr>
            </w:pPr>
            <w:r w:rsidRPr="00013CB1">
              <w:rPr>
                <w:rFonts w:ascii="Arial" w:hAnsi="Arial" w:cs="Arial"/>
                <w:sz w:val="16"/>
                <w:szCs w:val="16"/>
                <w:highlight w:val="yellow"/>
                <w:lang w:val="en-US"/>
              </w:rPr>
              <w:t>accuracy of a STA’s TSF timer shall be no worse than ±0.01%.”  at 1521.50 to the beginning of the subclause.</w:t>
            </w:r>
          </w:p>
        </w:tc>
      </w:tr>
      <w:tr w:rsidR="002F0612" w:rsidRPr="00013CB1" w14:paraId="1AFA68FB" w14:textId="597BCFB2" w:rsidTr="002F0612">
        <w:trPr>
          <w:trHeight w:val="1440"/>
        </w:trPr>
        <w:tc>
          <w:tcPr>
            <w:tcW w:w="573" w:type="dxa"/>
            <w:hideMark/>
          </w:tcPr>
          <w:p w14:paraId="233CE544" w14:textId="2023DED5"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3355</w:t>
            </w:r>
          </w:p>
        </w:tc>
        <w:tc>
          <w:tcPr>
            <w:tcW w:w="1095" w:type="dxa"/>
            <w:hideMark/>
          </w:tcPr>
          <w:p w14:paraId="7234334C"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7A0E36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1527.16</w:t>
            </w:r>
          </w:p>
        </w:tc>
        <w:tc>
          <w:tcPr>
            <w:tcW w:w="992" w:type="dxa"/>
            <w:hideMark/>
          </w:tcPr>
          <w:p w14:paraId="52406C0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10.1.4.3.5</w:t>
            </w:r>
          </w:p>
        </w:tc>
        <w:tc>
          <w:tcPr>
            <w:tcW w:w="1985" w:type="dxa"/>
            <w:hideMark/>
          </w:tcPr>
          <w:p w14:paraId="0C7D8704"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If a Request element includes something which would anyway be included in a Probe Response, does the element still get included at the end (i.e. twice)?</w:t>
            </w:r>
          </w:p>
        </w:tc>
        <w:tc>
          <w:tcPr>
            <w:tcW w:w="1842" w:type="dxa"/>
            <w:hideMark/>
          </w:tcPr>
          <w:p w14:paraId="46B14D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Suggest saying may choose not to include at the end, to make text most likely to be compatible with existing devices</w:t>
            </w:r>
          </w:p>
        </w:tc>
        <w:tc>
          <w:tcPr>
            <w:tcW w:w="2097" w:type="dxa"/>
          </w:tcPr>
          <w:p w14:paraId="7DDBD85F" w14:textId="2659ED0A" w:rsidR="00F70059" w:rsidRPr="00013CB1" w:rsidRDefault="00820703">
            <w:pPr>
              <w:rPr>
                <w:rFonts w:ascii="Arial" w:hAnsi="Arial" w:cs="Arial"/>
                <w:sz w:val="16"/>
                <w:szCs w:val="16"/>
                <w:highlight w:val="yellow"/>
              </w:rPr>
            </w:pPr>
            <w:r w:rsidRPr="00013CB1">
              <w:rPr>
                <w:rFonts w:ascii="Arial" w:hAnsi="Arial" w:cs="Arial"/>
                <w:sz w:val="16"/>
                <w:szCs w:val="16"/>
                <w:highlight w:val="yellow"/>
                <w:lang w:val="en-US"/>
              </w:rPr>
              <w:t>Submission Required</w:t>
            </w:r>
          </w:p>
        </w:tc>
      </w:tr>
      <w:tr w:rsidR="002F0612" w:rsidRPr="00013CB1" w14:paraId="476E0101" w14:textId="7608A640" w:rsidTr="002F0612">
        <w:trPr>
          <w:trHeight w:val="720"/>
        </w:trPr>
        <w:tc>
          <w:tcPr>
            <w:tcW w:w="573" w:type="dxa"/>
            <w:hideMark/>
          </w:tcPr>
          <w:p w14:paraId="139A37D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3374</w:t>
            </w:r>
          </w:p>
        </w:tc>
        <w:tc>
          <w:tcPr>
            <w:tcW w:w="1095" w:type="dxa"/>
            <w:hideMark/>
          </w:tcPr>
          <w:p w14:paraId="1E5CA745"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6389C114"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1521.30</w:t>
            </w:r>
          </w:p>
        </w:tc>
        <w:tc>
          <w:tcPr>
            <w:tcW w:w="992" w:type="dxa"/>
            <w:hideMark/>
          </w:tcPr>
          <w:p w14:paraId="36C11341"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280C692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Need to specify whether the worst-case TSF drift between two devices is 0.01% or 0.02%</w:t>
            </w:r>
          </w:p>
        </w:tc>
        <w:tc>
          <w:tcPr>
            <w:tcW w:w="1842" w:type="dxa"/>
            <w:hideMark/>
          </w:tcPr>
          <w:p w14:paraId="7F2B9E8A"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 NOTE to confirm it's 0.02%</w:t>
            </w:r>
          </w:p>
        </w:tc>
        <w:tc>
          <w:tcPr>
            <w:tcW w:w="2097" w:type="dxa"/>
          </w:tcPr>
          <w:p w14:paraId="73E9B368" w14:textId="635626AE" w:rsidR="00A16123" w:rsidRPr="00013CB1" w:rsidRDefault="00820703" w:rsidP="00A16123">
            <w:pPr>
              <w:rPr>
                <w:rFonts w:ascii="Arial" w:hAnsi="Arial" w:cs="Arial"/>
                <w:sz w:val="16"/>
                <w:szCs w:val="16"/>
                <w:highlight w:val="yellow"/>
                <w:lang w:val="en-US"/>
              </w:rPr>
            </w:pPr>
            <w:r w:rsidRPr="00013CB1">
              <w:rPr>
                <w:rFonts w:ascii="Arial" w:hAnsi="Arial" w:cs="Arial"/>
                <w:sz w:val="16"/>
                <w:szCs w:val="16"/>
                <w:highlight w:val="yellow"/>
                <w:lang w:val="en-US"/>
              </w:rPr>
              <w:t>Submission Required.</w:t>
            </w:r>
          </w:p>
          <w:p w14:paraId="44DEDB43" w14:textId="77777777" w:rsidR="00F70059" w:rsidRPr="00013CB1" w:rsidRDefault="00F70059">
            <w:pPr>
              <w:rPr>
                <w:rFonts w:ascii="Arial" w:hAnsi="Arial" w:cs="Arial"/>
                <w:sz w:val="16"/>
                <w:szCs w:val="16"/>
                <w:highlight w:val="yellow"/>
              </w:rPr>
            </w:pP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BBD95FA" w14:textId="6EA6AC60" w:rsidR="008F593B" w:rsidRDefault="008F593B" w:rsidP="00A91B77">
      <w:pPr>
        <w:rPr>
          <w:rFonts w:ascii="Calibri" w:hAnsi="Calibri"/>
          <w:color w:val="1F497D"/>
          <w:sz w:val="28"/>
          <w:szCs w:val="28"/>
        </w:rPr>
      </w:pPr>
      <w:r>
        <w:rPr>
          <w:rFonts w:ascii="Calibri" w:hAnsi="Calibri"/>
          <w:color w:val="1F497D"/>
          <w:sz w:val="28"/>
          <w:szCs w:val="28"/>
        </w:rPr>
        <w:t>Proposed Resolution:</w:t>
      </w:r>
    </w:p>
    <w:p w14:paraId="58055E84" w14:textId="301EE12B" w:rsidR="008F593B" w:rsidRPr="008F593B" w:rsidRDefault="008F593B" w:rsidP="008F593B">
      <w:pPr>
        <w:rPr>
          <w:rFonts w:ascii="Calibri" w:hAnsi="Calibri"/>
          <w:color w:val="1F497D"/>
          <w:sz w:val="28"/>
          <w:szCs w:val="28"/>
        </w:rPr>
      </w:pPr>
      <w:r>
        <w:rPr>
          <w:rFonts w:ascii="Calibri" w:hAnsi="Calibri"/>
          <w:color w:val="1F497D"/>
          <w:sz w:val="28"/>
          <w:szCs w:val="28"/>
        </w:rPr>
        <w:t>“</w:t>
      </w:r>
      <w:r w:rsidRPr="008F593B">
        <w:rPr>
          <w:rFonts w:ascii="Calibri" w:hAnsi="Calibri"/>
          <w:color w:val="1F497D"/>
          <w:sz w:val="28"/>
          <w:szCs w:val="28"/>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6107C638" w14:textId="77777777" w:rsidR="008F593B" w:rsidRPr="008F593B" w:rsidRDefault="008F593B" w:rsidP="008F593B">
      <w:pPr>
        <w:rPr>
          <w:rFonts w:ascii="Calibri" w:hAnsi="Calibri"/>
          <w:color w:val="1F497D"/>
          <w:sz w:val="28"/>
          <w:szCs w:val="28"/>
        </w:rPr>
      </w:pPr>
    </w:p>
    <w:p w14:paraId="024C2B23" w14:textId="77777777" w:rsidR="008F593B" w:rsidRPr="008F593B" w:rsidRDefault="008F593B" w:rsidP="008F593B">
      <w:pPr>
        <w:rPr>
          <w:rFonts w:ascii="Calibri" w:hAnsi="Calibri"/>
          <w:color w:val="1F497D"/>
          <w:sz w:val="28"/>
          <w:szCs w:val="28"/>
        </w:rPr>
      </w:pPr>
      <w:r w:rsidRPr="008F593B">
        <w:rPr>
          <w:rFonts w:ascii="Calibri" w:hAnsi="Calibri"/>
          <w:color w:val="1F497D"/>
          <w:sz w:val="28"/>
          <w:szCs w:val="28"/>
        </w:rPr>
        <w:t>With</w:t>
      </w:r>
    </w:p>
    <w:p w14:paraId="3F1F9A8F" w14:textId="38396567" w:rsidR="008F593B" w:rsidRDefault="008F593B" w:rsidP="008F593B">
      <w:pPr>
        <w:rPr>
          <w:rFonts w:ascii="Calibri" w:hAnsi="Calibri"/>
          <w:color w:val="1F497D"/>
          <w:sz w:val="28"/>
          <w:szCs w:val="28"/>
        </w:rPr>
      </w:pPr>
      <w:r w:rsidRPr="008F593B">
        <w:rPr>
          <w:rFonts w:ascii="Calibri" w:hAnsi="Calibri"/>
          <w:color w:val="1F497D"/>
          <w:sz w:val="28"/>
          <w:szCs w:val="28"/>
        </w:rP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 xml:space="preserve"> Figure 10-46 illustrates this </w:t>
      </w:r>
      <w:r w:rsidR="008A0A31">
        <w:rPr>
          <w:rFonts w:ascii="Calibri" w:hAnsi="Calibri"/>
          <w:color w:val="1F497D"/>
          <w:sz w:val="28"/>
          <w:szCs w:val="28"/>
        </w:rPr>
        <w:t>behaviour.</w:t>
      </w:r>
      <w:r w:rsidRPr="008F593B">
        <w:rPr>
          <w:rFonts w:ascii="Calibri" w:hAnsi="Calibri"/>
          <w:color w:val="1F497D"/>
          <w:sz w:val="28"/>
          <w:szCs w:val="28"/>
        </w:rPr>
        <w:t>”</w:t>
      </w:r>
    </w:p>
    <w:p w14:paraId="232F74F5" w14:textId="7612FCC6" w:rsidR="008F593B" w:rsidRDefault="008F593B" w:rsidP="00A91B77">
      <w:pPr>
        <w:rPr>
          <w:rFonts w:ascii="Calibri" w:hAnsi="Calibri"/>
          <w:color w:val="1F497D"/>
          <w:sz w:val="28"/>
          <w:szCs w:val="28"/>
        </w:rPr>
      </w:pPr>
    </w:p>
    <w:p w14:paraId="20E861BE" w14:textId="2F21EEA5" w:rsidR="007D70D6" w:rsidRDefault="007D70D6" w:rsidP="00A91B77">
      <w:pPr>
        <w:rPr>
          <w:rFonts w:ascii="Calibri" w:hAnsi="Calibri"/>
          <w:color w:val="1F497D"/>
          <w:sz w:val="28"/>
          <w:szCs w:val="28"/>
        </w:rPr>
      </w:pPr>
      <w:r>
        <w:rPr>
          <w:rFonts w:ascii="Calibri" w:hAnsi="Calibri"/>
          <w:color w:val="1F497D"/>
          <w:sz w:val="28"/>
          <w:szCs w:val="28"/>
        </w:rPr>
        <w:t>And in Figure 10-46, change “loop 1,n” to “loop &lt;1, inf&gt;”</w:t>
      </w: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40BBC3CD" w14:textId="77777777" w:rsidR="000B46D7" w:rsidRDefault="000B46D7" w:rsidP="000B46D7">
      <w:pPr>
        <w:rPr>
          <w:sz w:val="20"/>
          <w:szCs w:val="20"/>
          <w:lang w:val="en-US"/>
        </w:rPr>
      </w:pPr>
    </w:p>
    <w:p w14:paraId="6115D292" w14:textId="77777777" w:rsidR="000B46D7" w:rsidRDefault="000B46D7" w:rsidP="000B46D7">
      <w:pPr>
        <w:rPr>
          <w:sz w:val="20"/>
          <w:szCs w:val="20"/>
          <w:lang w:val="en-US"/>
        </w:rPr>
      </w:pPr>
    </w:p>
    <w:p w14:paraId="743B3931" w14:textId="77777777" w:rsidR="000B46D7" w:rsidRDefault="000B46D7" w:rsidP="000B46D7">
      <w:pPr>
        <w:rPr>
          <w:sz w:val="20"/>
          <w:szCs w:val="20"/>
          <w:lang w:val="en-US"/>
        </w:rPr>
      </w:pPr>
    </w:p>
    <w:p w14:paraId="1F0E0D88" w14:textId="77777777" w:rsidR="000B46D7" w:rsidRDefault="000B46D7" w:rsidP="000B46D7">
      <w:pPr>
        <w:rPr>
          <w:sz w:val="20"/>
          <w:szCs w:val="20"/>
          <w:lang w:val="en-US"/>
        </w:rPr>
      </w:pPr>
    </w:p>
    <w:p w14:paraId="7929D047" w14:textId="77777777" w:rsidR="000B46D7" w:rsidRDefault="000B46D7" w:rsidP="000B46D7"/>
    <w:p w14:paraId="47AF4083" w14:textId="77777777" w:rsidR="00DA7D5D" w:rsidRDefault="00DA7D5D">
      <w:r>
        <w:t>CID 3322 – Clause 10.16.4.3</w:t>
      </w:r>
    </w:p>
    <w:p w14:paraId="329DC14A" w14:textId="77777777" w:rsidR="00DA7D5D" w:rsidRDefault="00DA7D5D"/>
    <w:p w14:paraId="1D92D936" w14:textId="6213A088" w:rsidR="00DA7D5D" w:rsidRDefault="00DA7D5D">
      <w:r>
        <w:t>Proposed Resolution: Revised</w:t>
      </w:r>
    </w:p>
    <w:p w14:paraId="6FC876BB" w14:textId="77777777" w:rsidR="00DA7D5D" w:rsidRDefault="00DA7D5D" w:rsidP="00DA7D5D">
      <w:pPr>
        <w:widowControl w:val="0"/>
        <w:autoSpaceDE w:val="0"/>
        <w:autoSpaceDN w:val="0"/>
        <w:adjustRightInd w:val="0"/>
        <w:rPr>
          <w:sz w:val="20"/>
          <w:szCs w:val="20"/>
          <w:lang w:val="en-US"/>
        </w:rPr>
      </w:pPr>
      <w:r>
        <w:t>“</w:t>
      </w:r>
      <w:r>
        <w:rPr>
          <w:sz w:val="20"/>
          <w:szCs w:val="20"/>
          <w:lang w:val="en-US"/>
        </w:rPr>
        <w:t>An AP shall not transmit a 40 MHz PPDU containing one or more frames with a group address in the</w:t>
      </w:r>
    </w:p>
    <w:p w14:paraId="787FCB42" w14:textId="77777777" w:rsidR="00DA7D5D" w:rsidRDefault="00DA7D5D" w:rsidP="00DA7D5D">
      <w:pPr>
        <w:widowControl w:val="0"/>
        <w:autoSpaceDE w:val="0"/>
        <w:autoSpaceDN w:val="0"/>
        <w:adjustRightInd w:val="0"/>
        <w:rPr>
          <w:sz w:val="20"/>
          <w:szCs w:val="20"/>
          <w:lang w:val="en-US"/>
        </w:rPr>
      </w:pPr>
      <w:r>
        <w:rPr>
          <w:sz w:val="20"/>
          <w:szCs w:val="20"/>
          <w:lang w:val="en-US"/>
        </w:rPr>
        <w:t>Address 1 field unless the following three conditions are true:</w:t>
      </w:r>
    </w:p>
    <w:p w14:paraId="1303935B" w14:textId="135E0327" w:rsidR="00DA7D5D" w:rsidRPr="00DA7D5D" w:rsidRDefault="00DA7D5D" w:rsidP="00DA7D5D">
      <w:pPr>
        <w:widowControl w:val="0"/>
        <w:autoSpaceDE w:val="0"/>
        <w:autoSpaceDN w:val="0"/>
        <w:adjustRightInd w:val="0"/>
        <w:rPr>
          <w:sz w:val="20"/>
          <w:szCs w:val="20"/>
          <w:u w:val="single"/>
          <w:lang w:val="en-US"/>
        </w:rPr>
      </w:pPr>
      <w:r>
        <w:rPr>
          <w:sz w:val="20"/>
          <w:szCs w:val="20"/>
          <w:lang w:val="en-US"/>
        </w:rPr>
        <w:t xml:space="preserve">— The Supported Channel Width Set subfield of the HT Capabilities element of the AP </w:t>
      </w:r>
      <w:r w:rsidRPr="00DA7D5D">
        <w:rPr>
          <w:sz w:val="20"/>
          <w:szCs w:val="20"/>
          <w:u w:val="single"/>
          <w:lang w:val="en-US"/>
        </w:rPr>
        <w:t>and all associated STAs</w:t>
      </w:r>
    </w:p>
    <w:p w14:paraId="59A58F66" w14:textId="0B38BCF0" w:rsidR="00DA7D5D" w:rsidRPr="00DA7D5D" w:rsidRDefault="00DA7D5D" w:rsidP="00DA7D5D">
      <w:pPr>
        <w:widowControl w:val="0"/>
        <w:autoSpaceDE w:val="0"/>
        <w:autoSpaceDN w:val="0"/>
        <w:adjustRightInd w:val="0"/>
        <w:rPr>
          <w:sz w:val="20"/>
          <w:szCs w:val="20"/>
          <w:u w:val="single"/>
          <w:lang w:val="en-US"/>
        </w:rPr>
      </w:pPr>
      <w:r w:rsidRPr="007D70D6">
        <w:rPr>
          <w:sz w:val="20"/>
          <w:szCs w:val="20"/>
          <w:lang w:val="en-US"/>
        </w:rPr>
        <w:t>are equal to a nonzero value</w:t>
      </w:r>
      <w:r w:rsidRPr="00DA7D5D">
        <w:rPr>
          <w:sz w:val="20"/>
          <w:szCs w:val="20"/>
          <w:u w:val="single"/>
          <w:lang w:val="en-US"/>
        </w:rPr>
        <w:t>.</w:t>
      </w:r>
    </w:p>
    <w:p w14:paraId="3F7B0F9A" w14:textId="77777777" w:rsidR="00DA7D5D" w:rsidRDefault="00DA7D5D" w:rsidP="00DA7D5D">
      <w:pPr>
        <w:widowControl w:val="0"/>
        <w:autoSpaceDE w:val="0"/>
        <w:autoSpaceDN w:val="0"/>
        <w:adjustRightInd w:val="0"/>
        <w:rPr>
          <w:sz w:val="20"/>
          <w:szCs w:val="20"/>
          <w:lang w:val="en-US"/>
        </w:rPr>
      </w:pPr>
      <w:r>
        <w:rPr>
          <w:sz w:val="20"/>
          <w:szCs w:val="20"/>
          <w:lang w:val="en-US"/>
        </w:rPr>
        <w:t>— The Secondary Channel Offset field of the AP’s most recently transmitted HT Operation element</w:t>
      </w:r>
    </w:p>
    <w:p w14:paraId="6F124EB9" w14:textId="77777777" w:rsidR="00DA7D5D" w:rsidRDefault="00DA7D5D" w:rsidP="00DA7D5D">
      <w:pPr>
        <w:widowControl w:val="0"/>
        <w:autoSpaceDE w:val="0"/>
        <w:autoSpaceDN w:val="0"/>
        <w:adjustRightInd w:val="0"/>
        <w:rPr>
          <w:sz w:val="20"/>
          <w:szCs w:val="20"/>
          <w:lang w:val="en-US"/>
        </w:rPr>
      </w:pPr>
      <w:r>
        <w:rPr>
          <w:sz w:val="20"/>
          <w:szCs w:val="20"/>
          <w:lang w:val="en-US"/>
        </w:rPr>
        <w:t>has a value of SCA or SCB</w:t>
      </w:r>
    </w:p>
    <w:p w14:paraId="2C630FDC" w14:textId="77777777" w:rsidR="00DA7D5D" w:rsidRDefault="00DA7D5D" w:rsidP="00DA7D5D">
      <w:pPr>
        <w:widowControl w:val="0"/>
        <w:autoSpaceDE w:val="0"/>
        <w:autoSpaceDN w:val="0"/>
        <w:adjustRightInd w:val="0"/>
        <w:rPr>
          <w:sz w:val="20"/>
          <w:szCs w:val="20"/>
          <w:lang w:val="en-US"/>
        </w:rPr>
      </w:pPr>
      <w:r>
        <w:rPr>
          <w:sz w:val="20"/>
          <w:szCs w:val="20"/>
          <w:lang w:val="en-US"/>
        </w:rPr>
        <w:t>— The local boolean variable 40MHzOperatingClass  is true.</w:t>
      </w:r>
    </w:p>
    <w:p w14:paraId="5D187EE9" w14:textId="77777777" w:rsidR="00DA7D5D" w:rsidRDefault="00DA7D5D" w:rsidP="00DA7D5D">
      <w:pPr>
        <w:widowControl w:val="0"/>
        <w:autoSpaceDE w:val="0"/>
        <w:autoSpaceDN w:val="0"/>
        <w:adjustRightInd w:val="0"/>
        <w:rPr>
          <w:sz w:val="20"/>
          <w:szCs w:val="20"/>
          <w:lang w:val="en-US"/>
        </w:rPr>
      </w:pPr>
    </w:p>
    <w:p w14:paraId="6F64401D" w14:textId="77777777" w:rsidR="00DA7D5D" w:rsidRDefault="00DA7D5D" w:rsidP="00DA7D5D">
      <w:pPr>
        <w:widowControl w:val="0"/>
        <w:autoSpaceDE w:val="0"/>
        <w:autoSpaceDN w:val="0"/>
        <w:adjustRightInd w:val="0"/>
        <w:rPr>
          <w:sz w:val="20"/>
          <w:szCs w:val="20"/>
          <w:lang w:val="en-US"/>
        </w:rPr>
      </w:pPr>
      <w:r>
        <w:rPr>
          <w:sz w:val="20"/>
          <w:szCs w:val="20"/>
          <w:lang w:val="en-US"/>
        </w:rPr>
        <w:t>If the above three conditions are met, the AP should not transmit a 40 MHz PPDU containing one or more</w:t>
      </w:r>
    </w:p>
    <w:p w14:paraId="73FC8687" w14:textId="77777777" w:rsidR="00DA7D5D" w:rsidRDefault="00DA7D5D" w:rsidP="00DA7D5D">
      <w:pPr>
        <w:widowControl w:val="0"/>
        <w:autoSpaceDE w:val="0"/>
        <w:autoSpaceDN w:val="0"/>
        <w:adjustRightInd w:val="0"/>
        <w:rPr>
          <w:sz w:val="20"/>
          <w:szCs w:val="20"/>
          <w:lang w:val="en-US"/>
        </w:rPr>
      </w:pPr>
      <w:r>
        <w:rPr>
          <w:sz w:val="20"/>
          <w:szCs w:val="20"/>
          <w:lang w:val="en-US"/>
        </w:rPr>
        <w:t>frames with a group address in the Address 1 field if the most recently received Notify Channel Width frame</w:t>
      </w:r>
    </w:p>
    <w:p w14:paraId="724F40C4" w14:textId="77777777" w:rsidR="00F43C50" w:rsidRDefault="00DA7D5D" w:rsidP="00DA7D5D">
      <w:pPr>
        <w:rPr>
          <w:sz w:val="20"/>
          <w:szCs w:val="20"/>
          <w:lang w:val="en-US"/>
        </w:rPr>
      </w:pPr>
      <w:r>
        <w:rPr>
          <w:sz w:val="20"/>
          <w:szCs w:val="20"/>
          <w:lang w:val="en-US"/>
        </w:rPr>
        <w:t>for any of the STAs associated with the AP has the Channel Width field equal to 0.”</w:t>
      </w:r>
    </w:p>
    <w:p w14:paraId="43CF84A7" w14:textId="77777777" w:rsidR="00F43C50" w:rsidRDefault="00F43C50" w:rsidP="00DA7D5D">
      <w:pPr>
        <w:rPr>
          <w:sz w:val="20"/>
          <w:szCs w:val="20"/>
          <w:lang w:val="en-US"/>
        </w:rPr>
      </w:pPr>
    </w:p>
    <w:p w14:paraId="1603F48F" w14:textId="77777777" w:rsidR="00F43C50" w:rsidRDefault="00F43C50" w:rsidP="00DA7D5D">
      <w:pPr>
        <w:rPr>
          <w:szCs w:val="22"/>
          <w:lang w:val="en-US"/>
        </w:rPr>
      </w:pPr>
      <w:r w:rsidRPr="00F43C50">
        <w:rPr>
          <w:szCs w:val="22"/>
          <w:lang w:val="en-US"/>
        </w:rPr>
        <w:t>CID 3345:</w:t>
      </w:r>
    </w:p>
    <w:p w14:paraId="4668A6A0" w14:textId="77777777" w:rsidR="00F43C50" w:rsidRDefault="00F43C50" w:rsidP="00DA7D5D">
      <w:pPr>
        <w:rPr>
          <w:szCs w:val="22"/>
          <w:lang w:val="en-US"/>
        </w:rPr>
      </w:pPr>
    </w:p>
    <w:p w14:paraId="78868DC0" w14:textId="77777777" w:rsidR="00F43C50" w:rsidRDefault="00F43C50" w:rsidP="00DA7D5D">
      <w:pPr>
        <w:rPr>
          <w:szCs w:val="22"/>
          <w:lang w:val="en-US"/>
        </w:rPr>
      </w:pPr>
      <w:r>
        <w:rPr>
          <w:szCs w:val="22"/>
          <w:lang w:val="en-US"/>
        </w:rPr>
        <w:t>The cited paragraph already refers to AP’s when it references STAs.</w:t>
      </w:r>
    </w:p>
    <w:p w14:paraId="5545E063" w14:textId="77777777" w:rsidR="00F43C50" w:rsidRDefault="00F43C50" w:rsidP="00DA7D5D">
      <w:pPr>
        <w:rPr>
          <w:szCs w:val="22"/>
          <w:lang w:val="en-US"/>
        </w:rPr>
      </w:pPr>
    </w:p>
    <w:p w14:paraId="0712C2CE" w14:textId="77777777" w:rsidR="00043CFA" w:rsidRDefault="00F43C50" w:rsidP="00DA7D5D">
      <w:pPr>
        <w:rPr>
          <w:szCs w:val="22"/>
          <w:lang w:val="en-US"/>
        </w:rPr>
      </w:pPr>
      <w:r>
        <w:rPr>
          <w:szCs w:val="22"/>
          <w:lang w:val="en-US"/>
        </w:rPr>
        <w:t>Proposed resolution. “Rejected. The beginning of the paragraph refers explicitly to an infrastructure BSS. The TSF timer accuracy clearly refers to an AP since it is a STA that transmits a TSF timestamp in Beacon frames.”</w:t>
      </w:r>
    </w:p>
    <w:p w14:paraId="189E12F1" w14:textId="77777777" w:rsidR="00043CFA" w:rsidRDefault="00043CFA" w:rsidP="00DA7D5D">
      <w:pPr>
        <w:rPr>
          <w:szCs w:val="22"/>
          <w:lang w:val="en-US"/>
        </w:rPr>
      </w:pPr>
    </w:p>
    <w:p w14:paraId="31835E37" w14:textId="77777777" w:rsidR="00043CFA" w:rsidRDefault="00043CFA" w:rsidP="00DA7D5D">
      <w:pPr>
        <w:rPr>
          <w:szCs w:val="22"/>
          <w:lang w:val="en-US"/>
        </w:rPr>
      </w:pPr>
      <w:r>
        <w:rPr>
          <w:szCs w:val="22"/>
          <w:lang w:val="en-US"/>
        </w:rPr>
        <w:t>CID 3355:</w:t>
      </w:r>
    </w:p>
    <w:p w14:paraId="0F12E944" w14:textId="77777777" w:rsidR="00043CFA" w:rsidRDefault="00043CFA" w:rsidP="00DA7D5D">
      <w:pPr>
        <w:rPr>
          <w:szCs w:val="22"/>
          <w:lang w:val="en-US"/>
        </w:rPr>
      </w:pPr>
    </w:p>
    <w:p w14:paraId="299F11D4" w14:textId="77777777" w:rsidR="00043CFA" w:rsidRDefault="00043CFA" w:rsidP="00DA7D5D">
      <w:pPr>
        <w:rPr>
          <w:szCs w:val="22"/>
          <w:lang w:val="en-US"/>
        </w:rPr>
      </w:pPr>
      <w:r>
        <w:rPr>
          <w:szCs w:val="22"/>
          <w:lang w:val="en-US"/>
        </w:rPr>
        <w:t>The commentor really has not provided enough information to resolve the comment. The requested change would require multiple changes to the draft in multiple locations. Therefore there really isn’t enough information provided to resolve this comment.</w:t>
      </w:r>
    </w:p>
    <w:p w14:paraId="6642A27D" w14:textId="77777777" w:rsidR="00043CFA" w:rsidRDefault="00043CFA" w:rsidP="00DA7D5D">
      <w:pPr>
        <w:rPr>
          <w:szCs w:val="22"/>
          <w:lang w:val="en-US"/>
        </w:rPr>
      </w:pPr>
    </w:p>
    <w:p w14:paraId="65272256" w14:textId="77777777" w:rsidR="0029121B" w:rsidRDefault="00043CFA" w:rsidP="00DA7D5D">
      <w:pPr>
        <w:rPr>
          <w:szCs w:val="22"/>
          <w:lang w:val="en-US"/>
        </w:rPr>
      </w:pPr>
      <w:r>
        <w:rPr>
          <w:szCs w:val="22"/>
          <w:lang w:val="en-US"/>
        </w:rPr>
        <w:t>Proposed resolution: “</w:t>
      </w:r>
      <w:r w:rsidR="0029121B">
        <w:rPr>
          <w:szCs w:val="22"/>
          <w:lang w:val="en-US"/>
        </w:rPr>
        <w:t xml:space="preserve">Rejected. </w:t>
      </w:r>
      <w:r w:rsidR="0029121B" w:rsidRPr="0029121B">
        <w:rPr>
          <w:szCs w:val="22"/>
          <w:lang w:val="en-US"/>
        </w:rPr>
        <w:t>The comment fails to identify changes in sufficient detail so that the specific wording of the changes that will satisfy the commenter can be determined.</w:t>
      </w:r>
      <w:r w:rsidR="0029121B">
        <w:rPr>
          <w:szCs w:val="22"/>
          <w:lang w:val="en-US"/>
        </w:rPr>
        <w:t>”</w:t>
      </w:r>
      <w:r>
        <w:rPr>
          <w:szCs w:val="22"/>
          <w:lang w:val="en-US"/>
        </w:rPr>
        <w:t xml:space="preserve"> </w:t>
      </w:r>
    </w:p>
    <w:p w14:paraId="742008BA" w14:textId="77777777" w:rsidR="0029121B" w:rsidRDefault="0029121B" w:rsidP="00DA7D5D">
      <w:pPr>
        <w:rPr>
          <w:szCs w:val="22"/>
          <w:lang w:val="en-US"/>
        </w:rPr>
      </w:pPr>
    </w:p>
    <w:p w14:paraId="0BFBC946" w14:textId="767399D9" w:rsidR="0029121B" w:rsidRDefault="00A16123" w:rsidP="0029121B">
      <w:pPr>
        <w:rPr>
          <w:szCs w:val="22"/>
          <w:lang w:val="en-US"/>
        </w:rPr>
      </w:pPr>
      <w:r>
        <w:rPr>
          <w:szCs w:val="22"/>
          <w:lang w:val="en-US"/>
        </w:rPr>
        <w:t>CID 3374</w:t>
      </w:r>
      <w:r w:rsidR="0029121B">
        <w:rPr>
          <w:szCs w:val="22"/>
          <w:lang w:val="en-US"/>
        </w:rPr>
        <w:t xml:space="preserve">: </w:t>
      </w:r>
    </w:p>
    <w:p w14:paraId="293EBB05" w14:textId="77777777" w:rsidR="0029121B" w:rsidRDefault="0029121B" w:rsidP="0029121B">
      <w:pPr>
        <w:rPr>
          <w:szCs w:val="22"/>
          <w:lang w:val="en-US"/>
        </w:rPr>
      </w:pPr>
    </w:p>
    <w:p w14:paraId="29E034EE" w14:textId="38977FDF" w:rsidR="0029121B" w:rsidRDefault="0029121B" w:rsidP="0029121B">
      <w:pPr>
        <w:rPr>
          <w:szCs w:val="22"/>
          <w:lang w:val="en-US"/>
        </w:rPr>
      </w:pPr>
      <w:r>
        <w:rPr>
          <w:szCs w:val="22"/>
          <w:lang w:val="en-US"/>
        </w:rPr>
        <w:t>The TSF timer is transmitted and maintained internally by a STA – it is not maintained by multiple STAs. Therefore there is no need to add a note.</w:t>
      </w:r>
    </w:p>
    <w:p w14:paraId="39B38F91" w14:textId="77777777" w:rsidR="0029121B" w:rsidRDefault="0029121B" w:rsidP="0029121B">
      <w:pPr>
        <w:rPr>
          <w:szCs w:val="22"/>
          <w:lang w:val="en-US"/>
        </w:rPr>
      </w:pPr>
    </w:p>
    <w:p w14:paraId="27A9588E" w14:textId="5F10BB07" w:rsidR="007A00FA" w:rsidRDefault="0029121B" w:rsidP="00A6650F">
      <w:pPr>
        <w:rPr>
          <w:szCs w:val="22"/>
          <w:lang w:val="en-US"/>
        </w:rPr>
      </w:pPr>
      <w:r>
        <w:rPr>
          <w:szCs w:val="22"/>
          <w:lang w:val="en-US"/>
        </w:rPr>
        <w:t xml:space="preserve">Proposed resolution: “Rejected. The TSF timer is maintained by a STA and is updated based on receipt of a TSF timestamp.  There is no need to </w:t>
      </w:r>
      <w:r w:rsidR="00A16123">
        <w:rPr>
          <w:szCs w:val="22"/>
          <w:lang w:val="en-US"/>
        </w:rPr>
        <w:t>add a note to confirm the accuracy is 0.02 %.</w:t>
      </w:r>
    </w:p>
    <w:p w14:paraId="07494B0E" w14:textId="77777777" w:rsidR="00A6650F" w:rsidRDefault="00A6650F" w:rsidP="00A6650F">
      <w:pPr>
        <w:rPr>
          <w:szCs w:val="22"/>
          <w:lang w:val="en-US"/>
        </w:rPr>
      </w:pPr>
    </w:p>
    <w:p w14:paraId="21D11022" w14:textId="77777777" w:rsidR="00A6650F" w:rsidRPr="00A6650F" w:rsidRDefault="00A6650F" w:rsidP="00A6650F">
      <w:pPr>
        <w:rPr>
          <w:szCs w:val="22"/>
          <w:lang w:val="en-US"/>
        </w:rPr>
      </w:pPr>
    </w:p>
    <w:p w14:paraId="2769A2E9" w14:textId="77777777" w:rsidR="007A00FA" w:rsidRPr="007A00FA" w:rsidRDefault="007A00FA" w:rsidP="007A00FA">
      <w:pPr>
        <w:widowControl w:val="0"/>
        <w:autoSpaceDE w:val="0"/>
        <w:autoSpaceDN w:val="0"/>
        <w:adjustRightInd w:val="0"/>
        <w:rPr>
          <w:sz w:val="20"/>
          <w:szCs w:val="20"/>
          <w:lang w:val="en-US"/>
        </w:rPr>
      </w:pPr>
    </w:p>
    <w:tbl>
      <w:tblPr>
        <w:tblStyle w:val="TableGrid"/>
        <w:tblW w:w="9747" w:type="dxa"/>
        <w:tblLayout w:type="fixed"/>
        <w:tblLook w:val="04A0" w:firstRow="1" w:lastRow="0" w:firstColumn="1" w:lastColumn="0" w:noHBand="0" w:noVBand="1"/>
      </w:tblPr>
      <w:tblGrid>
        <w:gridCol w:w="573"/>
        <w:gridCol w:w="1236"/>
        <w:gridCol w:w="851"/>
        <w:gridCol w:w="992"/>
        <w:gridCol w:w="1985"/>
        <w:gridCol w:w="1842"/>
        <w:gridCol w:w="2268"/>
      </w:tblGrid>
      <w:tr w:rsidR="007A00FA" w:rsidRPr="00BE0FD3" w14:paraId="656A8DE1" w14:textId="77777777" w:rsidTr="00A6650F">
        <w:trPr>
          <w:trHeight w:val="337"/>
        </w:trPr>
        <w:tc>
          <w:tcPr>
            <w:tcW w:w="573" w:type="dxa"/>
          </w:tcPr>
          <w:p w14:paraId="0DCB4011" w14:textId="15BB0B7E"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CID</w:t>
            </w:r>
          </w:p>
        </w:tc>
        <w:tc>
          <w:tcPr>
            <w:tcW w:w="1236" w:type="dxa"/>
          </w:tcPr>
          <w:p w14:paraId="49657EE7" w14:textId="43B49A8B"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Commenter</w:t>
            </w:r>
          </w:p>
        </w:tc>
        <w:tc>
          <w:tcPr>
            <w:tcW w:w="851" w:type="dxa"/>
          </w:tcPr>
          <w:p w14:paraId="55C23CA2" w14:textId="0299A210"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Page</w:t>
            </w:r>
          </w:p>
        </w:tc>
        <w:tc>
          <w:tcPr>
            <w:tcW w:w="992" w:type="dxa"/>
          </w:tcPr>
          <w:p w14:paraId="179CEF17" w14:textId="5AEAF1F0" w:rsidR="007A00FA" w:rsidRPr="00BE0FD3" w:rsidRDefault="007A00FA" w:rsidP="007A00FA">
            <w:pPr>
              <w:rPr>
                <w:rFonts w:ascii="Arial" w:hAnsi="Arial" w:cs="Arial"/>
                <w:sz w:val="16"/>
                <w:szCs w:val="16"/>
              </w:rPr>
            </w:pPr>
            <w:r w:rsidRPr="003A6145">
              <w:rPr>
                <w:rFonts w:ascii="Arial" w:hAnsi="Arial" w:cs="Arial"/>
                <w:b/>
                <w:bCs/>
                <w:sz w:val="16"/>
                <w:szCs w:val="16"/>
                <w:lang w:val="en-CA"/>
              </w:rPr>
              <w:t>Clause</w:t>
            </w:r>
          </w:p>
        </w:tc>
        <w:tc>
          <w:tcPr>
            <w:tcW w:w="1985" w:type="dxa"/>
          </w:tcPr>
          <w:p w14:paraId="7A8D0FD5" w14:textId="025071E4"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w:t>
            </w:r>
          </w:p>
        </w:tc>
        <w:tc>
          <w:tcPr>
            <w:tcW w:w="1842" w:type="dxa"/>
          </w:tcPr>
          <w:p w14:paraId="10A54D5A" w14:textId="632DD8F2" w:rsidR="007A00FA" w:rsidRPr="00BE0FD3" w:rsidRDefault="007A00FA" w:rsidP="007A00FA">
            <w:pPr>
              <w:rPr>
                <w:rFonts w:ascii="Arial" w:hAnsi="Arial" w:cs="Arial"/>
                <w:sz w:val="16"/>
                <w:szCs w:val="16"/>
              </w:rPr>
            </w:pPr>
            <w:r w:rsidRPr="003A6145">
              <w:rPr>
                <w:rFonts w:ascii="Arial" w:hAnsi="Arial" w:cs="Arial"/>
                <w:b/>
                <w:bCs/>
                <w:sz w:val="16"/>
                <w:szCs w:val="16"/>
                <w:lang w:val="en-CA"/>
              </w:rPr>
              <w:t>Proposed Change</w:t>
            </w:r>
          </w:p>
        </w:tc>
        <w:tc>
          <w:tcPr>
            <w:tcW w:w="2268" w:type="dxa"/>
          </w:tcPr>
          <w:p w14:paraId="3095299F" w14:textId="70E8A0B1" w:rsidR="007A00FA" w:rsidRPr="0001136F" w:rsidRDefault="007A00FA" w:rsidP="007A00FA">
            <w:pPr>
              <w:rPr>
                <w:rFonts w:ascii="Arial" w:hAnsi="Arial" w:cs="Arial"/>
                <w:sz w:val="16"/>
                <w:szCs w:val="16"/>
                <w:lang w:val="en-US"/>
              </w:rPr>
            </w:pPr>
            <w:r>
              <w:rPr>
                <w:rFonts w:ascii="Arial" w:hAnsi="Arial" w:cs="Arial"/>
                <w:b/>
                <w:bCs/>
                <w:sz w:val="16"/>
                <w:szCs w:val="16"/>
                <w:lang w:val="en-CA"/>
              </w:rPr>
              <w:t>Resolution</w:t>
            </w:r>
          </w:p>
        </w:tc>
      </w:tr>
      <w:tr w:rsidR="007A00FA" w:rsidRPr="005F1804" w14:paraId="01065301" w14:textId="77777777" w:rsidTr="007A00FA">
        <w:trPr>
          <w:trHeight w:val="960"/>
        </w:trPr>
        <w:tc>
          <w:tcPr>
            <w:tcW w:w="573" w:type="dxa"/>
            <w:hideMark/>
          </w:tcPr>
          <w:p w14:paraId="2D0D48B2" w14:textId="77777777" w:rsidR="007A00FA" w:rsidRPr="005F1804" w:rsidRDefault="007A00FA" w:rsidP="007A00FA">
            <w:pPr>
              <w:jc w:val="right"/>
              <w:rPr>
                <w:rFonts w:ascii="Arial" w:hAnsi="Arial" w:cs="Arial"/>
                <w:sz w:val="16"/>
                <w:szCs w:val="16"/>
                <w:highlight w:val="yellow"/>
              </w:rPr>
            </w:pPr>
            <w:r w:rsidRPr="005F1804">
              <w:rPr>
                <w:rFonts w:ascii="Arial" w:hAnsi="Arial" w:cs="Arial"/>
                <w:sz w:val="16"/>
                <w:szCs w:val="16"/>
                <w:highlight w:val="yellow"/>
              </w:rPr>
              <w:t>3504</w:t>
            </w:r>
          </w:p>
        </w:tc>
        <w:tc>
          <w:tcPr>
            <w:tcW w:w="1236" w:type="dxa"/>
            <w:hideMark/>
          </w:tcPr>
          <w:p w14:paraId="71AA9D31"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Mark Hamilton</w:t>
            </w:r>
          </w:p>
        </w:tc>
        <w:tc>
          <w:tcPr>
            <w:tcW w:w="851" w:type="dxa"/>
            <w:hideMark/>
          </w:tcPr>
          <w:p w14:paraId="395D5A69" w14:textId="77777777" w:rsidR="007A00FA" w:rsidRPr="005F1804" w:rsidRDefault="007A00FA" w:rsidP="007A00FA">
            <w:pPr>
              <w:jc w:val="right"/>
              <w:rPr>
                <w:rFonts w:ascii="Arial" w:hAnsi="Arial" w:cs="Arial"/>
                <w:sz w:val="16"/>
                <w:szCs w:val="16"/>
                <w:highlight w:val="yellow"/>
              </w:rPr>
            </w:pPr>
            <w:r w:rsidRPr="005F1804">
              <w:rPr>
                <w:rFonts w:ascii="Arial" w:hAnsi="Arial" w:cs="Arial"/>
                <w:sz w:val="16"/>
                <w:szCs w:val="16"/>
                <w:highlight w:val="yellow"/>
              </w:rPr>
              <w:t>1666.42</w:t>
            </w:r>
          </w:p>
        </w:tc>
        <w:tc>
          <w:tcPr>
            <w:tcW w:w="992" w:type="dxa"/>
            <w:hideMark/>
          </w:tcPr>
          <w:p w14:paraId="4D62407D"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10.12.2.2</w:t>
            </w:r>
          </w:p>
        </w:tc>
        <w:tc>
          <w:tcPr>
            <w:tcW w:w="1985" w:type="dxa"/>
            <w:hideMark/>
          </w:tcPr>
          <w:p w14:paraId="4D50ED27"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"issue an MLME-ENABLEMENT.confirm primitive with ResultCode set to provide."  To provide what?</w:t>
            </w:r>
          </w:p>
        </w:tc>
        <w:tc>
          <w:tcPr>
            <w:tcW w:w="1842" w:type="dxa"/>
            <w:hideMark/>
          </w:tcPr>
          <w:p w14:paraId="34A6C0AB"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Finish the sentence</w:t>
            </w:r>
          </w:p>
        </w:tc>
        <w:tc>
          <w:tcPr>
            <w:tcW w:w="2268" w:type="dxa"/>
          </w:tcPr>
          <w:p w14:paraId="7C3A2F3E"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Proposed Resolution:</w:t>
            </w:r>
          </w:p>
          <w:p w14:paraId="5F335688"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lang w:val="en-US"/>
              </w:rPr>
              <w:t>Revised. Remove “d)” at cited location. At 281.26, insert at start of second sentence. “In the case that a response is received from the responder STA,”</w:t>
            </w:r>
          </w:p>
          <w:p w14:paraId="4F8B86BB" w14:textId="77777777" w:rsidR="007A00FA" w:rsidRPr="005F1804" w:rsidRDefault="007A00FA" w:rsidP="007A00FA">
            <w:pPr>
              <w:rPr>
                <w:rFonts w:ascii="Arial" w:hAnsi="Arial" w:cs="Arial"/>
                <w:sz w:val="16"/>
                <w:szCs w:val="16"/>
                <w:highlight w:val="yellow"/>
              </w:rPr>
            </w:pPr>
          </w:p>
          <w:p w14:paraId="36BCA048"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At 1603.1</w:t>
            </w:r>
          </w:p>
          <w:p w14:paraId="7D5DB6A8"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STA with the result code set to provide and inform ...”</w:t>
            </w:r>
          </w:p>
          <w:p w14:paraId="0F353655"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To</w:t>
            </w:r>
          </w:p>
          <w:p w14:paraId="0772128E"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STA with the Reason Code set to TIMEOUT and inform …”</w:t>
            </w:r>
          </w:p>
          <w:p w14:paraId="3E3E837D" w14:textId="77777777" w:rsidR="007A00FA" w:rsidRPr="005F1804" w:rsidRDefault="007A00FA" w:rsidP="007A00FA">
            <w:pPr>
              <w:rPr>
                <w:rFonts w:ascii="Arial" w:hAnsi="Arial" w:cs="Arial"/>
                <w:sz w:val="16"/>
                <w:szCs w:val="16"/>
                <w:highlight w:val="yellow"/>
              </w:rPr>
            </w:pPr>
          </w:p>
          <w:p w14:paraId="7F472B32"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At 1609.54</w:t>
            </w:r>
          </w:p>
          <w:p w14:paraId="685126BB"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STA with the Reason Code field set to provide and shall issue …”</w:t>
            </w:r>
          </w:p>
          <w:p w14:paraId="0C47C0A8"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to</w:t>
            </w:r>
          </w:p>
          <w:p w14:paraId="37B6B603"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STA with the Reason Code field set to TIMEOUT and shall issue ...”</w:t>
            </w:r>
          </w:p>
          <w:p w14:paraId="777167C7" w14:textId="77777777" w:rsidR="007A00FA" w:rsidRPr="005F1804" w:rsidRDefault="007A00FA" w:rsidP="007A00FA">
            <w:pPr>
              <w:rPr>
                <w:rFonts w:ascii="Arial" w:hAnsi="Arial" w:cs="Arial"/>
                <w:sz w:val="16"/>
                <w:szCs w:val="16"/>
                <w:highlight w:val="yellow"/>
                <w:lang w:val="en-US"/>
              </w:rPr>
            </w:pPr>
          </w:p>
          <w:p w14:paraId="54A74390"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1617.5</w:t>
            </w:r>
          </w:p>
          <w:p w14:paraId="2FD7D856"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destination MAC address and the reason code set to provide.</w:t>
            </w:r>
          </w:p>
          <w:p w14:paraId="069319BC"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To</w:t>
            </w:r>
          </w:p>
          <w:p w14:paraId="544F0781"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destination MAC address and the reason code set to TIMEOUT.”</w:t>
            </w:r>
          </w:p>
          <w:p w14:paraId="76DFC144" w14:textId="77777777" w:rsidR="007A00FA" w:rsidRPr="005F1804" w:rsidRDefault="007A00FA" w:rsidP="007A00FA">
            <w:pPr>
              <w:rPr>
                <w:rFonts w:ascii="Arial" w:hAnsi="Arial" w:cs="Arial"/>
                <w:sz w:val="16"/>
                <w:szCs w:val="16"/>
                <w:highlight w:val="yellow"/>
              </w:rPr>
            </w:pPr>
          </w:p>
        </w:tc>
      </w:tr>
    </w:tbl>
    <w:p w14:paraId="26B718E7" w14:textId="77777777" w:rsidR="007A00FA" w:rsidRDefault="007A00FA" w:rsidP="007A00FA">
      <w:pPr>
        <w:rPr>
          <w:sz w:val="24"/>
        </w:rPr>
      </w:pPr>
    </w:p>
    <w:p w14:paraId="35A94C14" w14:textId="77777777" w:rsidR="007A00FA" w:rsidRDefault="007A00FA" w:rsidP="007A00FA">
      <w:pPr>
        <w:rPr>
          <w:sz w:val="24"/>
        </w:rPr>
      </w:pPr>
      <w:r>
        <w:rPr>
          <w:sz w:val="24"/>
        </w:rPr>
        <w:t>CID 3504 – After consulation with PeterE, the recommendation is to remove “d)” at the cited location.</w:t>
      </w:r>
    </w:p>
    <w:p w14:paraId="3AD869DE" w14:textId="77777777" w:rsidR="007A00FA" w:rsidRDefault="007A00FA" w:rsidP="007A00FA">
      <w:pPr>
        <w:rPr>
          <w:sz w:val="24"/>
        </w:rPr>
      </w:pPr>
    </w:p>
    <w:p w14:paraId="1B6231E2" w14:textId="77777777" w:rsidR="007A00FA" w:rsidRDefault="007A00FA" w:rsidP="007A00FA">
      <w:pPr>
        <w:rPr>
          <w:sz w:val="24"/>
        </w:rPr>
      </w:pPr>
      <w:r>
        <w:rPr>
          <w:sz w:val="24"/>
        </w:rPr>
        <w:t>Mark Rison’s comments on the proposed resolution:</w:t>
      </w:r>
    </w:p>
    <w:p w14:paraId="2120627A" w14:textId="77777777" w:rsidR="007A00FA" w:rsidRDefault="007A00FA" w:rsidP="007A00FA">
      <w:pPr>
        <w:rPr>
          <w:sz w:val="24"/>
        </w:rPr>
      </w:pPr>
    </w:p>
    <w:p w14:paraId="726E9EB6" w14:textId="77777777" w:rsidR="007A00FA" w:rsidRPr="00093FDF" w:rsidRDefault="007A00FA" w:rsidP="007A00FA">
      <w:pPr>
        <w:rPr>
          <w:sz w:val="24"/>
          <w:lang w:val="en-US"/>
        </w:rPr>
      </w:pPr>
      <w:r>
        <w:rPr>
          <w:sz w:val="24"/>
        </w:rPr>
        <w:t xml:space="preserve"> “</w:t>
      </w:r>
      <w:r w:rsidRPr="00093FDF">
        <w:rPr>
          <w:sz w:val="24"/>
          <w:lang w:val="en-US"/>
        </w:rPr>
        <w:t>- For 3504, surely you have to issue something, else the SME will just</w:t>
      </w:r>
    </w:p>
    <w:p w14:paraId="18CB9565" w14:textId="77777777" w:rsidR="007A00FA" w:rsidRPr="00093FDF" w:rsidRDefault="007A00FA" w:rsidP="007A00FA">
      <w:pPr>
        <w:rPr>
          <w:sz w:val="24"/>
          <w:lang w:val="en-US"/>
        </w:rPr>
      </w:pPr>
      <w:r w:rsidRPr="00093FDF">
        <w:rPr>
          <w:sz w:val="24"/>
          <w:lang w:val="en-US"/>
        </w:rPr>
        <w:t>be sitting there forever (per 281.26).  Isn't the answer to change "set</w:t>
      </w:r>
    </w:p>
    <w:p w14:paraId="552EFF1C" w14:textId="77777777" w:rsidR="007A00FA" w:rsidRPr="00093FDF" w:rsidRDefault="007A00FA" w:rsidP="007A00FA">
      <w:pPr>
        <w:rPr>
          <w:sz w:val="24"/>
          <w:lang w:val="en-US"/>
        </w:rPr>
      </w:pPr>
      <w:r w:rsidRPr="00093FDF">
        <w:rPr>
          <w:sz w:val="24"/>
          <w:lang w:val="en-US"/>
        </w:rPr>
        <w:t>to provide" to "set to TIMEOUT" and add TIMEOUT to the list at 282.4?</w:t>
      </w:r>
    </w:p>
    <w:p w14:paraId="06FDB097" w14:textId="77777777" w:rsidR="007A00FA" w:rsidRPr="00093FDF" w:rsidRDefault="007A00FA" w:rsidP="007A00FA">
      <w:pPr>
        <w:rPr>
          <w:sz w:val="24"/>
          <w:lang w:val="en-US"/>
        </w:rPr>
      </w:pPr>
      <w:r w:rsidRPr="00093FDF">
        <w:rPr>
          <w:sz w:val="24"/>
          <w:lang w:val="en-US"/>
        </w:rPr>
        <w:t>BTW, "ReasResultCode" at 1666.13 should be "ResultCode".</w:t>
      </w:r>
    </w:p>
    <w:p w14:paraId="4D6C350C" w14:textId="77777777" w:rsidR="007A00FA" w:rsidRPr="00093FDF" w:rsidRDefault="007A00FA" w:rsidP="007A00FA">
      <w:pPr>
        <w:rPr>
          <w:sz w:val="24"/>
          <w:lang w:val="en-US"/>
        </w:rPr>
      </w:pPr>
      <w:r w:rsidRPr="00093FDF">
        <w:rPr>
          <w:sz w:val="24"/>
          <w:lang w:val="en-US"/>
        </w:rPr>
        <w:t> </w:t>
      </w:r>
    </w:p>
    <w:p w14:paraId="4B3BDCEF" w14:textId="77777777" w:rsidR="007A00FA" w:rsidRDefault="007A00FA" w:rsidP="007A00FA">
      <w:pPr>
        <w:rPr>
          <w:sz w:val="24"/>
          <w:lang w:val="en-US"/>
        </w:rPr>
      </w:pPr>
      <w:r w:rsidRPr="00093FDF">
        <w:rPr>
          <w:sz w:val="24"/>
          <w:lang w:val="en-US"/>
        </w:rPr>
        <w:t>- There are three other "set to provide"s (1603.1, 1609.54, 1617.5)...</w:t>
      </w:r>
      <w:r>
        <w:rPr>
          <w:sz w:val="24"/>
          <w:lang w:val="en-US"/>
        </w:rPr>
        <w:t>”</w:t>
      </w:r>
    </w:p>
    <w:p w14:paraId="529792EB" w14:textId="77777777" w:rsidR="007A00FA" w:rsidRDefault="007A00FA" w:rsidP="007A00FA">
      <w:pPr>
        <w:rPr>
          <w:sz w:val="24"/>
          <w:lang w:val="en-US"/>
        </w:rPr>
      </w:pPr>
    </w:p>
    <w:p w14:paraId="1BEC0FE6" w14:textId="77777777" w:rsidR="007A00FA" w:rsidRDefault="007A00FA" w:rsidP="007A00FA">
      <w:pPr>
        <w:rPr>
          <w:sz w:val="24"/>
          <w:lang w:val="en-US"/>
        </w:rPr>
      </w:pPr>
      <w:r>
        <w:rPr>
          <w:sz w:val="24"/>
          <w:lang w:val="en-US"/>
        </w:rPr>
        <w:t>Proposed Resolution:</w:t>
      </w:r>
    </w:p>
    <w:p w14:paraId="4A2AABD1" w14:textId="77777777" w:rsidR="007A00FA" w:rsidRPr="00707353" w:rsidRDefault="007A00FA" w:rsidP="007A00FA">
      <w:pPr>
        <w:rPr>
          <w:sz w:val="24"/>
        </w:rPr>
      </w:pPr>
      <w:r>
        <w:rPr>
          <w:sz w:val="24"/>
          <w:lang w:val="en-US"/>
        </w:rPr>
        <w:t>Revised. Remove “d)” at cited location. At 281.26, insert at start of second sentence. “In the case that a response is received from the responder STA,”</w:t>
      </w:r>
    </w:p>
    <w:p w14:paraId="620E52C8" w14:textId="77777777" w:rsidR="007A00FA" w:rsidRDefault="007A00FA" w:rsidP="007A00FA"/>
    <w:p w14:paraId="5A8AA509" w14:textId="77777777" w:rsidR="007A00FA" w:rsidRDefault="007A00FA" w:rsidP="007A00FA">
      <w:r>
        <w:t>1603.1</w:t>
      </w:r>
    </w:p>
    <w:p w14:paraId="13EA3712" w14:textId="77777777" w:rsidR="007A00FA" w:rsidRPr="0001136F" w:rsidRDefault="007A00FA" w:rsidP="007A00FA">
      <w:pPr>
        <w:widowControl w:val="0"/>
        <w:autoSpaceDE w:val="0"/>
        <w:autoSpaceDN w:val="0"/>
        <w:adjustRightInd w:val="0"/>
        <w:rPr>
          <w:sz w:val="20"/>
          <w:szCs w:val="20"/>
          <w:lang w:val="en-US"/>
        </w:rPr>
      </w:pPr>
      <w:r>
        <w:rPr>
          <w:sz w:val="20"/>
          <w:szCs w:val="20"/>
          <w:lang w:val="en-US"/>
        </w:rPr>
        <w:t>Change “In response to an inactivity timeout, an HC shall send a DELTS frame to the STA with the result code set to provide and inform its SME using the MLME-DELTS.indication primitive.”</w:t>
      </w:r>
    </w:p>
    <w:p w14:paraId="1B4F5720" w14:textId="77777777" w:rsidR="007A00FA" w:rsidRDefault="007A00FA" w:rsidP="007A00FA">
      <w:r>
        <w:t>To</w:t>
      </w:r>
    </w:p>
    <w:p w14:paraId="7B751372" w14:textId="6FB72C44" w:rsidR="007A00FA" w:rsidRPr="00A6650F" w:rsidRDefault="007A00FA" w:rsidP="00A6650F">
      <w:pPr>
        <w:widowControl w:val="0"/>
        <w:autoSpaceDE w:val="0"/>
        <w:autoSpaceDN w:val="0"/>
        <w:adjustRightInd w:val="0"/>
        <w:rPr>
          <w:sz w:val="20"/>
          <w:szCs w:val="20"/>
          <w:lang w:val="en-US"/>
        </w:rPr>
      </w:pPr>
      <w:r>
        <w:rPr>
          <w:sz w:val="20"/>
          <w:szCs w:val="20"/>
          <w:lang w:val="en-US"/>
        </w:rPr>
        <w:t>“In response to an inactivity timeout, an HC shall send a DELTS frame to the STA with the Reason Code set to TIMEOUT and inform its SME using the MLME-DELTS.indication primitive.”</w:t>
      </w:r>
    </w:p>
    <w:p w14:paraId="5577E5EA" w14:textId="77777777" w:rsidR="007A00FA" w:rsidRDefault="007A00FA" w:rsidP="007A00FA"/>
    <w:p w14:paraId="73BC1241" w14:textId="77777777" w:rsidR="007A00FA" w:rsidRDefault="007A00FA" w:rsidP="007A00FA">
      <w:r>
        <w:t>1609.54</w:t>
      </w:r>
    </w:p>
    <w:p w14:paraId="11153610" w14:textId="77777777" w:rsidR="007A00FA" w:rsidRDefault="007A00FA" w:rsidP="007A00FA">
      <w:pPr>
        <w:widowControl w:val="0"/>
        <w:autoSpaceDE w:val="0"/>
        <w:autoSpaceDN w:val="0"/>
        <w:adjustRightInd w:val="0"/>
        <w:rPr>
          <w:sz w:val="20"/>
          <w:szCs w:val="20"/>
          <w:lang w:val="en-US"/>
        </w:rPr>
      </w:pPr>
      <w:r>
        <w:rPr>
          <w:sz w:val="20"/>
          <w:szCs w:val="20"/>
          <w:lang w:val="en-US"/>
        </w:rPr>
        <w:t>Change “When a timeout of BlockAckTimeout is detected, the STA shall send a</w:t>
      </w:r>
    </w:p>
    <w:p w14:paraId="75C7AD65"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provide and shall issue an MLMEDELBA.</w:t>
      </w:r>
    </w:p>
    <w:p w14:paraId="0853F4A1"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17DC7E8F" w14:textId="77777777" w:rsidR="007A00FA" w:rsidRDefault="007A00FA" w:rsidP="007A00FA">
      <w:pPr>
        <w:rPr>
          <w:sz w:val="20"/>
          <w:szCs w:val="20"/>
          <w:lang w:val="en-US"/>
        </w:rPr>
      </w:pPr>
      <w:r>
        <w:rPr>
          <w:sz w:val="20"/>
          <w:szCs w:val="20"/>
          <w:lang w:val="en-US"/>
        </w:rPr>
        <w:t>to</w:t>
      </w:r>
    </w:p>
    <w:p w14:paraId="00F00507" w14:textId="77777777" w:rsidR="007A00FA" w:rsidRDefault="007A00FA" w:rsidP="007A00FA">
      <w:pPr>
        <w:widowControl w:val="0"/>
        <w:autoSpaceDE w:val="0"/>
        <w:autoSpaceDN w:val="0"/>
        <w:adjustRightInd w:val="0"/>
        <w:rPr>
          <w:sz w:val="20"/>
          <w:szCs w:val="20"/>
          <w:lang w:val="en-US"/>
        </w:rPr>
      </w:pPr>
      <w:r>
        <w:rPr>
          <w:sz w:val="20"/>
          <w:szCs w:val="20"/>
          <w:lang w:val="en-US"/>
        </w:rPr>
        <w:t>“When a timeout of BlockAckTimeout is detected, the STA shall send a</w:t>
      </w:r>
    </w:p>
    <w:p w14:paraId="12FD7F30"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TIMEOUT and shall issue an MLMEDELBA.</w:t>
      </w:r>
    </w:p>
    <w:p w14:paraId="22051D45"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3940B453" w14:textId="77777777" w:rsidR="007A00FA" w:rsidRDefault="007A00FA" w:rsidP="007A00FA">
      <w:pPr>
        <w:rPr>
          <w:sz w:val="20"/>
          <w:szCs w:val="20"/>
          <w:lang w:val="en-US"/>
        </w:rPr>
      </w:pPr>
    </w:p>
    <w:p w14:paraId="0252A498" w14:textId="77777777" w:rsidR="007A00FA" w:rsidRDefault="007A00FA" w:rsidP="007A00FA">
      <w:pPr>
        <w:rPr>
          <w:sz w:val="20"/>
          <w:szCs w:val="20"/>
          <w:lang w:val="en-US"/>
        </w:rPr>
      </w:pPr>
      <w:r>
        <w:rPr>
          <w:sz w:val="20"/>
          <w:szCs w:val="20"/>
          <w:lang w:val="en-US"/>
        </w:rPr>
        <w:t>1617.5</w:t>
      </w:r>
    </w:p>
    <w:p w14:paraId="3780FB24" w14:textId="77777777" w:rsidR="007A00FA" w:rsidRDefault="007A00FA" w:rsidP="007A00FA">
      <w:pPr>
        <w:widowControl w:val="0"/>
        <w:autoSpaceDE w:val="0"/>
        <w:autoSpaceDN w:val="0"/>
        <w:adjustRightInd w:val="0"/>
        <w:rPr>
          <w:sz w:val="20"/>
          <w:szCs w:val="20"/>
          <w:lang w:val="en-US"/>
        </w:rPr>
      </w:pPr>
      <w:r>
        <w:rPr>
          <w:sz w:val="20"/>
          <w:szCs w:val="20"/>
          <w:lang w:val="en-US"/>
        </w:rPr>
        <w:t>Change “When the direct link becomes inactive due to the timeout, the MLME issues an</w:t>
      </w:r>
    </w:p>
    <w:p w14:paraId="6A2F5617"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3506A22C" w14:textId="77777777" w:rsidR="007A00FA" w:rsidRDefault="007A00FA" w:rsidP="007A00FA">
      <w:pPr>
        <w:rPr>
          <w:sz w:val="20"/>
          <w:szCs w:val="20"/>
          <w:lang w:val="en-US"/>
        </w:rPr>
      </w:pPr>
      <w:r>
        <w:rPr>
          <w:sz w:val="20"/>
          <w:szCs w:val="20"/>
          <w:lang w:val="en-US"/>
        </w:rPr>
        <w:t>with the peer MAC address as the destination MAC address and the reason code set to provide.</w:t>
      </w:r>
    </w:p>
    <w:p w14:paraId="5A884873" w14:textId="77777777" w:rsidR="007A00FA" w:rsidRDefault="007A00FA" w:rsidP="007A00FA">
      <w:pPr>
        <w:rPr>
          <w:sz w:val="20"/>
          <w:szCs w:val="20"/>
          <w:lang w:val="en-US"/>
        </w:rPr>
      </w:pPr>
      <w:r>
        <w:rPr>
          <w:sz w:val="20"/>
          <w:szCs w:val="20"/>
          <w:lang w:val="en-US"/>
        </w:rPr>
        <w:t>To</w:t>
      </w:r>
    </w:p>
    <w:p w14:paraId="39505525" w14:textId="77777777" w:rsidR="007A00FA" w:rsidRDefault="007A00FA" w:rsidP="007A00FA">
      <w:pPr>
        <w:widowControl w:val="0"/>
        <w:autoSpaceDE w:val="0"/>
        <w:autoSpaceDN w:val="0"/>
        <w:adjustRightInd w:val="0"/>
        <w:rPr>
          <w:sz w:val="20"/>
          <w:szCs w:val="20"/>
          <w:lang w:val="en-US"/>
        </w:rPr>
      </w:pPr>
      <w:r>
        <w:rPr>
          <w:sz w:val="20"/>
          <w:szCs w:val="20"/>
          <w:lang w:val="en-US"/>
        </w:rPr>
        <w:t>“When the direct link becomes inactive due to the timeout, the MLME issues an</w:t>
      </w:r>
    </w:p>
    <w:p w14:paraId="59DF3F76"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64927598" w14:textId="77777777" w:rsidR="007A00FA" w:rsidRDefault="007A00FA" w:rsidP="007A00FA">
      <w:pPr>
        <w:rPr>
          <w:sz w:val="20"/>
          <w:szCs w:val="20"/>
          <w:lang w:val="en-US"/>
        </w:rPr>
      </w:pPr>
      <w:r>
        <w:rPr>
          <w:sz w:val="20"/>
          <w:szCs w:val="20"/>
          <w:lang w:val="en-US"/>
        </w:rPr>
        <w:t>with the peer MAC address as the destination MAC address and the reason code set to TIMEOUT.”</w:t>
      </w:r>
    </w:p>
    <w:p w14:paraId="61B63F5A" w14:textId="77777777" w:rsidR="007A00FA" w:rsidRDefault="007A00FA" w:rsidP="007A00FA">
      <w:pPr>
        <w:rPr>
          <w:sz w:val="20"/>
          <w:szCs w:val="20"/>
          <w:lang w:val="en-US"/>
        </w:rPr>
      </w:pPr>
    </w:p>
    <w:p w14:paraId="288D2927" w14:textId="59CE96E2" w:rsidR="007A00FA" w:rsidRDefault="007A00FA" w:rsidP="007A00FA">
      <w:pPr>
        <w:widowControl w:val="0"/>
        <w:autoSpaceDE w:val="0"/>
        <w:autoSpaceDN w:val="0"/>
        <w:adjustRightInd w:val="0"/>
        <w:rPr>
          <w:b/>
          <w:sz w:val="24"/>
        </w:rPr>
      </w:pPr>
      <w:r>
        <w:rPr>
          <w:b/>
          <w:sz w:val="24"/>
        </w:rPr>
        <w:t>Power-Saving:</w:t>
      </w:r>
    </w:p>
    <w:p w14:paraId="28317793" w14:textId="77777777" w:rsidR="00260088" w:rsidRDefault="00260088" w:rsidP="007A00FA">
      <w:pPr>
        <w:widowControl w:val="0"/>
        <w:autoSpaceDE w:val="0"/>
        <w:autoSpaceDN w:val="0"/>
        <w:adjustRightInd w:val="0"/>
        <w:rPr>
          <w:b/>
          <w:sz w:val="24"/>
        </w:rPr>
      </w:pPr>
    </w:p>
    <w:tbl>
      <w:tblPr>
        <w:tblStyle w:val="TableGrid"/>
        <w:tblW w:w="9576" w:type="dxa"/>
        <w:tblLook w:val="04A0" w:firstRow="1" w:lastRow="0" w:firstColumn="1" w:lastColumn="0" w:noHBand="0" w:noVBand="1"/>
      </w:tblPr>
      <w:tblGrid>
        <w:gridCol w:w="572"/>
        <w:gridCol w:w="1106"/>
        <w:gridCol w:w="818"/>
        <w:gridCol w:w="928"/>
        <w:gridCol w:w="1393"/>
        <w:gridCol w:w="2585"/>
        <w:gridCol w:w="2174"/>
      </w:tblGrid>
      <w:tr w:rsidR="007A00FA" w:rsidRPr="003A6145" w14:paraId="65EEC175" w14:textId="77777777" w:rsidTr="00260088">
        <w:trPr>
          <w:trHeight w:val="557"/>
        </w:trPr>
        <w:tc>
          <w:tcPr>
            <w:tcW w:w="572" w:type="dxa"/>
          </w:tcPr>
          <w:p w14:paraId="5BF99E83" w14:textId="21314066"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CID</w:t>
            </w:r>
          </w:p>
        </w:tc>
        <w:tc>
          <w:tcPr>
            <w:tcW w:w="1106" w:type="dxa"/>
          </w:tcPr>
          <w:p w14:paraId="1242EBD9" w14:textId="79803CFA"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Commenter</w:t>
            </w:r>
          </w:p>
        </w:tc>
        <w:tc>
          <w:tcPr>
            <w:tcW w:w="818" w:type="dxa"/>
          </w:tcPr>
          <w:p w14:paraId="2C5E98A8" w14:textId="47B03E4D"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Page</w:t>
            </w:r>
          </w:p>
        </w:tc>
        <w:tc>
          <w:tcPr>
            <w:tcW w:w="928" w:type="dxa"/>
          </w:tcPr>
          <w:p w14:paraId="4413410B" w14:textId="4F52F700" w:rsidR="007A00FA" w:rsidRPr="003A6145" w:rsidRDefault="007A00FA" w:rsidP="00260088">
            <w:pPr>
              <w:rPr>
                <w:rFonts w:ascii="Arial" w:hAnsi="Arial" w:cs="Arial"/>
                <w:sz w:val="16"/>
                <w:szCs w:val="16"/>
              </w:rPr>
            </w:pPr>
            <w:r w:rsidRPr="003A6145">
              <w:rPr>
                <w:rFonts w:ascii="Arial" w:hAnsi="Arial" w:cs="Arial"/>
                <w:b/>
                <w:bCs/>
                <w:sz w:val="16"/>
                <w:szCs w:val="16"/>
                <w:lang w:val="en-CA"/>
              </w:rPr>
              <w:t>Clause</w:t>
            </w:r>
          </w:p>
        </w:tc>
        <w:tc>
          <w:tcPr>
            <w:tcW w:w="1393" w:type="dxa"/>
          </w:tcPr>
          <w:p w14:paraId="31B31EEF" w14:textId="3CDA8B79"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w:t>
            </w:r>
          </w:p>
        </w:tc>
        <w:tc>
          <w:tcPr>
            <w:tcW w:w="2585" w:type="dxa"/>
          </w:tcPr>
          <w:p w14:paraId="3FB68BCB" w14:textId="27257DF2" w:rsidR="007A00FA" w:rsidRPr="003A6145" w:rsidRDefault="007A00FA" w:rsidP="00260088">
            <w:pPr>
              <w:rPr>
                <w:rFonts w:ascii="Arial" w:hAnsi="Arial" w:cs="Arial"/>
                <w:sz w:val="16"/>
                <w:szCs w:val="16"/>
              </w:rPr>
            </w:pPr>
            <w:r w:rsidRPr="003A6145">
              <w:rPr>
                <w:rFonts w:ascii="Arial" w:hAnsi="Arial" w:cs="Arial"/>
                <w:b/>
                <w:bCs/>
                <w:sz w:val="16"/>
                <w:szCs w:val="16"/>
                <w:lang w:val="en-CA"/>
              </w:rPr>
              <w:t>Proposed Change</w:t>
            </w:r>
          </w:p>
        </w:tc>
        <w:tc>
          <w:tcPr>
            <w:tcW w:w="2174" w:type="dxa"/>
          </w:tcPr>
          <w:p w14:paraId="591DC3D6" w14:textId="645D7059" w:rsidR="007A00FA" w:rsidRDefault="007A00FA" w:rsidP="00260088">
            <w:pPr>
              <w:rPr>
                <w:rFonts w:ascii="Arial" w:hAnsi="Arial" w:cs="Arial"/>
                <w:sz w:val="16"/>
                <w:szCs w:val="16"/>
              </w:rPr>
            </w:pPr>
            <w:r>
              <w:rPr>
                <w:rFonts w:ascii="Arial" w:hAnsi="Arial" w:cs="Arial"/>
                <w:b/>
                <w:bCs/>
                <w:sz w:val="16"/>
                <w:szCs w:val="16"/>
                <w:lang w:val="en-CA"/>
              </w:rPr>
              <w:t>Resolution</w:t>
            </w:r>
          </w:p>
        </w:tc>
      </w:tr>
      <w:tr w:rsidR="007A00FA" w:rsidRPr="003A6145" w14:paraId="6683A59B" w14:textId="77777777" w:rsidTr="00260088">
        <w:trPr>
          <w:trHeight w:val="1200"/>
        </w:trPr>
        <w:tc>
          <w:tcPr>
            <w:tcW w:w="572" w:type="dxa"/>
            <w:hideMark/>
          </w:tcPr>
          <w:p w14:paraId="3773B532"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3119</w:t>
            </w:r>
          </w:p>
        </w:tc>
        <w:tc>
          <w:tcPr>
            <w:tcW w:w="1106" w:type="dxa"/>
            <w:hideMark/>
          </w:tcPr>
          <w:p w14:paraId="6CFB163A" w14:textId="77777777" w:rsidR="007A00FA" w:rsidRPr="003A6145" w:rsidRDefault="007A00FA" w:rsidP="00260088">
            <w:pPr>
              <w:rPr>
                <w:rFonts w:ascii="Arial" w:hAnsi="Arial" w:cs="Arial"/>
                <w:sz w:val="16"/>
                <w:szCs w:val="16"/>
              </w:rPr>
            </w:pPr>
            <w:r w:rsidRPr="003A6145">
              <w:rPr>
                <w:rFonts w:ascii="Arial" w:hAnsi="Arial" w:cs="Arial"/>
                <w:sz w:val="16"/>
                <w:szCs w:val="16"/>
              </w:rPr>
              <w:t>Graham Smith</w:t>
            </w:r>
          </w:p>
        </w:tc>
        <w:tc>
          <w:tcPr>
            <w:tcW w:w="818" w:type="dxa"/>
            <w:hideMark/>
          </w:tcPr>
          <w:p w14:paraId="7790B1D1"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1533.12</w:t>
            </w:r>
          </w:p>
        </w:tc>
        <w:tc>
          <w:tcPr>
            <w:tcW w:w="928" w:type="dxa"/>
            <w:hideMark/>
          </w:tcPr>
          <w:p w14:paraId="05029DC9" w14:textId="77777777" w:rsidR="007A00FA" w:rsidRPr="003A6145" w:rsidRDefault="007A00FA" w:rsidP="00260088">
            <w:pPr>
              <w:rPr>
                <w:rFonts w:ascii="Arial" w:hAnsi="Arial" w:cs="Arial"/>
                <w:sz w:val="16"/>
                <w:szCs w:val="16"/>
              </w:rPr>
            </w:pPr>
            <w:r w:rsidRPr="003A6145">
              <w:rPr>
                <w:rFonts w:ascii="Arial" w:hAnsi="Arial" w:cs="Arial"/>
                <w:sz w:val="16"/>
                <w:szCs w:val="16"/>
              </w:rPr>
              <w:t>10.2.2.2</w:t>
            </w:r>
          </w:p>
        </w:tc>
        <w:tc>
          <w:tcPr>
            <w:tcW w:w="1393" w:type="dxa"/>
            <w:hideMark/>
          </w:tcPr>
          <w:p w14:paraId="506BC910"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20D489F"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2A7E57C" w14:textId="77777777" w:rsidR="007A00FA" w:rsidRDefault="007A00FA" w:rsidP="00260088">
            <w:pPr>
              <w:rPr>
                <w:rFonts w:ascii="Arial" w:hAnsi="Arial" w:cs="Arial"/>
                <w:sz w:val="16"/>
                <w:szCs w:val="16"/>
              </w:rPr>
            </w:pPr>
            <w:r>
              <w:rPr>
                <w:rFonts w:ascii="Arial" w:hAnsi="Arial" w:cs="Arial"/>
                <w:sz w:val="16"/>
                <w:szCs w:val="16"/>
              </w:rPr>
              <w:t>Revised.</w:t>
            </w:r>
          </w:p>
          <w:p w14:paraId="5E1BAB33" w14:textId="08FEFF69" w:rsidR="007A00FA" w:rsidRPr="003A6145" w:rsidRDefault="005A3D96" w:rsidP="005A3D96">
            <w:pPr>
              <w:rPr>
                <w:rFonts w:ascii="Arial" w:hAnsi="Arial" w:cs="Arial"/>
                <w:sz w:val="16"/>
                <w:szCs w:val="16"/>
              </w:rPr>
            </w:pPr>
            <w:r>
              <w:rPr>
                <w:rFonts w:ascii="Arial" w:hAnsi="Arial" w:cs="Arial"/>
                <w:sz w:val="16"/>
                <w:szCs w:val="16"/>
              </w:rPr>
              <w:t>Make the changes in</w:t>
            </w:r>
            <w:r w:rsidR="00032A08">
              <w:rPr>
                <w:rFonts w:ascii="Arial" w:hAnsi="Arial" w:cs="Arial"/>
                <w:sz w:val="16"/>
                <w:szCs w:val="16"/>
              </w:rPr>
              <w:t>dicated in document 11-14/0923r7</w:t>
            </w:r>
            <w:r>
              <w:rPr>
                <w:rFonts w:ascii="Arial" w:hAnsi="Arial" w:cs="Arial"/>
                <w:sz w:val="16"/>
                <w:szCs w:val="16"/>
              </w:rPr>
              <w:t xml:space="preserve"> under CID 3119</w:t>
            </w:r>
          </w:p>
        </w:tc>
      </w:tr>
    </w:tbl>
    <w:p w14:paraId="6FABF273" w14:textId="77777777" w:rsidR="007A00FA" w:rsidRDefault="007A00FA"/>
    <w:p w14:paraId="50DF4F12" w14:textId="77777777" w:rsidR="007A00FA" w:rsidRDefault="007A00FA"/>
    <w:p w14:paraId="390E1866" w14:textId="77777777" w:rsidR="0097259B" w:rsidRDefault="0097259B" w:rsidP="007A00FA">
      <w:pPr>
        <w:rPr>
          <w:sz w:val="24"/>
        </w:rPr>
      </w:pPr>
    </w:p>
    <w:p w14:paraId="6CCAD26D" w14:textId="77777777" w:rsidR="0097259B" w:rsidRDefault="0097259B" w:rsidP="007A00FA">
      <w:pPr>
        <w:rPr>
          <w:sz w:val="24"/>
        </w:rPr>
      </w:pPr>
    </w:p>
    <w:p w14:paraId="3BF7837A" w14:textId="77777777" w:rsidR="0097259B" w:rsidRDefault="0097259B" w:rsidP="007A00FA">
      <w:pPr>
        <w:rPr>
          <w:sz w:val="24"/>
        </w:rPr>
      </w:pPr>
    </w:p>
    <w:p w14:paraId="217BBE1B" w14:textId="77777777" w:rsidR="0097259B" w:rsidRDefault="0097259B" w:rsidP="007A00FA">
      <w:pPr>
        <w:rPr>
          <w:sz w:val="24"/>
        </w:rPr>
      </w:pPr>
    </w:p>
    <w:p w14:paraId="2338E308" w14:textId="77777777" w:rsidR="0097259B" w:rsidRDefault="0097259B" w:rsidP="007A00FA">
      <w:pPr>
        <w:rPr>
          <w:sz w:val="24"/>
        </w:rPr>
      </w:pPr>
    </w:p>
    <w:p w14:paraId="586A7FD9" w14:textId="77777777" w:rsidR="0097259B" w:rsidRDefault="0097259B" w:rsidP="007A00FA">
      <w:pPr>
        <w:rPr>
          <w:sz w:val="24"/>
        </w:rPr>
      </w:pPr>
    </w:p>
    <w:p w14:paraId="0A7663D3" w14:textId="3F8ED964" w:rsidR="007A00FA" w:rsidRDefault="007A00FA" w:rsidP="007A00FA">
      <w:pPr>
        <w:rPr>
          <w:sz w:val="24"/>
        </w:rPr>
      </w:pPr>
      <w:r>
        <w:rPr>
          <w:sz w:val="24"/>
        </w:rPr>
        <w:t xml:space="preserve">CID 3119 </w:t>
      </w:r>
      <w:r w:rsidR="00032A08">
        <w:rPr>
          <w:sz w:val="24"/>
        </w:rPr>
        <w:t>Resolution:</w:t>
      </w:r>
      <w:r>
        <w:rPr>
          <w:sz w:val="24"/>
        </w:rPr>
        <w:t xml:space="preserve"> </w:t>
      </w:r>
    </w:p>
    <w:p w14:paraId="74AB4488" w14:textId="77777777" w:rsidR="005A3D96" w:rsidRDefault="005A3D96" w:rsidP="007A00FA">
      <w:pPr>
        <w:rPr>
          <w:sz w:val="24"/>
        </w:rPr>
      </w:pPr>
    </w:p>
    <w:p w14:paraId="69710B44" w14:textId="2571C621" w:rsidR="005A3D96" w:rsidRPr="005A3D96" w:rsidRDefault="00032A08" w:rsidP="007A00FA">
      <w:pPr>
        <w:rPr>
          <w:b/>
          <w:i/>
          <w:sz w:val="24"/>
        </w:rPr>
      </w:pPr>
      <w:r>
        <w:rPr>
          <w:b/>
          <w:i/>
          <w:sz w:val="24"/>
        </w:rPr>
        <w:t>Modify Table 10-2</w:t>
      </w:r>
      <w:r w:rsidR="005A3D96" w:rsidRPr="005A3D96">
        <w:rPr>
          <w:b/>
          <w:i/>
          <w:sz w:val="24"/>
        </w:rPr>
        <w:t xml:space="preserve"> as follows:</w:t>
      </w:r>
    </w:p>
    <w:p w14:paraId="0EDEFE46" w14:textId="2992FFBB" w:rsidR="00260088" w:rsidRDefault="00260088" w:rsidP="007A00FA">
      <w:pPr>
        <w:rPr>
          <w:sz w:val="24"/>
          <w:lang w:val="en-US"/>
        </w:rPr>
      </w:pPr>
    </w:p>
    <w:tbl>
      <w:tblPr>
        <w:tblStyle w:val="TableGrid"/>
        <w:tblW w:w="9606" w:type="dxa"/>
        <w:tblLook w:val="04A0" w:firstRow="1" w:lastRow="0" w:firstColumn="1" w:lastColumn="0" w:noHBand="0" w:noVBand="1"/>
      </w:tblPr>
      <w:tblGrid>
        <w:gridCol w:w="1951"/>
        <w:gridCol w:w="7655"/>
      </w:tblGrid>
      <w:tr w:rsidR="00E51B50" w14:paraId="30E62E08" w14:textId="77777777" w:rsidTr="00E51B50">
        <w:tc>
          <w:tcPr>
            <w:tcW w:w="1951" w:type="dxa"/>
          </w:tcPr>
          <w:p w14:paraId="1E69E44E" w14:textId="45FC3401" w:rsidR="00297B6E" w:rsidRPr="00297B6E" w:rsidRDefault="00297B6E" w:rsidP="00E51B50">
            <w:pPr>
              <w:widowControl w:val="0"/>
              <w:autoSpaceDE w:val="0"/>
              <w:autoSpaceDN w:val="0"/>
              <w:adjustRightInd w:val="0"/>
              <w:jc w:val="center"/>
              <w:rPr>
                <w:b/>
                <w:sz w:val="18"/>
                <w:szCs w:val="18"/>
                <w:lang w:val="en-US"/>
              </w:rPr>
            </w:pPr>
            <w:r w:rsidRPr="00297B6E">
              <w:rPr>
                <w:b/>
                <w:sz w:val="18"/>
                <w:szCs w:val="18"/>
                <w:lang w:val="en-US"/>
              </w:rPr>
              <w:t>Mode</w:t>
            </w:r>
          </w:p>
        </w:tc>
        <w:tc>
          <w:tcPr>
            <w:tcW w:w="7655" w:type="dxa"/>
          </w:tcPr>
          <w:p w14:paraId="5F6835DD" w14:textId="7763D5D0" w:rsidR="00297B6E" w:rsidRPr="00297B6E" w:rsidRDefault="00297B6E" w:rsidP="00E51B50">
            <w:pPr>
              <w:widowControl w:val="0"/>
              <w:autoSpaceDE w:val="0"/>
              <w:autoSpaceDN w:val="0"/>
              <w:adjustRightInd w:val="0"/>
              <w:jc w:val="center"/>
              <w:rPr>
                <w:b/>
                <w:sz w:val="18"/>
                <w:szCs w:val="18"/>
                <w:lang w:val="en-US"/>
              </w:rPr>
            </w:pPr>
            <w:r w:rsidRPr="00297B6E">
              <w:rPr>
                <w:b/>
                <w:sz w:val="18"/>
                <w:szCs w:val="18"/>
                <w:lang w:val="en-US"/>
              </w:rPr>
              <w:t>Summary</w:t>
            </w:r>
          </w:p>
        </w:tc>
      </w:tr>
      <w:tr w:rsidR="00E51B50" w14:paraId="694DF78A" w14:textId="77777777" w:rsidTr="00E51B50">
        <w:tc>
          <w:tcPr>
            <w:tcW w:w="1951" w:type="dxa"/>
          </w:tcPr>
          <w:p w14:paraId="475255CD" w14:textId="430EE96D" w:rsidR="00297B6E" w:rsidRDefault="00297B6E" w:rsidP="00297B6E">
            <w:pPr>
              <w:widowControl w:val="0"/>
              <w:autoSpaceDE w:val="0"/>
              <w:autoSpaceDN w:val="0"/>
              <w:adjustRightInd w:val="0"/>
              <w:rPr>
                <w:sz w:val="18"/>
                <w:szCs w:val="18"/>
                <w:lang w:val="en-US"/>
              </w:rPr>
            </w:pPr>
            <w:r>
              <w:rPr>
                <w:sz w:val="18"/>
                <w:szCs w:val="18"/>
                <w:lang w:val="en-US"/>
              </w:rPr>
              <w:t>Active mode or AM</w:t>
            </w:r>
          </w:p>
          <w:p w14:paraId="0980AD65" w14:textId="77777777" w:rsidR="00297B6E" w:rsidRDefault="00297B6E" w:rsidP="00297B6E">
            <w:pPr>
              <w:widowControl w:val="0"/>
              <w:autoSpaceDE w:val="0"/>
              <w:autoSpaceDN w:val="0"/>
              <w:adjustRightInd w:val="0"/>
              <w:rPr>
                <w:sz w:val="18"/>
                <w:szCs w:val="18"/>
                <w:lang w:val="en-US"/>
              </w:rPr>
            </w:pPr>
          </w:p>
        </w:tc>
        <w:tc>
          <w:tcPr>
            <w:tcW w:w="7655" w:type="dxa"/>
          </w:tcPr>
          <w:p w14:paraId="114026BE" w14:textId="0CCDCF6A" w:rsidR="00297B6E" w:rsidRPr="00360410" w:rsidRDefault="00297B6E" w:rsidP="00297B6E">
            <w:pPr>
              <w:widowControl w:val="0"/>
              <w:autoSpaceDE w:val="0"/>
              <w:autoSpaceDN w:val="0"/>
              <w:adjustRightInd w:val="0"/>
              <w:rPr>
                <w:strike/>
                <w:sz w:val="18"/>
                <w:szCs w:val="18"/>
                <w:lang w:val="en-US"/>
              </w:rPr>
            </w:pPr>
            <w:r>
              <w:rPr>
                <w:sz w:val="18"/>
                <w:szCs w:val="18"/>
                <w:lang w:val="en-US"/>
              </w:rPr>
              <w:t xml:space="preserve">STA </w:t>
            </w:r>
            <w:r w:rsidRPr="00360410">
              <w:rPr>
                <w:strike/>
                <w:sz w:val="18"/>
                <w:szCs w:val="18"/>
                <w:lang w:val="en-US"/>
              </w:rPr>
              <w:t xml:space="preserve">may </w:t>
            </w:r>
            <w:r w:rsidRPr="00032A08">
              <w:rPr>
                <w:sz w:val="18"/>
                <w:szCs w:val="18"/>
                <w:u w:val="single"/>
                <w:lang w:val="en-US"/>
              </w:rPr>
              <w:t>receive</w:t>
            </w:r>
            <w:r w:rsidR="00360410" w:rsidRPr="00032A08">
              <w:rPr>
                <w:sz w:val="18"/>
                <w:szCs w:val="18"/>
                <w:u w:val="single"/>
                <w:lang w:val="en-US"/>
              </w:rPr>
              <w:t>s</w:t>
            </w:r>
            <w:r w:rsidR="00032A08" w:rsidRPr="00032A08">
              <w:rPr>
                <w:sz w:val="18"/>
                <w:szCs w:val="18"/>
                <w:u w:val="single"/>
                <w:lang w:val="en-US"/>
              </w:rPr>
              <w:t xml:space="preserve"> and transmits</w:t>
            </w:r>
            <w:r w:rsidR="00032A08">
              <w:rPr>
                <w:sz w:val="18"/>
                <w:szCs w:val="18"/>
                <w:lang w:val="en-US"/>
              </w:rPr>
              <w:t xml:space="preserve"> frames at any time. The</w:t>
            </w:r>
            <w:r>
              <w:rPr>
                <w:sz w:val="18"/>
                <w:szCs w:val="18"/>
                <w:lang w:val="en-US"/>
              </w:rPr>
              <w:t xml:space="preserve"> STA </w:t>
            </w:r>
            <w:r w:rsidRPr="00E51B50">
              <w:rPr>
                <w:strike/>
                <w:sz w:val="18"/>
                <w:szCs w:val="18"/>
                <w:lang w:val="en-US"/>
              </w:rPr>
              <w:t>shall be</w:t>
            </w:r>
            <w:r>
              <w:rPr>
                <w:sz w:val="18"/>
                <w:szCs w:val="18"/>
                <w:lang w:val="en-US"/>
              </w:rPr>
              <w:t xml:space="preserve"> </w:t>
            </w:r>
            <w:r w:rsidR="00E51B50" w:rsidRPr="00E51B50">
              <w:rPr>
                <w:sz w:val="18"/>
                <w:szCs w:val="18"/>
                <w:u w:val="single"/>
                <w:lang w:val="en-US"/>
              </w:rPr>
              <w:t>remains</w:t>
            </w:r>
            <w:r w:rsidR="00E51B50">
              <w:rPr>
                <w:sz w:val="18"/>
                <w:szCs w:val="18"/>
                <w:lang w:val="en-US"/>
              </w:rPr>
              <w:t xml:space="preserve"> </w:t>
            </w:r>
            <w:r>
              <w:rPr>
                <w:sz w:val="18"/>
                <w:szCs w:val="18"/>
                <w:lang w:val="en-US"/>
              </w:rPr>
              <w:t xml:space="preserve">in the Awake state. </w:t>
            </w:r>
            <w:r w:rsidRPr="00360410">
              <w:rPr>
                <w:strike/>
                <w:sz w:val="18"/>
                <w:szCs w:val="18"/>
                <w:lang w:val="en-US"/>
              </w:rPr>
              <w:t>A</w:t>
            </w:r>
          </w:p>
          <w:p w14:paraId="651B0F8D" w14:textId="0E9F56F8" w:rsidR="00297B6E" w:rsidRPr="00360410" w:rsidRDefault="00297B6E" w:rsidP="00297B6E">
            <w:pPr>
              <w:widowControl w:val="0"/>
              <w:autoSpaceDE w:val="0"/>
              <w:autoSpaceDN w:val="0"/>
              <w:adjustRightInd w:val="0"/>
              <w:rPr>
                <w:strike/>
                <w:sz w:val="18"/>
                <w:szCs w:val="18"/>
                <w:lang w:val="en-US"/>
              </w:rPr>
            </w:pPr>
            <w:r w:rsidRPr="00360410">
              <w:rPr>
                <w:strike/>
                <w:sz w:val="18"/>
                <w:szCs w:val="18"/>
                <w:lang w:val="en-US"/>
              </w:rPr>
              <w:t xml:space="preserve">STA on the polling list of a PCF shall be </w:t>
            </w:r>
            <w:r w:rsidR="00E51B50" w:rsidRPr="00360410">
              <w:rPr>
                <w:strike/>
                <w:sz w:val="18"/>
                <w:szCs w:val="18"/>
                <w:lang w:val="en-US"/>
              </w:rPr>
              <w:t xml:space="preserve">remains </w:t>
            </w:r>
            <w:r w:rsidRPr="00360410">
              <w:rPr>
                <w:strike/>
                <w:sz w:val="18"/>
                <w:szCs w:val="18"/>
                <w:lang w:val="en-US"/>
              </w:rPr>
              <w:t>in Active mode for the duration of the CFP.</w:t>
            </w:r>
          </w:p>
          <w:p w14:paraId="2888AFEB" w14:textId="77777777" w:rsidR="00297B6E" w:rsidRDefault="00297B6E" w:rsidP="00297B6E">
            <w:pPr>
              <w:widowControl w:val="0"/>
              <w:autoSpaceDE w:val="0"/>
              <w:autoSpaceDN w:val="0"/>
              <w:adjustRightInd w:val="0"/>
              <w:rPr>
                <w:sz w:val="18"/>
                <w:szCs w:val="18"/>
                <w:lang w:val="en-US"/>
              </w:rPr>
            </w:pPr>
          </w:p>
        </w:tc>
      </w:tr>
      <w:tr w:rsidR="00E51B50" w14:paraId="43A874EF" w14:textId="77777777" w:rsidTr="00E51B50">
        <w:tc>
          <w:tcPr>
            <w:tcW w:w="1951" w:type="dxa"/>
          </w:tcPr>
          <w:p w14:paraId="6F1E6177" w14:textId="56047B51" w:rsidR="00297B6E" w:rsidRDefault="00297B6E" w:rsidP="00297B6E">
            <w:pPr>
              <w:widowControl w:val="0"/>
              <w:autoSpaceDE w:val="0"/>
              <w:autoSpaceDN w:val="0"/>
              <w:adjustRightInd w:val="0"/>
              <w:rPr>
                <w:sz w:val="18"/>
                <w:szCs w:val="18"/>
                <w:lang w:val="en-US"/>
              </w:rPr>
            </w:pPr>
            <w:r w:rsidRPr="00032A08">
              <w:rPr>
                <w:sz w:val="18"/>
                <w:szCs w:val="18"/>
                <w:u w:val="single"/>
                <w:lang w:val="en-US"/>
              </w:rPr>
              <w:t>Power save</w:t>
            </w:r>
            <w:r w:rsidR="005A3D96" w:rsidRPr="00032A08">
              <w:rPr>
                <w:sz w:val="18"/>
                <w:szCs w:val="18"/>
                <w:u w:val="single"/>
                <w:lang w:val="en-US"/>
              </w:rPr>
              <w:t xml:space="preserve"> mode</w:t>
            </w:r>
            <w:r w:rsidRPr="00032A08">
              <w:rPr>
                <w:sz w:val="18"/>
                <w:szCs w:val="18"/>
                <w:u w:val="single"/>
                <w:lang w:val="en-US"/>
              </w:rPr>
              <w:t xml:space="preserve"> or</w:t>
            </w:r>
            <w:r>
              <w:rPr>
                <w:sz w:val="18"/>
                <w:szCs w:val="18"/>
                <w:lang w:val="en-US"/>
              </w:rPr>
              <w:t xml:space="preserve"> PS</w:t>
            </w:r>
          </w:p>
        </w:tc>
        <w:tc>
          <w:tcPr>
            <w:tcW w:w="7655" w:type="dxa"/>
          </w:tcPr>
          <w:p w14:paraId="157BDDB9" w14:textId="66C74DFB" w:rsidR="00360410" w:rsidRDefault="00297B6E" w:rsidP="00297B6E">
            <w:pPr>
              <w:widowControl w:val="0"/>
              <w:autoSpaceDE w:val="0"/>
              <w:autoSpaceDN w:val="0"/>
              <w:adjustRightInd w:val="0"/>
              <w:rPr>
                <w:sz w:val="18"/>
                <w:szCs w:val="18"/>
                <w:lang w:val="en-US"/>
              </w:rPr>
            </w:pPr>
            <w:bookmarkStart w:id="0" w:name="_GoBack"/>
            <w:r w:rsidRPr="00144CCF">
              <w:rPr>
                <w:sz w:val="18"/>
                <w:szCs w:val="18"/>
                <w:lang w:val="en-US"/>
              </w:rPr>
              <w:t xml:space="preserve">STA </w:t>
            </w:r>
            <w:bookmarkEnd w:id="0"/>
            <w:r w:rsidR="0097259B" w:rsidRPr="00144CCF">
              <w:rPr>
                <w:sz w:val="18"/>
                <w:szCs w:val="18"/>
                <w:u w:val="single"/>
                <w:lang w:val="en-US"/>
              </w:rPr>
              <w:t xml:space="preserve">enters the Awake state to receive or transmit frames. </w:t>
            </w:r>
            <w:r w:rsidR="0028075B" w:rsidRPr="00144CCF">
              <w:rPr>
                <w:sz w:val="18"/>
                <w:szCs w:val="18"/>
                <w:u w:val="single"/>
                <w:lang w:val="en-US"/>
              </w:rPr>
              <w:t>The STA</w:t>
            </w:r>
            <w:r w:rsidR="0028075B">
              <w:rPr>
                <w:sz w:val="18"/>
                <w:szCs w:val="18"/>
                <w:lang w:val="en-US"/>
              </w:rPr>
              <w:t xml:space="preserve"> </w:t>
            </w:r>
            <w:r w:rsidR="00360410" w:rsidRPr="00194B87">
              <w:rPr>
                <w:sz w:val="18"/>
                <w:szCs w:val="18"/>
                <w:u w:val="single"/>
                <w:lang w:val="en-US"/>
              </w:rPr>
              <w:t xml:space="preserve">remains in the Doze state </w:t>
            </w:r>
            <w:r w:rsidR="0028075B">
              <w:rPr>
                <w:sz w:val="18"/>
                <w:szCs w:val="18"/>
                <w:u w:val="single"/>
                <w:lang w:val="en-US"/>
              </w:rPr>
              <w:t>otherwise</w:t>
            </w:r>
            <w:r w:rsidR="00194B87" w:rsidRPr="00194B87">
              <w:rPr>
                <w:sz w:val="18"/>
                <w:szCs w:val="18"/>
                <w:u w:val="single"/>
                <w:lang w:val="en-US"/>
              </w:rPr>
              <w:t xml:space="preserve">. </w:t>
            </w:r>
            <w:r w:rsidR="00194B87" w:rsidRPr="00144CCF">
              <w:rPr>
                <w:sz w:val="18"/>
                <w:szCs w:val="18"/>
                <w:u w:val="single"/>
                <w:lang w:val="en-US"/>
              </w:rPr>
              <w:t>STA and AP procedures for power-save are</w:t>
            </w:r>
            <w:r w:rsidR="00360410" w:rsidRPr="00144CCF">
              <w:rPr>
                <w:sz w:val="18"/>
                <w:szCs w:val="18"/>
                <w:u w:val="single"/>
                <w:lang w:val="en-US"/>
              </w:rPr>
              <w:t xml:space="preserve"> described in </w:t>
            </w:r>
            <w:r w:rsidR="0097259B" w:rsidRPr="00144CCF">
              <w:rPr>
                <w:sz w:val="18"/>
                <w:szCs w:val="18"/>
                <w:u w:val="single"/>
                <w:lang w:val="en-US"/>
              </w:rPr>
              <w:t>clause</w:t>
            </w:r>
            <w:r w:rsidR="00194B87" w:rsidRPr="00144CCF">
              <w:rPr>
                <w:sz w:val="18"/>
                <w:szCs w:val="18"/>
                <w:u w:val="single"/>
                <w:lang w:val="en-US"/>
              </w:rPr>
              <w:t xml:space="preserve"> 10.2.</w:t>
            </w:r>
            <w:r w:rsidR="00032A08" w:rsidRPr="00144CCF">
              <w:rPr>
                <w:sz w:val="18"/>
                <w:szCs w:val="18"/>
                <w:u w:val="single"/>
                <w:lang w:val="en-US"/>
              </w:rPr>
              <w:t>2</w:t>
            </w:r>
            <w:r w:rsidR="00194B87" w:rsidRPr="00144CCF">
              <w:rPr>
                <w:sz w:val="18"/>
                <w:szCs w:val="18"/>
                <w:u w:val="single"/>
                <w:lang w:val="en-US"/>
              </w:rPr>
              <w:t xml:space="preserve"> (</w:t>
            </w:r>
            <w:r w:rsidR="00192D22" w:rsidRPr="00144CCF">
              <w:rPr>
                <w:sz w:val="18"/>
                <w:szCs w:val="18"/>
                <w:u w:val="single"/>
                <w:lang w:val="en-US"/>
              </w:rPr>
              <w:t>Power Management in an infrastructure network)</w:t>
            </w:r>
            <w:r w:rsidR="005A3D96" w:rsidRPr="00144CCF">
              <w:rPr>
                <w:sz w:val="18"/>
                <w:szCs w:val="18"/>
                <w:u w:val="single"/>
                <w:lang w:val="en-US"/>
              </w:rPr>
              <w:t>.</w:t>
            </w:r>
            <w:r w:rsidR="00194B87">
              <w:rPr>
                <w:sz w:val="18"/>
                <w:szCs w:val="18"/>
                <w:lang w:val="en-US"/>
              </w:rPr>
              <w:t xml:space="preserve"> </w:t>
            </w:r>
          </w:p>
          <w:p w14:paraId="689A61BC" w14:textId="2B365366"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listens to selected Beacon frames (based upon the ListenInterval parameter of the</w:t>
            </w:r>
          </w:p>
          <w:p w14:paraId="05A44709"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MLME-ASSOCIATE.request or MLME-REASSOCIATE.request primitive) and sends PSPoll</w:t>
            </w:r>
          </w:p>
          <w:p w14:paraId="0A45E0AA"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frames to the AP if the TIM element in the most recent Beacon frame indicates an</w:t>
            </w:r>
          </w:p>
          <w:p w14:paraId="35C89CAB"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individually addressed BU is buffered for that STA.</w:t>
            </w:r>
          </w:p>
          <w:p w14:paraId="6C2F2DD3" w14:textId="11D818A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The AP shall transmit</w:t>
            </w:r>
            <w:r w:rsidR="00E51B50" w:rsidRPr="00194B87">
              <w:rPr>
                <w:strike/>
                <w:sz w:val="18"/>
                <w:szCs w:val="18"/>
                <w:lang w:val="en-US"/>
              </w:rPr>
              <w:t>s</w:t>
            </w:r>
            <w:r w:rsidRPr="00194B87">
              <w:rPr>
                <w:strike/>
                <w:sz w:val="18"/>
                <w:szCs w:val="18"/>
                <w:lang w:val="en-US"/>
              </w:rPr>
              <w:t xml:space="preserve"> buffered individually addressed BUs to a PS STA only in response to a</w:t>
            </w:r>
          </w:p>
          <w:p w14:paraId="68FDF275"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PS-Poll from that STA, during the CFP in the case of a CF-Pollable PS STA, during a</w:t>
            </w:r>
          </w:p>
          <w:p w14:paraId="714B679D"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scheduled or unscheduled APSD service period for the STA, or during the SP of a scheduled</w:t>
            </w:r>
          </w:p>
          <w:p w14:paraId="74D2EE90"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GCR-SP. In PS mode, a STA shall be in the Doze state and shall enter the Awake state to</w:t>
            </w:r>
          </w:p>
          <w:p w14:paraId="5B170651"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receive selected Beacon frames, to receive group addressed transmissions following certain</w:t>
            </w:r>
          </w:p>
          <w:p w14:paraId="1D5A42F2"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received Beacon frames, to receive transmissions during the SP of a scheduled GCR-SP, to</w:t>
            </w:r>
          </w:p>
          <w:p w14:paraId="2AC6F882"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transmit, and to await responses to transmitted PS-Poll frames or (for CF-Pollable STAs) to</w:t>
            </w:r>
          </w:p>
          <w:p w14:paraId="2E386EB7" w14:textId="77777777" w:rsidR="00297B6E" w:rsidRPr="00194B87" w:rsidRDefault="00297B6E" w:rsidP="00297B6E">
            <w:pPr>
              <w:rPr>
                <w:strike/>
                <w:sz w:val="24"/>
                <w:lang w:val="en-US"/>
              </w:rPr>
            </w:pPr>
            <w:r w:rsidRPr="00194B87">
              <w:rPr>
                <w:strike/>
                <w:sz w:val="18"/>
                <w:szCs w:val="18"/>
                <w:lang w:val="en-US"/>
              </w:rPr>
              <w:t>receive CF transmissions of buffered BUs.</w:t>
            </w:r>
          </w:p>
          <w:p w14:paraId="7B8E077D" w14:textId="77777777" w:rsidR="00297B6E" w:rsidRDefault="00297B6E" w:rsidP="00297B6E">
            <w:pPr>
              <w:widowControl w:val="0"/>
              <w:autoSpaceDE w:val="0"/>
              <w:autoSpaceDN w:val="0"/>
              <w:adjustRightInd w:val="0"/>
              <w:rPr>
                <w:sz w:val="18"/>
                <w:szCs w:val="18"/>
                <w:lang w:val="en-US"/>
              </w:rPr>
            </w:pPr>
          </w:p>
        </w:tc>
      </w:tr>
    </w:tbl>
    <w:p w14:paraId="7F6808C9" w14:textId="77777777" w:rsidR="00297B6E" w:rsidRDefault="00297B6E" w:rsidP="007A00FA">
      <w:pPr>
        <w:rPr>
          <w:sz w:val="24"/>
          <w:lang w:val="en-US"/>
        </w:rPr>
      </w:pPr>
    </w:p>
    <w:p w14:paraId="1BCD6B85" w14:textId="77777777" w:rsidR="00260088" w:rsidRDefault="00260088" w:rsidP="007A00FA">
      <w:pPr>
        <w:rPr>
          <w:sz w:val="24"/>
          <w:lang w:val="en-US"/>
        </w:rPr>
      </w:pPr>
    </w:p>
    <w:tbl>
      <w:tblPr>
        <w:tblStyle w:val="TableGrid"/>
        <w:tblW w:w="9576" w:type="dxa"/>
        <w:tblLook w:val="04A0" w:firstRow="1" w:lastRow="0" w:firstColumn="1" w:lastColumn="0" w:noHBand="0" w:noVBand="1"/>
      </w:tblPr>
      <w:tblGrid>
        <w:gridCol w:w="572"/>
        <w:gridCol w:w="1106"/>
        <w:gridCol w:w="818"/>
        <w:gridCol w:w="928"/>
        <w:gridCol w:w="1929"/>
        <w:gridCol w:w="2049"/>
        <w:gridCol w:w="2174"/>
      </w:tblGrid>
      <w:tr w:rsidR="00260088" w:rsidRPr="00856148" w14:paraId="6D55D5E6" w14:textId="77777777" w:rsidTr="00260088">
        <w:trPr>
          <w:trHeight w:val="435"/>
        </w:trPr>
        <w:tc>
          <w:tcPr>
            <w:tcW w:w="572" w:type="dxa"/>
          </w:tcPr>
          <w:p w14:paraId="62403D99" w14:textId="5C9CDF17" w:rsidR="00260088" w:rsidRPr="00856148" w:rsidRDefault="00260088" w:rsidP="00260088">
            <w:pPr>
              <w:jc w:val="right"/>
              <w:rPr>
                <w:rFonts w:ascii="Arial" w:hAnsi="Arial" w:cs="Arial"/>
                <w:sz w:val="16"/>
                <w:szCs w:val="16"/>
                <w:highlight w:val="yellow"/>
              </w:rPr>
            </w:pPr>
            <w:r w:rsidRPr="00856148">
              <w:rPr>
                <w:rFonts w:ascii="Arial" w:hAnsi="Arial" w:cs="Arial"/>
                <w:b/>
                <w:bCs/>
                <w:sz w:val="16"/>
                <w:szCs w:val="16"/>
                <w:highlight w:val="yellow"/>
                <w:lang w:val="en-CA"/>
              </w:rPr>
              <w:t>CID</w:t>
            </w:r>
          </w:p>
        </w:tc>
        <w:tc>
          <w:tcPr>
            <w:tcW w:w="1106" w:type="dxa"/>
          </w:tcPr>
          <w:p w14:paraId="55880F24" w14:textId="09276AD9"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Commenter</w:t>
            </w:r>
          </w:p>
        </w:tc>
        <w:tc>
          <w:tcPr>
            <w:tcW w:w="818" w:type="dxa"/>
          </w:tcPr>
          <w:p w14:paraId="5FB9BBE2" w14:textId="483AB31D" w:rsidR="00260088" w:rsidRPr="00856148" w:rsidRDefault="00260088" w:rsidP="00260088">
            <w:pPr>
              <w:jc w:val="right"/>
              <w:rPr>
                <w:rFonts w:ascii="Arial" w:hAnsi="Arial" w:cs="Arial"/>
                <w:sz w:val="16"/>
                <w:szCs w:val="16"/>
                <w:highlight w:val="yellow"/>
              </w:rPr>
            </w:pPr>
            <w:r w:rsidRPr="00856148">
              <w:rPr>
                <w:rFonts w:ascii="Arial" w:hAnsi="Arial" w:cs="Arial"/>
                <w:b/>
                <w:bCs/>
                <w:sz w:val="16"/>
                <w:szCs w:val="16"/>
                <w:highlight w:val="yellow"/>
                <w:lang w:val="en-CA"/>
              </w:rPr>
              <w:t>Page</w:t>
            </w:r>
          </w:p>
        </w:tc>
        <w:tc>
          <w:tcPr>
            <w:tcW w:w="928" w:type="dxa"/>
          </w:tcPr>
          <w:p w14:paraId="7369A4D7" w14:textId="0EF646CA"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Clause</w:t>
            </w:r>
          </w:p>
        </w:tc>
        <w:tc>
          <w:tcPr>
            <w:tcW w:w="1929" w:type="dxa"/>
          </w:tcPr>
          <w:p w14:paraId="36E5C0D8" w14:textId="19067266"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Comment</w:t>
            </w:r>
          </w:p>
        </w:tc>
        <w:tc>
          <w:tcPr>
            <w:tcW w:w="2049" w:type="dxa"/>
          </w:tcPr>
          <w:p w14:paraId="2723F84F" w14:textId="275F83AE"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Proposed Change</w:t>
            </w:r>
          </w:p>
        </w:tc>
        <w:tc>
          <w:tcPr>
            <w:tcW w:w="2174" w:type="dxa"/>
          </w:tcPr>
          <w:p w14:paraId="29F9C05F" w14:textId="164B6EC6"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Resolution</w:t>
            </w:r>
          </w:p>
        </w:tc>
      </w:tr>
      <w:tr w:rsidR="00260088" w:rsidRPr="00856148" w14:paraId="7B4E484C" w14:textId="77777777" w:rsidTr="00260088">
        <w:trPr>
          <w:trHeight w:val="1546"/>
        </w:trPr>
        <w:tc>
          <w:tcPr>
            <w:tcW w:w="572" w:type="dxa"/>
            <w:hideMark/>
          </w:tcPr>
          <w:p w14:paraId="77D3B712" w14:textId="77777777" w:rsidR="00260088" w:rsidRPr="00856148" w:rsidRDefault="00260088" w:rsidP="00260088">
            <w:pPr>
              <w:jc w:val="right"/>
              <w:rPr>
                <w:rFonts w:ascii="Arial" w:hAnsi="Arial" w:cs="Arial"/>
                <w:sz w:val="16"/>
                <w:szCs w:val="16"/>
                <w:highlight w:val="yellow"/>
              </w:rPr>
            </w:pPr>
            <w:r w:rsidRPr="00856148">
              <w:rPr>
                <w:rFonts w:ascii="Arial" w:hAnsi="Arial" w:cs="Arial"/>
                <w:sz w:val="16"/>
                <w:szCs w:val="16"/>
                <w:highlight w:val="yellow"/>
              </w:rPr>
              <w:t>3120</w:t>
            </w:r>
          </w:p>
        </w:tc>
        <w:tc>
          <w:tcPr>
            <w:tcW w:w="1106" w:type="dxa"/>
            <w:hideMark/>
          </w:tcPr>
          <w:p w14:paraId="10232CC5"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Graham Smith</w:t>
            </w:r>
          </w:p>
        </w:tc>
        <w:tc>
          <w:tcPr>
            <w:tcW w:w="818" w:type="dxa"/>
            <w:hideMark/>
          </w:tcPr>
          <w:p w14:paraId="30794587" w14:textId="77777777" w:rsidR="00260088" w:rsidRPr="00856148" w:rsidRDefault="00260088" w:rsidP="00260088">
            <w:pPr>
              <w:jc w:val="right"/>
              <w:rPr>
                <w:rFonts w:ascii="Arial" w:hAnsi="Arial" w:cs="Arial"/>
                <w:sz w:val="16"/>
                <w:szCs w:val="16"/>
                <w:highlight w:val="yellow"/>
              </w:rPr>
            </w:pPr>
            <w:r w:rsidRPr="00856148">
              <w:rPr>
                <w:rFonts w:ascii="Arial" w:hAnsi="Arial" w:cs="Arial"/>
                <w:sz w:val="16"/>
                <w:szCs w:val="16"/>
                <w:highlight w:val="yellow"/>
              </w:rPr>
              <w:t>1535.44</w:t>
            </w:r>
          </w:p>
        </w:tc>
        <w:tc>
          <w:tcPr>
            <w:tcW w:w="928" w:type="dxa"/>
            <w:hideMark/>
          </w:tcPr>
          <w:p w14:paraId="376D1C38"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10.2.2.5.1</w:t>
            </w:r>
          </w:p>
        </w:tc>
        <w:tc>
          <w:tcPr>
            <w:tcW w:w="1929" w:type="dxa"/>
            <w:hideMark/>
          </w:tcPr>
          <w:p w14:paraId="6FE05174"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"NOTE--Bufferable MMPDUs are transmitted using AC_VO. Thus the AC of an MMPDU is, by definition, AC_VO."  Is this true now after 11ae?  Maybe best to remove Note?</w:t>
            </w:r>
          </w:p>
        </w:tc>
        <w:tc>
          <w:tcPr>
            <w:tcW w:w="2049" w:type="dxa"/>
            <w:hideMark/>
          </w:tcPr>
          <w:p w14:paraId="0BA1C96D"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Remove Note</w:t>
            </w:r>
          </w:p>
        </w:tc>
        <w:tc>
          <w:tcPr>
            <w:tcW w:w="2174" w:type="dxa"/>
          </w:tcPr>
          <w:p w14:paraId="50E1A39B" w14:textId="35B59352" w:rsidR="00260088" w:rsidRPr="00856148" w:rsidRDefault="00E4256C" w:rsidP="00260088">
            <w:pPr>
              <w:rPr>
                <w:rFonts w:ascii="Arial" w:hAnsi="Arial" w:cs="Arial"/>
                <w:sz w:val="16"/>
                <w:szCs w:val="16"/>
                <w:highlight w:val="yellow"/>
              </w:rPr>
            </w:pPr>
            <w:r w:rsidRPr="00856148">
              <w:rPr>
                <w:rFonts w:ascii="Arial" w:hAnsi="Arial" w:cs="Arial"/>
                <w:sz w:val="16"/>
                <w:szCs w:val="16"/>
                <w:highlight w:val="yellow"/>
              </w:rPr>
              <w:t>Accepted</w:t>
            </w:r>
          </w:p>
        </w:tc>
      </w:tr>
    </w:tbl>
    <w:p w14:paraId="7ED99F36" w14:textId="77777777" w:rsidR="00260088" w:rsidRDefault="00260088" w:rsidP="007A00FA">
      <w:pPr>
        <w:rPr>
          <w:sz w:val="24"/>
          <w:lang w:val="en-US"/>
        </w:rPr>
      </w:pPr>
    </w:p>
    <w:p w14:paraId="3E15DB10" w14:textId="77777777" w:rsidR="00260088" w:rsidRDefault="00260088" w:rsidP="00260088">
      <w:pPr>
        <w:rPr>
          <w:sz w:val="24"/>
        </w:rPr>
      </w:pPr>
      <w:r>
        <w:rPr>
          <w:sz w:val="24"/>
        </w:rPr>
        <w:t xml:space="preserve">CID 3120 – See resolution. </w:t>
      </w:r>
    </w:p>
    <w:p w14:paraId="6781BBB1" w14:textId="77777777" w:rsidR="00260088" w:rsidRPr="0037550E" w:rsidRDefault="00260088" w:rsidP="00260088">
      <w:pPr>
        <w:rPr>
          <w:sz w:val="24"/>
          <w:lang w:val="en-US"/>
        </w:rPr>
      </w:pPr>
      <w:r>
        <w:rPr>
          <w:sz w:val="24"/>
        </w:rPr>
        <w:t>Mark Rison’s comment “</w:t>
      </w:r>
      <w:r w:rsidRPr="0037550E">
        <w:rPr>
          <w:sz w:val="24"/>
          <w:lang w:val="en-US"/>
        </w:rPr>
        <w:t>For 3120, there is a difference between bufferable MMPDUs and</w:t>
      </w:r>
    </w:p>
    <w:p w14:paraId="770A6F0E" w14:textId="77777777" w:rsidR="00260088" w:rsidRPr="0037550E" w:rsidRDefault="00260088" w:rsidP="00260088">
      <w:pPr>
        <w:rPr>
          <w:sz w:val="24"/>
          <w:lang w:val="en-US"/>
        </w:rPr>
      </w:pPr>
      <w:r w:rsidRPr="0037550E">
        <w:rPr>
          <w:sz w:val="24"/>
          <w:lang w:val="en-US"/>
        </w:rPr>
        <w:t>buffered MMPDUs, I think.  The NOTE might be better with "bufferable"</w:t>
      </w:r>
    </w:p>
    <w:p w14:paraId="665372A8" w14:textId="77777777" w:rsidR="00260088" w:rsidRPr="0037550E" w:rsidRDefault="00260088" w:rsidP="00260088">
      <w:pPr>
        <w:rPr>
          <w:sz w:val="24"/>
          <w:lang w:val="en-US"/>
        </w:rPr>
      </w:pPr>
      <w:r w:rsidRPr="0037550E">
        <w:rPr>
          <w:sz w:val="24"/>
          <w:lang w:val="en-US"/>
        </w:rPr>
        <w:t>changed to "buffered", with the second sentence deleted.  But where</w:t>
      </w:r>
    </w:p>
    <w:p w14:paraId="2A627990" w14:textId="77777777" w:rsidR="00260088" w:rsidRPr="0037550E" w:rsidRDefault="00260088" w:rsidP="00260088">
      <w:pPr>
        <w:rPr>
          <w:sz w:val="24"/>
          <w:lang w:val="en-US"/>
        </w:rPr>
      </w:pPr>
      <w:r w:rsidRPr="0037550E">
        <w:rPr>
          <w:sz w:val="24"/>
          <w:lang w:val="en-US"/>
        </w:rPr>
        <w:t>actually is the normative statement of the use of AC_VO for buffered</w:t>
      </w:r>
    </w:p>
    <w:p w14:paraId="560A1F37" w14:textId="3BDE3C63" w:rsidR="00A55125" w:rsidRDefault="00260088" w:rsidP="0083242B">
      <w:pPr>
        <w:rPr>
          <w:sz w:val="24"/>
          <w:lang w:val="en-US"/>
        </w:rPr>
      </w:pPr>
      <w:r w:rsidRPr="0037550E">
        <w:rPr>
          <w:sz w:val="24"/>
          <w:lang w:val="en-US"/>
        </w:rPr>
        <w:t>MMPDUs?  Should this not be a NOTE at all (i.e. should it be normative)?</w:t>
      </w:r>
      <w:r>
        <w:rPr>
          <w:sz w:val="24"/>
          <w:lang w:val="en-US"/>
        </w:rPr>
        <w:t>”</w:t>
      </w:r>
    </w:p>
    <w:p w14:paraId="42A7F0E7" w14:textId="77777777" w:rsidR="00E4256C" w:rsidRDefault="00E4256C" w:rsidP="0083242B">
      <w:pPr>
        <w:rPr>
          <w:sz w:val="24"/>
          <w:lang w:val="en-US"/>
        </w:rPr>
      </w:pPr>
    </w:p>
    <w:p w14:paraId="3FD1AB0E" w14:textId="76DA7489" w:rsidR="00E4256C" w:rsidRPr="0083242B" w:rsidRDefault="00E4256C" w:rsidP="0083242B">
      <w:pPr>
        <w:rPr>
          <w:sz w:val="24"/>
        </w:rPr>
      </w:pPr>
      <w:r>
        <w:rPr>
          <w:sz w:val="24"/>
          <w:lang w:val="en-US"/>
        </w:rPr>
        <w:t>10/03 – There is a debate as to whether the note is correct. Consensus is to accept the comment.</w:t>
      </w:r>
    </w:p>
    <w:p w14:paraId="5D5C69BB" w14:textId="77777777" w:rsidR="00A55125" w:rsidRDefault="00A55125" w:rsidP="00260088">
      <w:pPr>
        <w:widowControl w:val="0"/>
        <w:autoSpaceDE w:val="0"/>
        <w:autoSpaceDN w:val="0"/>
        <w:adjustRightInd w:val="0"/>
        <w:rPr>
          <w:b/>
          <w:sz w:val="24"/>
        </w:rPr>
      </w:pPr>
    </w:p>
    <w:p w14:paraId="4A5DC48F" w14:textId="5E729BC7" w:rsidR="00260088" w:rsidRDefault="00260088" w:rsidP="00260088">
      <w:pPr>
        <w:widowControl w:val="0"/>
        <w:autoSpaceDE w:val="0"/>
        <w:autoSpaceDN w:val="0"/>
        <w:adjustRightInd w:val="0"/>
        <w:rPr>
          <w:b/>
          <w:sz w:val="24"/>
        </w:rPr>
      </w:pPr>
      <w:r>
        <w:rPr>
          <w:b/>
          <w:sz w:val="24"/>
        </w:rPr>
        <w:t>TXOP</w:t>
      </w:r>
    </w:p>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39"/>
        <w:gridCol w:w="851"/>
        <w:gridCol w:w="712"/>
        <w:gridCol w:w="2126"/>
        <w:gridCol w:w="2126"/>
        <w:gridCol w:w="2407"/>
      </w:tblGrid>
      <w:tr w:rsidR="00AF5F8E" w:rsidRPr="00091AA5" w14:paraId="2AFFA3A4" w14:textId="77777777" w:rsidTr="00AF5F8E">
        <w:trPr>
          <w:trHeight w:val="421"/>
          <w:tblHeader/>
        </w:trPr>
        <w:tc>
          <w:tcPr>
            <w:tcW w:w="350" w:type="pct"/>
          </w:tcPr>
          <w:p w14:paraId="3A5464C3" w14:textId="76D54C97"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52AA5931" w14:textId="6FE829E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8" w:type="pct"/>
          </w:tcPr>
          <w:p w14:paraId="6C2C8A29" w14:textId="389B5B4E"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03BD2D2D" w14:textId="3B0A8C96"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1045" w:type="pct"/>
          </w:tcPr>
          <w:p w14:paraId="0B7AC894" w14:textId="1EC03AC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006D9635" w14:textId="4F9A8C93"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07282AD3" w14:textId="770FBF69"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260088" w:rsidRPr="00856148" w14:paraId="607A9AB7" w14:textId="77777777" w:rsidTr="00AF5F8E">
        <w:trPr>
          <w:trHeight w:val="1920"/>
          <w:tblHeader/>
        </w:trPr>
        <w:tc>
          <w:tcPr>
            <w:tcW w:w="350" w:type="pct"/>
            <w:hideMark/>
          </w:tcPr>
          <w:p w14:paraId="5ADB48B3" w14:textId="77777777" w:rsidR="00260088" w:rsidRPr="00856148" w:rsidRDefault="00260088" w:rsidP="00AF5F8E">
            <w:pPr>
              <w:jc w:val="right"/>
              <w:rPr>
                <w:rFonts w:ascii="Arial" w:hAnsi="Arial" w:cs="Arial"/>
                <w:sz w:val="16"/>
                <w:szCs w:val="16"/>
                <w:highlight w:val="yellow"/>
              </w:rPr>
            </w:pPr>
            <w:r w:rsidRPr="00856148">
              <w:rPr>
                <w:rFonts w:ascii="Arial" w:hAnsi="Arial" w:cs="Arial"/>
                <w:sz w:val="16"/>
                <w:szCs w:val="16"/>
                <w:highlight w:val="yellow"/>
              </w:rPr>
              <w:t>3018</w:t>
            </w:r>
          </w:p>
        </w:tc>
        <w:tc>
          <w:tcPr>
            <w:tcW w:w="609" w:type="pct"/>
            <w:hideMark/>
          </w:tcPr>
          <w:p w14:paraId="2980DFBC"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Adrian Stephens</w:t>
            </w:r>
          </w:p>
        </w:tc>
        <w:tc>
          <w:tcPr>
            <w:tcW w:w="418" w:type="pct"/>
            <w:hideMark/>
          </w:tcPr>
          <w:p w14:paraId="5013E791" w14:textId="77777777" w:rsidR="00260088" w:rsidRPr="00856148" w:rsidRDefault="00260088" w:rsidP="00AF5F8E">
            <w:pPr>
              <w:jc w:val="right"/>
              <w:rPr>
                <w:rFonts w:ascii="Arial" w:hAnsi="Arial" w:cs="Arial"/>
                <w:sz w:val="16"/>
                <w:szCs w:val="16"/>
                <w:highlight w:val="yellow"/>
              </w:rPr>
            </w:pPr>
            <w:r w:rsidRPr="00856148">
              <w:rPr>
                <w:rFonts w:ascii="Arial" w:hAnsi="Arial" w:cs="Arial"/>
                <w:sz w:val="16"/>
                <w:szCs w:val="16"/>
                <w:highlight w:val="yellow"/>
              </w:rPr>
              <w:t>1274.12</w:t>
            </w:r>
          </w:p>
        </w:tc>
        <w:tc>
          <w:tcPr>
            <w:tcW w:w="350" w:type="pct"/>
            <w:hideMark/>
          </w:tcPr>
          <w:p w14:paraId="26A78F54"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9.7.4</w:t>
            </w:r>
          </w:p>
        </w:tc>
        <w:tc>
          <w:tcPr>
            <w:tcW w:w="1045" w:type="pct"/>
            <w:hideMark/>
          </w:tcPr>
          <w:p w14:paraId="05324157"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"Mesh STAs should adopt the mandatory PHY rates as the default BSSBasicRateSet" -- What is "adopt"? Which entity "adopts"? How is this adopting any different from obeying the parameters in the MLME-START.request?</w:t>
            </w:r>
          </w:p>
        </w:tc>
        <w:tc>
          <w:tcPr>
            <w:tcW w:w="1045" w:type="pct"/>
            <w:hideMark/>
          </w:tcPr>
          <w:p w14:paraId="74016671"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At least specify that the SME of a mesh STA uses the mandatory PHY rates as its BSSBasicRateSet.   Consider moving this requirement to 6.3.11.</w:t>
            </w:r>
          </w:p>
        </w:tc>
        <w:tc>
          <w:tcPr>
            <w:tcW w:w="1183" w:type="pct"/>
          </w:tcPr>
          <w:p w14:paraId="74C3F3F6"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Revised:</w:t>
            </w:r>
          </w:p>
          <w:p w14:paraId="1C730866"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rPr>
              <w:t>Change “</w:t>
            </w:r>
            <w:r w:rsidRPr="00856148">
              <w:rPr>
                <w:rFonts w:ascii="Arial" w:hAnsi="Arial" w:cs="Arial"/>
                <w:sz w:val="16"/>
                <w:szCs w:val="16"/>
                <w:highlight w:val="yellow"/>
                <w:lang w:val="en-US"/>
              </w:rPr>
              <w:t xml:space="preserve"> Mesh STAs should adopt the mandatory PHY rates as the default BSSBasicRateSet to reduce the risk that a</w:t>
            </w:r>
          </w:p>
          <w:p w14:paraId="0415F76B"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candidate peer mesh STA utilizes a different BSSBasicRateSet.”</w:t>
            </w:r>
          </w:p>
          <w:p w14:paraId="59C1667D"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 xml:space="preserve"> </w:t>
            </w:r>
          </w:p>
          <w:p w14:paraId="6B85A01A"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To</w:t>
            </w:r>
          </w:p>
          <w:p w14:paraId="005BE55C"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 The SME of a Mesh STAs should use the mandatory PHY rates as the default BSSBasicRateSet in the MLME-START.request primitive to reduce the risk that a candidate peer mesh STA utilizes a different BSSBasicRateSet.”</w:t>
            </w:r>
          </w:p>
        </w:tc>
      </w:tr>
    </w:tbl>
    <w:p w14:paraId="3E65C2CC" w14:textId="6F200EA1" w:rsidR="00A55125" w:rsidRDefault="00F91F62" w:rsidP="00A55125">
      <w:r>
        <w:t>CID 3018 –</w:t>
      </w:r>
      <w:r w:rsidR="0083242B">
        <w:t xml:space="preserve"> See resolution</w:t>
      </w:r>
    </w:p>
    <w:p w14:paraId="44E4D062" w14:textId="77777777" w:rsidR="00A55125" w:rsidRPr="00A55125" w:rsidRDefault="00A55125" w:rsidP="00A55125"/>
    <w:tbl>
      <w:tblPr>
        <w:tblStyle w:val="TableGrid"/>
        <w:tblW w:w="5312" w:type="pct"/>
        <w:tblLayout w:type="fixed"/>
        <w:tblLook w:val="06A0" w:firstRow="1" w:lastRow="0" w:firstColumn="1" w:lastColumn="0" w:noHBand="1" w:noVBand="1"/>
      </w:tblPr>
      <w:tblGrid>
        <w:gridCol w:w="713"/>
        <w:gridCol w:w="1240"/>
        <w:gridCol w:w="854"/>
        <w:gridCol w:w="846"/>
        <w:gridCol w:w="1988"/>
        <w:gridCol w:w="2126"/>
        <w:gridCol w:w="2407"/>
      </w:tblGrid>
      <w:tr w:rsidR="00AF5F8E" w:rsidRPr="00091AA5" w14:paraId="3461B2E4" w14:textId="77777777" w:rsidTr="00AF5F8E">
        <w:trPr>
          <w:trHeight w:val="502"/>
          <w:tblHeader/>
        </w:trPr>
        <w:tc>
          <w:tcPr>
            <w:tcW w:w="350" w:type="pct"/>
          </w:tcPr>
          <w:p w14:paraId="211CCDBA" w14:textId="19AAFB78"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90D29DE" w14:textId="4F7DE3B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9" w:type="pct"/>
          </w:tcPr>
          <w:p w14:paraId="390C068F" w14:textId="2B94C083"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416" w:type="pct"/>
          </w:tcPr>
          <w:p w14:paraId="1D647EC8" w14:textId="04AA38CF"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977" w:type="pct"/>
          </w:tcPr>
          <w:p w14:paraId="33608889" w14:textId="1152212A"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1962CD5C" w14:textId="16CEF212"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7E6CF0E0" w14:textId="1C295DA7"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AF5F8E" w:rsidRPr="00856148" w14:paraId="638E928E" w14:textId="77777777" w:rsidTr="00AF5F8E">
        <w:trPr>
          <w:trHeight w:val="2160"/>
          <w:tblHeader/>
        </w:trPr>
        <w:tc>
          <w:tcPr>
            <w:tcW w:w="350" w:type="pct"/>
            <w:hideMark/>
          </w:tcPr>
          <w:p w14:paraId="3A3BAF20" w14:textId="77777777" w:rsidR="00AF5F8E" w:rsidRPr="00856148" w:rsidRDefault="00AF5F8E" w:rsidP="00AF5F8E">
            <w:pPr>
              <w:jc w:val="right"/>
              <w:rPr>
                <w:rFonts w:ascii="Arial" w:hAnsi="Arial" w:cs="Arial"/>
                <w:sz w:val="16"/>
                <w:szCs w:val="16"/>
                <w:highlight w:val="yellow"/>
              </w:rPr>
            </w:pPr>
            <w:r w:rsidRPr="00856148">
              <w:rPr>
                <w:rFonts w:ascii="Arial" w:hAnsi="Arial" w:cs="Arial"/>
                <w:sz w:val="16"/>
                <w:szCs w:val="16"/>
                <w:highlight w:val="yellow"/>
              </w:rPr>
              <w:t>3019</w:t>
            </w:r>
          </w:p>
        </w:tc>
        <w:tc>
          <w:tcPr>
            <w:tcW w:w="609" w:type="pct"/>
            <w:hideMark/>
          </w:tcPr>
          <w:p w14:paraId="1EBA42C5"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Adrian Stephens</w:t>
            </w:r>
          </w:p>
        </w:tc>
        <w:tc>
          <w:tcPr>
            <w:tcW w:w="419" w:type="pct"/>
            <w:hideMark/>
          </w:tcPr>
          <w:p w14:paraId="6AA03D28" w14:textId="77777777" w:rsidR="00AF5F8E" w:rsidRPr="00856148" w:rsidRDefault="00AF5F8E" w:rsidP="00AF5F8E">
            <w:pPr>
              <w:jc w:val="right"/>
              <w:rPr>
                <w:rFonts w:ascii="Arial" w:hAnsi="Arial" w:cs="Arial"/>
                <w:sz w:val="16"/>
                <w:szCs w:val="16"/>
                <w:highlight w:val="yellow"/>
              </w:rPr>
            </w:pPr>
            <w:r w:rsidRPr="00856148">
              <w:rPr>
                <w:rFonts w:ascii="Arial" w:hAnsi="Arial" w:cs="Arial"/>
                <w:sz w:val="16"/>
                <w:szCs w:val="16"/>
                <w:highlight w:val="yellow"/>
              </w:rPr>
              <w:t>1274.19</w:t>
            </w:r>
          </w:p>
        </w:tc>
        <w:tc>
          <w:tcPr>
            <w:tcW w:w="416" w:type="pct"/>
            <w:hideMark/>
          </w:tcPr>
          <w:p w14:paraId="20570D36"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9.7.4</w:t>
            </w:r>
          </w:p>
        </w:tc>
        <w:tc>
          <w:tcPr>
            <w:tcW w:w="977" w:type="pct"/>
            <w:hideMark/>
          </w:tcPr>
          <w:p w14:paraId="46A296C0"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67E1E30"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Remove ", or BSSBasicMCSSet," from the cited location.</w:t>
            </w:r>
          </w:p>
        </w:tc>
        <w:tc>
          <w:tcPr>
            <w:tcW w:w="1183" w:type="pct"/>
          </w:tcPr>
          <w:p w14:paraId="0F58FA7F" w14:textId="57F664E5"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Accept</w:t>
            </w:r>
            <w:r w:rsidR="006D35B2" w:rsidRPr="00856148">
              <w:rPr>
                <w:rFonts w:ascii="Arial" w:hAnsi="Arial" w:cs="Arial"/>
                <w:sz w:val="16"/>
                <w:szCs w:val="16"/>
                <w:highlight w:val="yellow"/>
              </w:rPr>
              <w:t>.</w:t>
            </w:r>
          </w:p>
        </w:tc>
      </w:tr>
    </w:tbl>
    <w:p w14:paraId="2B35F946" w14:textId="77777777" w:rsidR="00A55125" w:rsidRDefault="00A55125"/>
    <w:p w14:paraId="011D2466" w14:textId="57BF6C38" w:rsidR="00A55125" w:rsidRDefault="00F91F62">
      <w:r>
        <w:t>CID 3019 – See Resolution.</w:t>
      </w:r>
    </w:p>
    <w:p w14:paraId="49B29631" w14:textId="2F9F0C9D" w:rsidR="0089117E" w:rsidRDefault="0089117E">
      <w:r>
        <w:t xml:space="preserve">10/3. </w:t>
      </w:r>
      <w:r w:rsidR="00F11A64">
        <w:t>Accept comment resolution and Adrian to take an action to look into VHT issues.</w:t>
      </w:r>
    </w:p>
    <w:p w14:paraId="7C6B6A84" w14:textId="77777777" w:rsidR="00A55125" w:rsidRDefault="00A55125"/>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A55125" w:rsidRPr="00091AA5" w14:paraId="1C7E3D57" w14:textId="77777777" w:rsidTr="00A55125">
        <w:trPr>
          <w:trHeight w:val="604"/>
          <w:tblHeader/>
        </w:trPr>
        <w:tc>
          <w:tcPr>
            <w:tcW w:w="350" w:type="pct"/>
          </w:tcPr>
          <w:p w14:paraId="45E1207F" w14:textId="7FD4DFC7"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8A89348" w14:textId="2499DEA3"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Commenter</w:t>
            </w:r>
          </w:p>
        </w:tc>
        <w:tc>
          <w:tcPr>
            <w:tcW w:w="418" w:type="pct"/>
          </w:tcPr>
          <w:p w14:paraId="2627279F" w14:textId="3DFEEB1B"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727B8E8" w14:textId="778E471E" w:rsidR="00A55125" w:rsidRPr="00091AA5" w:rsidRDefault="00A55125" w:rsidP="00A55125">
            <w:pPr>
              <w:rPr>
                <w:rFonts w:ascii="Arial" w:hAnsi="Arial" w:cs="Arial"/>
                <w:sz w:val="16"/>
                <w:szCs w:val="16"/>
              </w:rPr>
            </w:pPr>
            <w:r w:rsidRPr="003A6145">
              <w:rPr>
                <w:rFonts w:ascii="Arial" w:hAnsi="Arial" w:cs="Arial"/>
                <w:b/>
                <w:bCs/>
                <w:sz w:val="16"/>
                <w:szCs w:val="16"/>
                <w:lang w:val="en-CA"/>
              </w:rPr>
              <w:t>Clause</w:t>
            </w:r>
          </w:p>
        </w:tc>
        <w:tc>
          <w:tcPr>
            <w:tcW w:w="977" w:type="pct"/>
          </w:tcPr>
          <w:p w14:paraId="59ED7452" w14:textId="284B41B6"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w:t>
            </w:r>
          </w:p>
        </w:tc>
        <w:tc>
          <w:tcPr>
            <w:tcW w:w="1045" w:type="pct"/>
          </w:tcPr>
          <w:p w14:paraId="0594580B" w14:textId="6A24A7AD" w:rsidR="00A55125" w:rsidRPr="00091AA5" w:rsidRDefault="00A55125" w:rsidP="00A55125">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70240D7" w14:textId="1B417968" w:rsidR="00A55125" w:rsidRDefault="00A55125" w:rsidP="00A55125">
            <w:pPr>
              <w:rPr>
                <w:rFonts w:ascii="Arial" w:hAnsi="Arial" w:cs="Arial"/>
                <w:sz w:val="16"/>
                <w:szCs w:val="16"/>
              </w:rPr>
            </w:pPr>
            <w:r>
              <w:rPr>
                <w:rFonts w:ascii="Arial" w:hAnsi="Arial" w:cs="Arial"/>
                <w:b/>
                <w:bCs/>
                <w:sz w:val="16"/>
                <w:szCs w:val="16"/>
                <w:lang w:val="en-CA"/>
              </w:rPr>
              <w:t>Resolution</w:t>
            </w:r>
          </w:p>
        </w:tc>
      </w:tr>
      <w:tr w:rsidR="00A55125" w:rsidRPr="00FA2C26" w14:paraId="73DC0565" w14:textId="77777777" w:rsidTr="00A55125">
        <w:trPr>
          <w:trHeight w:val="1680"/>
          <w:tblHeader/>
        </w:trPr>
        <w:tc>
          <w:tcPr>
            <w:tcW w:w="350" w:type="pct"/>
            <w:hideMark/>
          </w:tcPr>
          <w:p w14:paraId="5A4911EC" w14:textId="77777777" w:rsidR="00A55125" w:rsidRPr="00FA2C26" w:rsidRDefault="00A55125" w:rsidP="00A55125">
            <w:pPr>
              <w:jc w:val="right"/>
              <w:rPr>
                <w:rFonts w:ascii="Arial" w:hAnsi="Arial" w:cs="Arial"/>
                <w:sz w:val="16"/>
                <w:szCs w:val="16"/>
                <w:highlight w:val="yellow"/>
              </w:rPr>
            </w:pPr>
            <w:r w:rsidRPr="00FA2C26">
              <w:rPr>
                <w:rFonts w:ascii="Arial" w:hAnsi="Arial" w:cs="Arial"/>
                <w:sz w:val="16"/>
                <w:szCs w:val="16"/>
                <w:highlight w:val="yellow"/>
              </w:rPr>
              <w:t>3042</w:t>
            </w:r>
          </w:p>
        </w:tc>
        <w:tc>
          <w:tcPr>
            <w:tcW w:w="609" w:type="pct"/>
            <w:hideMark/>
          </w:tcPr>
          <w:p w14:paraId="40417F79"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Adrian Stephens</w:t>
            </w:r>
          </w:p>
        </w:tc>
        <w:tc>
          <w:tcPr>
            <w:tcW w:w="418" w:type="pct"/>
            <w:hideMark/>
          </w:tcPr>
          <w:p w14:paraId="2BC41EA6" w14:textId="77777777" w:rsidR="00A55125" w:rsidRPr="00FA2C26" w:rsidRDefault="00A55125" w:rsidP="00A55125">
            <w:pPr>
              <w:jc w:val="right"/>
              <w:rPr>
                <w:rFonts w:ascii="Arial" w:hAnsi="Arial" w:cs="Arial"/>
                <w:sz w:val="16"/>
                <w:szCs w:val="16"/>
                <w:highlight w:val="yellow"/>
              </w:rPr>
            </w:pPr>
            <w:r w:rsidRPr="00FA2C26">
              <w:rPr>
                <w:rFonts w:ascii="Arial" w:hAnsi="Arial" w:cs="Arial"/>
                <w:sz w:val="16"/>
                <w:szCs w:val="16"/>
                <w:highlight w:val="yellow"/>
              </w:rPr>
              <w:t>2057.48</w:t>
            </w:r>
          </w:p>
        </w:tc>
        <w:tc>
          <w:tcPr>
            <w:tcW w:w="417" w:type="pct"/>
            <w:hideMark/>
          </w:tcPr>
          <w:p w14:paraId="1DD88A0B"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13.2.4</w:t>
            </w:r>
          </w:p>
        </w:tc>
        <w:tc>
          <w:tcPr>
            <w:tcW w:w="977" w:type="pct"/>
            <w:hideMark/>
          </w:tcPr>
          <w:p w14:paraId="17348344"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"For HT mesh STAs, the Basic MCS Set field of the HT Operation parameter of the MLMESTART.request are identical." -- the value of a parameter in a SAP is not observable to its peer STA.</w:t>
            </w:r>
          </w:p>
        </w:tc>
        <w:tc>
          <w:tcPr>
            <w:tcW w:w="1045" w:type="pct"/>
            <w:hideMark/>
          </w:tcPr>
          <w:p w14:paraId="549C952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Relate to OTA signalling.</w:t>
            </w:r>
          </w:p>
        </w:tc>
        <w:tc>
          <w:tcPr>
            <w:tcW w:w="1183" w:type="pct"/>
          </w:tcPr>
          <w:p w14:paraId="1613D882"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 xml:space="preserve">Revised. </w:t>
            </w:r>
          </w:p>
          <w:p w14:paraId="353628DF"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 The BSSBasicRateSet parameters are identical.”</w:t>
            </w:r>
          </w:p>
          <w:p w14:paraId="79CACB33"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73E25BB6" w14:textId="53B58FA5"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 The BSSBasicRateSet parameter of the of the MLME</w:t>
            </w:r>
            <w:r w:rsidR="00856148" w:rsidRPr="00FA2C26">
              <w:rPr>
                <w:rFonts w:ascii="Arial" w:hAnsi="Arial" w:cs="Arial"/>
                <w:sz w:val="16"/>
                <w:szCs w:val="16"/>
                <w:highlight w:val="yellow"/>
                <w:lang w:val="en-US"/>
              </w:rPr>
              <w:t>-</w:t>
            </w:r>
            <w:r w:rsidRPr="00FA2C26">
              <w:rPr>
                <w:rFonts w:ascii="Arial" w:hAnsi="Arial" w:cs="Arial"/>
                <w:sz w:val="16"/>
                <w:szCs w:val="16"/>
                <w:highlight w:val="yellow"/>
                <w:lang w:val="en-US"/>
              </w:rPr>
              <w:t>START.</w:t>
            </w:r>
          </w:p>
          <w:p w14:paraId="4DE53C71"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request is identical to the basic rate set indicated by the Supported Rates element and Extended Supported Rates element, if present, received in the  MLME-MESHPEERINGMANAGEMENT.indication.”</w:t>
            </w:r>
          </w:p>
          <w:p w14:paraId="6E4CA778" w14:textId="77777777" w:rsidR="00177A0E" w:rsidRPr="00FA2C26" w:rsidRDefault="00177A0E" w:rsidP="00177A0E">
            <w:pPr>
              <w:rPr>
                <w:rFonts w:ascii="Arial" w:hAnsi="Arial" w:cs="Arial"/>
                <w:sz w:val="16"/>
                <w:szCs w:val="16"/>
                <w:highlight w:val="yellow"/>
                <w:lang w:val="en-US"/>
              </w:rPr>
            </w:pPr>
          </w:p>
          <w:p w14:paraId="52EDD52D" w14:textId="77777777" w:rsidR="004F6B19" w:rsidRPr="00FA2C26" w:rsidRDefault="004F6B19" w:rsidP="00A55125">
            <w:pPr>
              <w:rPr>
                <w:rFonts w:ascii="Arial" w:hAnsi="Arial" w:cs="Arial"/>
                <w:sz w:val="16"/>
                <w:szCs w:val="16"/>
                <w:highlight w:val="yellow"/>
              </w:rPr>
            </w:pPr>
          </w:p>
          <w:p w14:paraId="1265C20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At 2057.48, Change</w:t>
            </w:r>
          </w:p>
          <w:p w14:paraId="64D249DB" w14:textId="775494F0" w:rsidR="00A55125" w:rsidRPr="00FA2C26" w:rsidRDefault="0063215C" w:rsidP="00A55125">
            <w:pPr>
              <w:rPr>
                <w:rFonts w:ascii="Arial" w:hAnsi="Arial" w:cs="Arial"/>
                <w:sz w:val="16"/>
                <w:szCs w:val="16"/>
                <w:highlight w:val="yellow"/>
                <w:lang w:val="en-US"/>
              </w:rPr>
            </w:pPr>
            <w:r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 xml:space="preserve"> parameter of the MLME</w:t>
            </w:r>
            <w:r w:rsidR="00856148"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START.</w:t>
            </w:r>
          </w:p>
          <w:p w14:paraId="72684E4B"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request are identical.”</w:t>
            </w:r>
          </w:p>
          <w:p w14:paraId="26907721"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0F36E56A" w14:textId="02E2BFE4" w:rsidR="00A55125" w:rsidRPr="00FA2C26" w:rsidRDefault="0063215C" w:rsidP="00A55125">
            <w:pPr>
              <w:rPr>
                <w:rFonts w:ascii="Arial" w:hAnsi="Arial" w:cs="Arial"/>
                <w:sz w:val="16"/>
                <w:szCs w:val="16"/>
                <w:highlight w:val="yellow"/>
                <w:lang w:val="en-US"/>
              </w:rPr>
            </w:pPr>
            <w:r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 xml:space="preserve"> parameter of the MLME</w:t>
            </w:r>
            <w:r w:rsidR="00856148"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START.</w:t>
            </w:r>
          </w:p>
          <w:p w14:paraId="480BBE5E"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request is identical to the HT Operation parameter received in the  MLME-MESHPEERINGMANAGEMENT.indication.”</w:t>
            </w:r>
          </w:p>
          <w:p w14:paraId="0592F218" w14:textId="77777777" w:rsidR="00A55125" w:rsidRPr="00FA2C26" w:rsidRDefault="00A55125" w:rsidP="00A55125">
            <w:pPr>
              <w:rPr>
                <w:rFonts w:ascii="Arial" w:hAnsi="Arial" w:cs="Arial"/>
                <w:sz w:val="16"/>
                <w:szCs w:val="16"/>
                <w:highlight w:val="yellow"/>
                <w:lang w:val="en-US"/>
              </w:rPr>
            </w:pPr>
          </w:p>
          <w:p w14:paraId="715E434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At 2057.51, Change</w:t>
            </w:r>
          </w:p>
          <w:p w14:paraId="4848F734"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 For VHT mesh STAs, the Basic VHT-MCS and NSS fields in the VHT Operation element are</w:t>
            </w:r>
          </w:p>
          <w:p w14:paraId="32406713"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identical.”</w:t>
            </w:r>
          </w:p>
          <w:p w14:paraId="6BBF0DEE"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1B864EFC" w14:textId="4FE83551"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 For VHT mesh STAs, the Basic VHT-MCS and NSS fields in the VHT Operation parameter of the MLME</w:t>
            </w:r>
            <w:r w:rsidR="00856148" w:rsidRPr="00FA2C26">
              <w:rPr>
                <w:rFonts w:ascii="Arial" w:hAnsi="Arial" w:cs="Arial"/>
                <w:sz w:val="16"/>
                <w:szCs w:val="16"/>
                <w:highlight w:val="yellow"/>
                <w:lang w:val="en-US"/>
              </w:rPr>
              <w:t>-</w:t>
            </w:r>
            <w:r w:rsidRPr="00FA2C26">
              <w:rPr>
                <w:rFonts w:ascii="Arial" w:hAnsi="Arial" w:cs="Arial"/>
                <w:sz w:val="16"/>
                <w:szCs w:val="16"/>
                <w:highlight w:val="yellow"/>
                <w:lang w:val="en-US"/>
              </w:rPr>
              <w:t>START.request are identical to the Basic VHT-MCS and NSS fields in the VHT Operation parameter received in the MLME-MESHPEERINGMANAGEMENT.indication.”</w:t>
            </w:r>
          </w:p>
          <w:p w14:paraId="0A90E634" w14:textId="77777777" w:rsidR="00A55125" w:rsidRPr="00FA2C26" w:rsidRDefault="00A55125" w:rsidP="00A55125">
            <w:pPr>
              <w:rPr>
                <w:rFonts w:ascii="Arial" w:hAnsi="Arial" w:cs="Arial"/>
                <w:sz w:val="16"/>
                <w:szCs w:val="16"/>
                <w:highlight w:val="yellow"/>
              </w:rPr>
            </w:pPr>
          </w:p>
        </w:tc>
      </w:tr>
    </w:tbl>
    <w:p w14:paraId="3FE24E80" w14:textId="79BB28B1" w:rsidR="00A55125" w:rsidRDefault="00A55125"/>
    <w:p w14:paraId="5256E3F9" w14:textId="77777777" w:rsidR="00A55125" w:rsidRDefault="00A55125" w:rsidP="00A55125">
      <w:r>
        <w:t>CID 3042:</w:t>
      </w:r>
    </w:p>
    <w:p w14:paraId="4B080AF3" w14:textId="30678EFE" w:rsidR="00B31E59" w:rsidRDefault="00177A0E" w:rsidP="00A55125">
      <w:pPr>
        <w:widowControl w:val="0"/>
        <w:autoSpaceDE w:val="0"/>
        <w:autoSpaceDN w:val="0"/>
        <w:adjustRightInd w:val="0"/>
        <w:rPr>
          <w:sz w:val="20"/>
          <w:szCs w:val="20"/>
          <w:lang w:val="en-US"/>
        </w:rPr>
      </w:pPr>
      <w:r>
        <w:rPr>
          <w:sz w:val="20"/>
          <w:szCs w:val="20"/>
          <w:lang w:val="en-US"/>
        </w:rPr>
        <w:t>Proposed resolution: Revised. Incorporate the changes indicated. Change:</w:t>
      </w:r>
    </w:p>
    <w:p w14:paraId="0E98DEA0" w14:textId="77777777" w:rsidR="00B31E59" w:rsidRDefault="00B31E59" w:rsidP="00A55125">
      <w:pPr>
        <w:widowControl w:val="0"/>
        <w:autoSpaceDE w:val="0"/>
        <w:autoSpaceDN w:val="0"/>
        <w:adjustRightInd w:val="0"/>
        <w:rPr>
          <w:sz w:val="20"/>
          <w:szCs w:val="20"/>
          <w:lang w:val="en-US"/>
        </w:rPr>
      </w:pPr>
    </w:p>
    <w:p w14:paraId="6D418A44" w14:textId="3534D1BB" w:rsidR="00B31E59" w:rsidRDefault="00B31E59" w:rsidP="00A55125">
      <w:pPr>
        <w:widowControl w:val="0"/>
        <w:autoSpaceDE w:val="0"/>
        <w:autoSpaceDN w:val="0"/>
        <w:adjustRightInd w:val="0"/>
        <w:rPr>
          <w:sz w:val="20"/>
          <w:szCs w:val="20"/>
          <w:lang w:val="en-US"/>
        </w:rPr>
      </w:pPr>
      <w:r>
        <w:rPr>
          <w:sz w:val="20"/>
          <w:szCs w:val="20"/>
          <w:lang w:val="en-US"/>
        </w:rPr>
        <w:t>“- The BSSBasicRateSet parameters are identical.”</w:t>
      </w:r>
    </w:p>
    <w:p w14:paraId="465EC38E" w14:textId="1495ABF6" w:rsidR="00B31E59" w:rsidRDefault="00B31E59" w:rsidP="00A55125">
      <w:pPr>
        <w:widowControl w:val="0"/>
        <w:autoSpaceDE w:val="0"/>
        <w:autoSpaceDN w:val="0"/>
        <w:adjustRightInd w:val="0"/>
        <w:rPr>
          <w:sz w:val="20"/>
          <w:szCs w:val="20"/>
          <w:lang w:val="en-US"/>
        </w:rPr>
      </w:pPr>
      <w:r>
        <w:rPr>
          <w:sz w:val="20"/>
          <w:szCs w:val="20"/>
          <w:lang w:val="en-US"/>
        </w:rPr>
        <w:t>To</w:t>
      </w:r>
    </w:p>
    <w:p w14:paraId="6EB8F620" w14:textId="77777777" w:rsidR="00B31E59" w:rsidRDefault="00B31E59" w:rsidP="00B31E59">
      <w:pPr>
        <w:widowControl w:val="0"/>
        <w:autoSpaceDE w:val="0"/>
        <w:autoSpaceDN w:val="0"/>
        <w:adjustRightInd w:val="0"/>
        <w:rPr>
          <w:sz w:val="20"/>
          <w:szCs w:val="20"/>
          <w:lang w:val="en-US"/>
        </w:rPr>
      </w:pPr>
      <w:r>
        <w:rPr>
          <w:sz w:val="20"/>
          <w:szCs w:val="20"/>
          <w:lang w:val="en-US"/>
        </w:rPr>
        <w:t>“- The BSSBasicRateSet parameter of the of the MLMESTART.</w:t>
      </w:r>
    </w:p>
    <w:p w14:paraId="48C70DCE" w14:textId="0C8FCD57" w:rsidR="00B31E59" w:rsidRDefault="00B31E59" w:rsidP="00B31E59">
      <w:pPr>
        <w:widowControl w:val="0"/>
        <w:autoSpaceDE w:val="0"/>
        <w:autoSpaceDN w:val="0"/>
        <w:adjustRightInd w:val="0"/>
        <w:rPr>
          <w:sz w:val="20"/>
          <w:szCs w:val="20"/>
          <w:lang w:val="en-US"/>
        </w:rPr>
      </w:pPr>
      <w:r>
        <w:rPr>
          <w:sz w:val="20"/>
          <w:szCs w:val="20"/>
          <w:lang w:val="en-US"/>
        </w:rPr>
        <w:t xml:space="preserve">request is identical to the basic rate set indicated by the Supported Rates element and Extended Supported Rates element, if present, received in the </w:t>
      </w:r>
      <w:r w:rsidRPr="00D72DBF">
        <w:rPr>
          <w:sz w:val="20"/>
          <w:szCs w:val="20"/>
          <w:lang w:val="en-US"/>
        </w:rPr>
        <w:t xml:space="preserve"> MLME-MESHPEERINGMANAGEMENT.indication</w:t>
      </w:r>
      <w:r>
        <w:rPr>
          <w:sz w:val="20"/>
          <w:szCs w:val="20"/>
          <w:lang w:val="en-US"/>
        </w:rPr>
        <w:t>.”</w:t>
      </w:r>
    </w:p>
    <w:p w14:paraId="056C7C19" w14:textId="77777777" w:rsidR="00B31E59" w:rsidRDefault="00B31E59" w:rsidP="00A55125">
      <w:pPr>
        <w:widowControl w:val="0"/>
        <w:autoSpaceDE w:val="0"/>
        <w:autoSpaceDN w:val="0"/>
        <w:adjustRightInd w:val="0"/>
        <w:rPr>
          <w:sz w:val="20"/>
          <w:szCs w:val="20"/>
          <w:lang w:val="en-US"/>
        </w:rPr>
      </w:pPr>
    </w:p>
    <w:p w14:paraId="16937B56"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2EF5933" w14:textId="77777777" w:rsidR="00A55125" w:rsidRDefault="00A55125" w:rsidP="00A55125">
      <w:pPr>
        <w:widowControl w:val="0"/>
        <w:autoSpaceDE w:val="0"/>
        <w:autoSpaceDN w:val="0"/>
        <w:adjustRightInd w:val="0"/>
        <w:rPr>
          <w:sz w:val="20"/>
          <w:szCs w:val="20"/>
          <w:lang w:val="en-US"/>
        </w:rPr>
      </w:pPr>
      <w:r>
        <w:rPr>
          <w:sz w:val="20"/>
          <w:szCs w:val="20"/>
          <w:lang w:val="en-US"/>
        </w:rPr>
        <w:t>request are identical.”</w:t>
      </w:r>
    </w:p>
    <w:p w14:paraId="233DD3E5" w14:textId="77777777" w:rsidR="00A55125" w:rsidRDefault="00A55125" w:rsidP="00A55125">
      <w:pPr>
        <w:widowControl w:val="0"/>
        <w:autoSpaceDE w:val="0"/>
        <w:autoSpaceDN w:val="0"/>
        <w:adjustRightInd w:val="0"/>
        <w:rPr>
          <w:sz w:val="20"/>
          <w:szCs w:val="20"/>
          <w:lang w:val="en-US"/>
        </w:rPr>
      </w:pPr>
      <w:r>
        <w:rPr>
          <w:sz w:val="20"/>
          <w:szCs w:val="20"/>
          <w:lang w:val="en-US"/>
        </w:rPr>
        <w:t>To</w:t>
      </w:r>
    </w:p>
    <w:p w14:paraId="15F6ADEB"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37ACCEA" w14:textId="0B3C4ECF" w:rsidR="00A55125" w:rsidRDefault="00A55125" w:rsidP="00A55125">
      <w:pPr>
        <w:widowControl w:val="0"/>
        <w:autoSpaceDE w:val="0"/>
        <w:autoSpaceDN w:val="0"/>
        <w:adjustRightInd w:val="0"/>
        <w:rPr>
          <w:sz w:val="20"/>
          <w:szCs w:val="20"/>
          <w:lang w:val="en-US"/>
        </w:rPr>
      </w:pPr>
      <w:r>
        <w:rPr>
          <w:sz w:val="20"/>
          <w:szCs w:val="20"/>
          <w:lang w:val="en-US"/>
        </w:rPr>
        <w:t xml:space="preserve">request is identical to the HT Operation </w:t>
      </w:r>
      <w:r w:rsidR="00B31E59">
        <w:rPr>
          <w:sz w:val="20"/>
          <w:szCs w:val="20"/>
          <w:lang w:val="en-US"/>
        </w:rPr>
        <w:t>element</w:t>
      </w:r>
      <w:r>
        <w:rPr>
          <w:sz w:val="20"/>
          <w:szCs w:val="20"/>
          <w:lang w:val="en-US"/>
        </w:rPr>
        <w:t xml:space="preserve"> received in the </w:t>
      </w:r>
      <w:r w:rsidRPr="00D72DBF">
        <w:rPr>
          <w:sz w:val="20"/>
          <w:szCs w:val="20"/>
          <w:lang w:val="en-US"/>
        </w:rPr>
        <w:t xml:space="preserve"> MLME-MESHPEERINGMANAGEMENT.indication</w:t>
      </w:r>
      <w:r>
        <w:rPr>
          <w:sz w:val="20"/>
          <w:szCs w:val="20"/>
          <w:lang w:val="en-US"/>
        </w:rPr>
        <w:t>.”</w:t>
      </w:r>
    </w:p>
    <w:p w14:paraId="0913FDDC" w14:textId="77777777" w:rsidR="00A55125" w:rsidRDefault="00A55125" w:rsidP="00A55125">
      <w:pPr>
        <w:widowControl w:val="0"/>
        <w:autoSpaceDE w:val="0"/>
        <w:autoSpaceDN w:val="0"/>
        <w:adjustRightInd w:val="0"/>
        <w:rPr>
          <w:sz w:val="20"/>
          <w:szCs w:val="20"/>
          <w:lang w:val="en-US"/>
        </w:rPr>
      </w:pPr>
    </w:p>
    <w:p w14:paraId="5EFE9405" w14:textId="77777777" w:rsidR="00A55125" w:rsidRDefault="00A55125" w:rsidP="00A55125">
      <w:pPr>
        <w:widowControl w:val="0"/>
        <w:autoSpaceDE w:val="0"/>
        <w:autoSpaceDN w:val="0"/>
        <w:adjustRightInd w:val="0"/>
        <w:rPr>
          <w:sz w:val="20"/>
          <w:szCs w:val="20"/>
          <w:lang w:val="en-US"/>
        </w:rPr>
      </w:pPr>
    </w:p>
    <w:p w14:paraId="67817F5F" w14:textId="77777777" w:rsidR="00A55125" w:rsidRDefault="00A55125" w:rsidP="00A55125">
      <w:pPr>
        <w:widowControl w:val="0"/>
        <w:autoSpaceDE w:val="0"/>
        <w:autoSpaceDN w:val="0"/>
        <w:adjustRightInd w:val="0"/>
        <w:rPr>
          <w:sz w:val="20"/>
          <w:szCs w:val="20"/>
          <w:lang w:val="en-US"/>
        </w:rPr>
      </w:pPr>
      <w:r>
        <w:rPr>
          <w:sz w:val="20"/>
          <w:szCs w:val="20"/>
          <w:lang w:val="en-US"/>
        </w:rPr>
        <w:t>Should we fix the VHT as well at the same location by changing:</w:t>
      </w:r>
    </w:p>
    <w:p w14:paraId="6E004D81" w14:textId="77777777" w:rsidR="00A55125" w:rsidRDefault="00A55125" w:rsidP="00A55125">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1CAA4095" w14:textId="77777777" w:rsidR="00A55125" w:rsidRDefault="00A55125" w:rsidP="00A55125">
      <w:pPr>
        <w:rPr>
          <w:sz w:val="20"/>
          <w:szCs w:val="20"/>
          <w:lang w:val="en-US"/>
        </w:rPr>
      </w:pPr>
      <w:r>
        <w:rPr>
          <w:sz w:val="20"/>
          <w:szCs w:val="20"/>
          <w:lang w:val="en-US"/>
        </w:rPr>
        <w:t>identical.”</w:t>
      </w:r>
    </w:p>
    <w:p w14:paraId="4A7C4B33" w14:textId="77777777" w:rsidR="00A55125" w:rsidRDefault="00A55125" w:rsidP="00A55125">
      <w:pPr>
        <w:rPr>
          <w:sz w:val="20"/>
          <w:szCs w:val="20"/>
          <w:lang w:val="en-US"/>
        </w:rPr>
      </w:pPr>
      <w:r>
        <w:rPr>
          <w:sz w:val="20"/>
          <w:szCs w:val="20"/>
          <w:lang w:val="en-US"/>
        </w:rPr>
        <w:t>To</w:t>
      </w:r>
    </w:p>
    <w:p w14:paraId="1D5DD0C6" w14:textId="2235C977" w:rsidR="00A55125" w:rsidRDefault="00A55125" w:rsidP="00A55125">
      <w:pPr>
        <w:widowControl w:val="0"/>
        <w:autoSpaceDE w:val="0"/>
        <w:autoSpaceDN w:val="0"/>
        <w:adjustRightInd w:val="0"/>
        <w:rPr>
          <w:sz w:val="20"/>
          <w:szCs w:val="20"/>
          <w:lang w:val="en-US"/>
        </w:rPr>
      </w:pPr>
      <w:r>
        <w:rPr>
          <w:sz w:val="20"/>
          <w:szCs w:val="20"/>
          <w:lang w:val="en-US"/>
        </w:rPr>
        <w:t xml:space="preserve">“— For VHT mesh STAs, the Basic VHT-MCS and NSS fields in the VHT Operation parameter of the MLMESTART.request are identical to the Basic VHT-MCS and NSS fields in the VHT Operation </w:t>
      </w:r>
      <w:r w:rsidR="00B31E59">
        <w:rPr>
          <w:sz w:val="20"/>
          <w:szCs w:val="20"/>
          <w:lang w:val="en-US"/>
        </w:rPr>
        <w:t>element</w:t>
      </w:r>
      <w:r>
        <w:rPr>
          <w:sz w:val="20"/>
          <w:szCs w:val="20"/>
          <w:lang w:val="en-US"/>
        </w:rPr>
        <w:t xml:space="preserve"> received in the MLME-MESHPEERINGMANAGEMENT.indication.”</w:t>
      </w:r>
    </w:p>
    <w:p w14:paraId="1DE0C0F3" w14:textId="77777777" w:rsidR="00A55125" w:rsidRDefault="00A55125"/>
    <w:p w14:paraId="3D510DB1" w14:textId="77777777" w:rsidR="00A55125" w:rsidRDefault="00A55125"/>
    <w:p w14:paraId="59554BB2" w14:textId="77777777" w:rsidR="00AA0C17" w:rsidRDefault="00AA0C17"/>
    <w:p w14:paraId="3845BEAF" w14:textId="77777777" w:rsidR="00AA0C17" w:rsidRDefault="00AA0C17"/>
    <w:p w14:paraId="66B1234D" w14:textId="77777777" w:rsidR="00AA0C17" w:rsidRDefault="00AA0C17"/>
    <w:p w14:paraId="3FB02634" w14:textId="77777777" w:rsidR="0083242B" w:rsidRDefault="0083242B"/>
    <w:p w14:paraId="63B67D5E" w14:textId="77777777" w:rsidR="0083242B" w:rsidRDefault="0083242B"/>
    <w:p w14:paraId="6AF46F3D" w14:textId="77777777" w:rsidR="0083242B" w:rsidRDefault="0083242B"/>
    <w:p w14:paraId="3E5C6D2C" w14:textId="77777777" w:rsidR="0083242B" w:rsidRDefault="0083242B"/>
    <w:p w14:paraId="34A4381C" w14:textId="77777777" w:rsidR="00AA0C17" w:rsidRDefault="00AA0C17"/>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40"/>
        <w:gridCol w:w="851"/>
        <w:gridCol w:w="849"/>
        <w:gridCol w:w="1988"/>
        <w:gridCol w:w="2126"/>
        <w:gridCol w:w="2407"/>
      </w:tblGrid>
      <w:tr w:rsidR="00AA0C17" w:rsidRPr="00091AA5" w14:paraId="310CF665" w14:textId="77777777" w:rsidTr="0083242B">
        <w:trPr>
          <w:trHeight w:val="414"/>
          <w:tblHeader/>
        </w:trPr>
        <w:tc>
          <w:tcPr>
            <w:tcW w:w="350" w:type="pct"/>
          </w:tcPr>
          <w:p w14:paraId="51FB373C" w14:textId="22F77CBA"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2D82C90C" w14:textId="0B78C184"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Commenter</w:t>
            </w:r>
          </w:p>
        </w:tc>
        <w:tc>
          <w:tcPr>
            <w:tcW w:w="418" w:type="pct"/>
          </w:tcPr>
          <w:p w14:paraId="0D679972" w14:textId="32A4A58B"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5A7653D9" w14:textId="716F8F00" w:rsidR="00AA0C17" w:rsidRPr="00091AA5" w:rsidRDefault="00AA0C17" w:rsidP="005B4DF1">
            <w:pPr>
              <w:rPr>
                <w:rFonts w:ascii="Arial" w:hAnsi="Arial" w:cs="Arial"/>
                <w:sz w:val="16"/>
                <w:szCs w:val="16"/>
              </w:rPr>
            </w:pPr>
            <w:r w:rsidRPr="003A6145">
              <w:rPr>
                <w:rFonts w:ascii="Arial" w:hAnsi="Arial" w:cs="Arial"/>
                <w:b/>
                <w:bCs/>
                <w:sz w:val="16"/>
                <w:szCs w:val="16"/>
                <w:lang w:val="en-CA"/>
              </w:rPr>
              <w:t>Clause</w:t>
            </w:r>
          </w:p>
        </w:tc>
        <w:tc>
          <w:tcPr>
            <w:tcW w:w="977" w:type="pct"/>
          </w:tcPr>
          <w:p w14:paraId="087B96D5" w14:textId="5FCDD41B"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w:t>
            </w:r>
          </w:p>
        </w:tc>
        <w:tc>
          <w:tcPr>
            <w:tcW w:w="1045" w:type="pct"/>
          </w:tcPr>
          <w:p w14:paraId="08562B8B" w14:textId="764EF93B" w:rsidR="00AA0C17" w:rsidRPr="00091AA5" w:rsidRDefault="00AA0C17" w:rsidP="005B4DF1">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6CD135E1" w14:textId="4EBC3C14" w:rsidR="00AA0C17" w:rsidRPr="00256A88" w:rsidRDefault="00AA0C17" w:rsidP="005B4DF1">
            <w:pPr>
              <w:rPr>
                <w:rFonts w:ascii="Arial" w:hAnsi="Arial" w:cs="Arial"/>
                <w:sz w:val="16"/>
                <w:szCs w:val="16"/>
                <w:lang w:val="en-US"/>
              </w:rPr>
            </w:pPr>
            <w:r>
              <w:rPr>
                <w:rFonts w:ascii="Arial" w:hAnsi="Arial" w:cs="Arial"/>
                <w:b/>
                <w:bCs/>
                <w:sz w:val="16"/>
                <w:szCs w:val="16"/>
                <w:lang w:val="en-CA"/>
              </w:rPr>
              <w:t>Resolution</w:t>
            </w:r>
          </w:p>
        </w:tc>
      </w:tr>
      <w:tr w:rsidR="00AA0C17" w:rsidRPr="00FA2C26" w14:paraId="4F39C437" w14:textId="77777777" w:rsidTr="0083242B">
        <w:trPr>
          <w:trHeight w:val="2688"/>
          <w:tblHeader/>
        </w:trPr>
        <w:tc>
          <w:tcPr>
            <w:tcW w:w="350" w:type="pct"/>
            <w:hideMark/>
          </w:tcPr>
          <w:p w14:paraId="126BE01C" w14:textId="77777777" w:rsidR="00AA0C17" w:rsidRPr="00FA2C26" w:rsidRDefault="00AA0C17" w:rsidP="005B4DF1">
            <w:pPr>
              <w:jc w:val="right"/>
              <w:rPr>
                <w:rFonts w:ascii="Arial" w:hAnsi="Arial" w:cs="Arial"/>
                <w:sz w:val="16"/>
                <w:szCs w:val="16"/>
                <w:highlight w:val="yellow"/>
              </w:rPr>
            </w:pPr>
            <w:r w:rsidRPr="00FA2C26">
              <w:rPr>
                <w:rFonts w:ascii="Arial" w:hAnsi="Arial" w:cs="Arial"/>
                <w:sz w:val="16"/>
                <w:szCs w:val="16"/>
                <w:highlight w:val="yellow"/>
              </w:rPr>
              <w:t>3142</w:t>
            </w:r>
          </w:p>
        </w:tc>
        <w:tc>
          <w:tcPr>
            <w:tcW w:w="609" w:type="pct"/>
            <w:hideMark/>
          </w:tcPr>
          <w:p w14:paraId="4F81529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Mitsuru Iwaoka</w:t>
            </w:r>
          </w:p>
        </w:tc>
        <w:tc>
          <w:tcPr>
            <w:tcW w:w="418" w:type="pct"/>
            <w:hideMark/>
          </w:tcPr>
          <w:p w14:paraId="2F4B0C9B" w14:textId="77777777" w:rsidR="00AA0C17" w:rsidRPr="00FA2C26" w:rsidRDefault="00AA0C17" w:rsidP="005B4DF1">
            <w:pPr>
              <w:jc w:val="right"/>
              <w:rPr>
                <w:rFonts w:ascii="Arial" w:hAnsi="Arial" w:cs="Arial"/>
                <w:sz w:val="16"/>
                <w:szCs w:val="16"/>
                <w:highlight w:val="yellow"/>
              </w:rPr>
            </w:pPr>
            <w:r w:rsidRPr="00FA2C26">
              <w:rPr>
                <w:rFonts w:ascii="Arial" w:hAnsi="Arial" w:cs="Arial"/>
                <w:sz w:val="16"/>
                <w:szCs w:val="16"/>
                <w:highlight w:val="yellow"/>
              </w:rPr>
              <w:t>606.27</w:t>
            </w:r>
          </w:p>
        </w:tc>
        <w:tc>
          <w:tcPr>
            <w:tcW w:w="417" w:type="pct"/>
            <w:hideMark/>
          </w:tcPr>
          <w:p w14:paraId="6D2F594B"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8.3.2.1</w:t>
            </w:r>
          </w:p>
        </w:tc>
        <w:tc>
          <w:tcPr>
            <w:tcW w:w="977" w:type="pct"/>
            <w:hideMark/>
          </w:tcPr>
          <w:p w14:paraId="4C817AE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Table 8-34 is not applicable to Mesh Data frames. Table 9-17 (Valid address field usage for Mesh Data and Multihop Action frames) is applied.</w:t>
            </w:r>
          </w:p>
        </w:tc>
        <w:tc>
          <w:tcPr>
            <w:tcW w:w="1045" w:type="pct"/>
            <w:hideMark/>
          </w:tcPr>
          <w:p w14:paraId="1E558023"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Modify the 2nd sentence of the 4th paragraph of 8.3.2.1 as follows;</w:t>
            </w:r>
            <w:r w:rsidRPr="00FA2C26">
              <w:rPr>
                <w:rFonts w:ascii="Arial" w:hAnsi="Arial" w:cs="Arial"/>
                <w:sz w:val="16"/>
                <w:szCs w:val="16"/>
                <w:highlight w:val="yellow"/>
              </w:rPr>
              <w:br/>
            </w:r>
            <w:r w:rsidRPr="00FA2C26">
              <w:rPr>
                <w:rFonts w:ascii="Arial" w:hAnsi="Arial" w:cs="Arial"/>
                <w:sz w:val="16"/>
                <w:szCs w:val="16"/>
                <w:highlight w:val="yellow"/>
              </w:rPr>
              <w:br/>
              <w:t>---</w:t>
            </w:r>
            <w:r w:rsidRPr="00FA2C26">
              <w:rPr>
                <w:rFonts w:ascii="Arial" w:hAnsi="Arial" w:cs="Arial"/>
                <w:sz w:val="16"/>
                <w:szCs w:val="16"/>
                <w:highlight w:val="yellow"/>
              </w:rPr>
              <w:br/>
            </w:r>
            <w:r w:rsidRPr="00FA2C26">
              <w:rPr>
                <w:rFonts w:ascii="Arial" w:hAnsi="Arial" w:cs="Arial"/>
                <w:sz w:val="16"/>
                <w:szCs w:val="16"/>
                <w:highlight w:val="yellow"/>
              </w:rPr>
              <w:br/>
              <w:t>The content of the address fields is defined in Table  9-17 (Valid address field usage for Mesh Data and Multihop Action frames) for Mesh Data frames and in Table 8-34 (Address field contents) otherwise.</w:t>
            </w:r>
          </w:p>
        </w:tc>
        <w:tc>
          <w:tcPr>
            <w:tcW w:w="1183" w:type="pct"/>
          </w:tcPr>
          <w:p w14:paraId="51216E5E" w14:textId="77777777" w:rsidR="00AA0C17" w:rsidRPr="00FA2C26" w:rsidRDefault="00AA0C17" w:rsidP="005B4DF1">
            <w:pPr>
              <w:rPr>
                <w:rFonts w:ascii="Arial" w:hAnsi="Arial" w:cs="Arial"/>
                <w:sz w:val="16"/>
                <w:szCs w:val="16"/>
                <w:highlight w:val="yellow"/>
                <w:lang w:val="en-US"/>
              </w:rPr>
            </w:pPr>
            <w:r w:rsidRPr="00FA2C26">
              <w:rPr>
                <w:rFonts w:ascii="Arial" w:hAnsi="Arial" w:cs="Arial"/>
                <w:sz w:val="16"/>
                <w:szCs w:val="16"/>
                <w:highlight w:val="yellow"/>
                <w:lang w:val="en-US"/>
              </w:rPr>
              <w:t xml:space="preserve">Revised. Change “The content of the address fields is defined in Table 8-34 (Address field contents).” </w:t>
            </w:r>
          </w:p>
          <w:p w14:paraId="0A93FA12" w14:textId="77777777" w:rsidR="00AA0C17" w:rsidRPr="00FA2C26" w:rsidRDefault="00AA0C17" w:rsidP="005B4DF1">
            <w:pPr>
              <w:rPr>
                <w:rFonts w:ascii="Arial" w:hAnsi="Arial" w:cs="Arial"/>
                <w:sz w:val="16"/>
                <w:szCs w:val="16"/>
                <w:highlight w:val="yellow"/>
                <w:lang w:val="en-US"/>
              </w:rPr>
            </w:pPr>
            <w:r w:rsidRPr="00FA2C26">
              <w:rPr>
                <w:rFonts w:ascii="Arial" w:hAnsi="Arial" w:cs="Arial"/>
                <w:sz w:val="16"/>
                <w:szCs w:val="16"/>
                <w:highlight w:val="yellow"/>
                <w:lang w:val="en-US"/>
              </w:rPr>
              <w:t xml:space="preserve">to </w:t>
            </w:r>
          </w:p>
          <w:p w14:paraId="69ED49E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lang w:val="en-US"/>
              </w:rPr>
              <w:t>“The content of the address fields transmitted by non-mesh STAs is defined in Table 8-34 (Address field contents). The content of the address fields transmitted by mesh STAs is defined in 9.35.3 (Frame addressing in an MBSS).”</w:t>
            </w:r>
          </w:p>
        </w:tc>
      </w:tr>
    </w:tbl>
    <w:p w14:paraId="69870236" w14:textId="77777777" w:rsidR="00A55125" w:rsidRDefault="00A55125"/>
    <w:p w14:paraId="42B87776" w14:textId="77777777" w:rsidR="00AA0C17" w:rsidRDefault="00AA0C17" w:rsidP="00AA0C17">
      <w:pPr>
        <w:widowControl w:val="0"/>
        <w:autoSpaceDE w:val="0"/>
        <w:autoSpaceDN w:val="0"/>
        <w:adjustRightInd w:val="0"/>
        <w:rPr>
          <w:sz w:val="20"/>
          <w:szCs w:val="20"/>
          <w:lang w:val="en-US"/>
        </w:rPr>
      </w:pPr>
      <w:r>
        <w:rPr>
          <w:sz w:val="20"/>
          <w:szCs w:val="20"/>
          <w:lang w:val="en-US"/>
        </w:rPr>
        <w:t>CID 3142</w:t>
      </w:r>
    </w:p>
    <w:p w14:paraId="39CBCECC" w14:textId="77777777" w:rsidR="00AA0C17" w:rsidRDefault="00AA0C17" w:rsidP="00AA0C17">
      <w:pPr>
        <w:widowControl w:val="0"/>
        <w:autoSpaceDE w:val="0"/>
        <w:autoSpaceDN w:val="0"/>
        <w:adjustRightInd w:val="0"/>
        <w:rPr>
          <w:sz w:val="20"/>
          <w:szCs w:val="20"/>
          <w:lang w:val="en-US"/>
        </w:rPr>
      </w:pPr>
    </w:p>
    <w:p w14:paraId="5AC940C0" w14:textId="77777777" w:rsidR="00AA0C17" w:rsidRDefault="00AA0C17" w:rsidP="00AA0C17">
      <w:pPr>
        <w:widowControl w:val="0"/>
        <w:autoSpaceDE w:val="0"/>
        <w:autoSpaceDN w:val="0"/>
        <w:adjustRightInd w:val="0"/>
        <w:rPr>
          <w:sz w:val="20"/>
          <w:szCs w:val="20"/>
          <w:lang w:val="en-US"/>
        </w:rPr>
      </w:pPr>
      <w:r>
        <w:rPr>
          <w:sz w:val="20"/>
          <w:szCs w:val="20"/>
          <w:lang w:val="en-US"/>
        </w:rPr>
        <w:t>Original text. “The content of the address fields is defined in Table 8-34 (Address field contents).”</w:t>
      </w:r>
    </w:p>
    <w:p w14:paraId="4E01550D" w14:textId="2428B25C" w:rsidR="00AA0C17" w:rsidRDefault="00AA0C17" w:rsidP="00AA0C17">
      <w:pPr>
        <w:widowControl w:val="0"/>
        <w:autoSpaceDE w:val="0"/>
        <w:autoSpaceDN w:val="0"/>
        <w:adjustRightInd w:val="0"/>
        <w:rPr>
          <w:sz w:val="20"/>
          <w:szCs w:val="20"/>
          <w:lang w:val="en-US"/>
        </w:rPr>
      </w:pPr>
      <w:r>
        <w:rPr>
          <w:sz w:val="20"/>
          <w:szCs w:val="20"/>
          <w:lang w:val="en-US"/>
        </w:rPr>
        <w:t>Address fields for mesh STAs are defined in 9.35.3.</w:t>
      </w:r>
    </w:p>
    <w:p w14:paraId="75C5DB04" w14:textId="77777777" w:rsidR="00AA0C17" w:rsidRDefault="00AA0C17" w:rsidP="00AA0C17">
      <w:pPr>
        <w:widowControl w:val="0"/>
        <w:autoSpaceDE w:val="0"/>
        <w:autoSpaceDN w:val="0"/>
        <w:adjustRightInd w:val="0"/>
        <w:rPr>
          <w:sz w:val="20"/>
          <w:szCs w:val="20"/>
          <w:lang w:val="en-US"/>
        </w:rPr>
      </w:pPr>
    </w:p>
    <w:p w14:paraId="42701D6B" w14:textId="77777777" w:rsidR="00AA0C17" w:rsidRDefault="00AA0C17" w:rsidP="00AA0C17">
      <w:pPr>
        <w:widowControl w:val="0"/>
        <w:autoSpaceDE w:val="0"/>
        <w:autoSpaceDN w:val="0"/>
        <w:adjustRightInd w:val="0"/>
        <w:rPr>
          <w:sz w:val="20"/>
          <w:szCs w:val="20"/>
          <w:lang w:val="en-US"/>
        </w:rPr>
      </w:pPr>
      <w:r>
        <w:rPr>
          <w:sz w:val="20"/>
          <w:szCs w:val="20"/>
          <w:lang w:val="en-US"/>
        </w:rPr>
        <w:t>Proposed resolution:</w:t>
      </w:r>
    </w:p>
    <w:p w14:paraId="62255A2D" w14:textId="77777777" w:rsidR="00AA0C17" w:rsidRDefault="00AA0C17" w:rsidP="00AA0C17">
      <w:pPr>
        <w:widowControl w:val="0"/>
        <w:autoSpaceDE w:val="0"/>
        <w:autoSpaceDN w:val="0"/>
        <w:adjustRightInd w:val="0"/>
        <w:rPr>
          <w:sz w:val="20"/>
          <w:szCs w:val="20"/>
          <w:lang w:val="en-US"/>
        </w:rPr>
      </w:pPr>
      <w:r>
        <w:rPr>
          <w:sz w:val="20"/>
          <w:szCs w:val="20"/>
          <w:lang w:val="en-US"/>
        </w:rPr>
        <w:t>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14:paraId="7AD50E1E" w14:textId="77777777" w:rsidR="0083242B" w:rsidRDefault="0083242B" w:rsidP="00AA0C17">
      <w:pPr>
        <w:widowControl w:val="0"/>
        <w:autoSpaceDE w:val="0"/>
        <w:autoSpaceDN w:val="0"/>
        <w:adjustRightInd w:val="0"/>
        <w:rPr>
          <w:sz w:val="20"/>
          <w:szCs w:val="20"/>
          <w:lang w:val="en-US"/>
        </w:rPr>
      </w:pPr>
    </w:p>
    <w:p w14:paraId="5A8B8CA2" w14:textId="77777777" w:rsidR="0083242B" w:rsidRDefault="0083242B" w:rsidP="00AA0C17">
      <w:pPr>
        <w:widowControl w:val="0"/>
        <w:autoSpaceDE w:val="0"/>
        <w:autoSpaceDN w:val="0"/>
        <w:adjustRightInd w:val="0"/>
        <w:rPr>
          <w:sz w:val="20"/>
          <w:szCs w:val="20"/>
          <w:lang w:val="en-US"/>
        </w:rPr>
      </w:pPr>
    </w:p>
    <w:p w14:paraId="0129FC16" w14:textId="77777777" w:rsidR="00AA0C17" w:rsidRDefault="00AA0C17"/>
    <w:tbl>
      <w:tblPr>
        <w:tblStyle w:val="TableGrid"/>
        <w:tblW w:w="5312" w:type="pct"/>
        <w:tblLayout w:type="fixed"/>
        <w:tblLook w:val="06A0" w:firstRow="1" w:lastRow="0" w:firstColumn="1" w:lastColumn="0" w:noHBand="1" w:noVBand="1"/>
      </w:tblPr>
      <w:tblGrid>
        <w:gridCol w:w="713"/>
        <w:gridCol w:w="1239"/>
        <w:gridCol w:w="851"/>
        <w:gridCol w:w="712"/>
        <w:gridCol w:w="2126"/>
        <w:gridCol w:w="2126"/>
        <w:gridCol w:w="2407"/>
      </w:tblGrid>
      <w:tr w:rsidR="00AA0C17" w:rsidRPr="00091AA5" w14:paraId="0B1BC686" w14:textId="77777777" w:rsidTr="00AA0C17">
        <w:trPr>
          <w:trHeight w:val="418"/>
          <w:tblHeader/>
        </w:trPr>
        <w:tc>
          <w:tcPr>
            <w:tcW w:w="350" w:type="pct"/>
          </w:tcPr>
          <w:p w14:paraId="2F50582D" w14:textId="765EED5C"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8537D75" w14:textId="32C4CAE0"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Commenter</w:t>
            </w:r>
          </w:p>
        </w:tc>
        <w:tc>
          <w:tcPr>
            <w:tcW w:w="418" w:type="pct"/>
          </w:tcPr>
          <w:p w14:paraId="7600B370" w14:textId="42A7AEF1"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13F0C9E6" w14:textId="35EF3CE7" w:rsidR="00AA0C17" w:rsidRPr="00091AA5" w:rsidRDefault="00AA0C17" w:rsidP="00AA0C17">
            <w:pPr>
              <w:rPr>
                <w:rFonts w:ascii="Arial" w:hAnsi="Arial" w:cs="Arial"/>
                <w:sz w:val="16"/>
                <w:szCs w:val="16"/>
              </w:rPr>
            </w:pPr>
            <w:r w:rsidRPr="003A6145">
              <w:rPr>
                <w:rFonts w:ascii="Arial" w:hAnsi="Arial" w:cs="Arial"/>
                <w:b/>
                <w:bCs/>
                <w:sz w:val="16"/>
                <w:szCs w:val="16"/>
                <w:lang w:val="en-CA"/>
              </w:rPr>
              <w:t>Clause</w:t>
            </w:r>
          </w:p>
        </w:tc>
        <w:tc>
          <w:tcPr>
            <w:tcW w:w="1045" w:type="pct"/>
          </w:tcPr>
          <w:p w14:paraId="177E39EC" w14:textId="36002C3B"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w:t>
            </w:r>
          </w:p>
        </w:tc>
        <w:tc>
          <w:tcPr>
            <w:tcW w:w="1045" w:type="pct"/>
          </w:tcPr>
          <w:p w14:paraId="6080E381" w14:textId="3FADA3C2" w:rsidR="00AA0C17" w:rsidRPr="00091AA5" w:rsidRDefault="00AA0C17" w:rsidP="00AA0C17">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4BA4C4B9" w14:textId="03701888" w:rsidR="00AA0C17" w:rsidRPr="00F44223" w:rsidRDefault="00AA0C17" w:rsidP="00AA0C17">
            <w:pPr>
              <w:rPr>
                <w:rFonts w:ascii="Arial" w:hAnsi="Arial" w:cs="Arial"/>
                <w:sz w:val="16"/>
                <w:szCs w:val="16"/>
                <w:lang w:val="en-US"/>
              </w:rPr>
            </w:pPr>
            <w:r>
              <w:rPr>
                <w:rFonts w:ascii="Arial" w:hAnsi="Arial" w:cs="Arial"/>
                <w:b/>
                <w:bCs/>
                <w:sz w:val="16"/>
                <w:szCs w:val="16"/>
                <w:lang w:val="en-CA"/>
              </w:rPr>
              <w:t>Resolution</w:t>
            </w:r>
          </w:p>
        </w:tc>
      </w:tr>
      <w:tr w:rsidR="00AA0C17" w:rsidRPr="00FA2C26" w14:paraId="27796B93" w14:textId="77777777" w:rsidTr="00AA0C17">
        <w:trPr>
          <w:trHeight w:val="2880"/>
          <w:tblHeader/>
        </w:trPr>
        <w:tc>
          <w:tcPr>
            <w:tcW w:w="350" w:type="pct"/>
            <w:hideMark/>
          </w:tcPr>
          <w:p w14:paraId="4F151817" w14:textId="77777777" w:rsidR="00AA0C17" w:rsidRPr="00FA2C26" w:rsidRDefault="00AA0C17" w:rsidP="00AA0C17">
            <w:pPr>
              <w:jc w:val="right"/>
              <w:rPr>
                <w:rFonts w:ascii="Arial" w:hAnsi="Arial" w:cs="Arial"/>
                <w:sz w:val="16"/>
                <w:szCs w:val="16"/>
                <w:highlight w:val="yellow"/>
              </w:rPr>
            </w:pPr>
            <w:r w:rsidRPr="00FA2C26">
              <w:rPr>
                <w:rFonts w:ascii="Arial" w:hAnsi="Arial" w:cs="Arial"/>
                <w:sz w:val="16"/>
                <w:szCs w:val="16"/>
                <w:highlight w:val="yellow"/>
              </w:rPr>
              <w:t>3143</w:t>
            </w:r>
          </w:p>
        </w:tc>
        <w:tc>
          <w:tcPr>
            <w:tcW w:w="609" w:type="pct"/>
            <w:hideMark/>
          </w:tcPr>
          <w:p w14:paraId="7749FDD3"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Mitsuru Iwaoka</w:t>
            </w:r>
          </w:p>
        </w:tc>
        <w:tc>
          <w:tcPr>
            <w:tcW w:w="418" w:type="pct"/>
            <w:hideMark/>
          </w:tcPr>
          <w:p w14:paraId="6C9B6ED4" w14:textId="77777777" w:rsidR="00AA0C17" w:rsidRPr="00FA2C26" w:rsidRDefault="00AA0C17" w:rsidP="00AA0C17">
            <w:pPr>
              <w:jc w:val="right"/>
              <w:rPr>
                <w:rFonts w:ascii="Arial" w:hAnsi="Arial" w:cs="Arial"/>
                <w:sz w:val="16"/>
                <w:szCs w:val="16"/>
                <w:highlight w:val="yellow"/>
              </w:rPr>
            </w:pPr>
            <w:r w:rsidRPr="00FA2C26">
              <w:rPr>
                <w:rFonts w:ascii="Arial" w:hAnsi="Arial" w:cs="Arial"/>
                <w:sz w:val="16"/>
                <w:szCs w:val="16"/>
                <w:highlight w:val="yellow"/>
              </w:rPr>
              <w:t>611.52</w:t>
            </w:r>
          </w:p>
        </w:tc>
        <w:tc>
          <w:tcPr>
            <w:tcW w:w="350" w:type="pct"/>
            <w:hideMark/>
          </w:tcPr>
          <w:p w14:paraId="21F79981"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8.3.3.1</w:t>
            </w:r>
          </w:p>
        </w:tc>
        <w:tc>
          <w:tcPr>
            <w:tcW w:w="1045" w:type="pct"/>
            <w:hideMark/>
          </w:tcPr>
          <w:p w14:paraId="32C89F4A"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The address field usage specified in the subclause 8.3.3.1 is slightly different from Table 9-17 (Valid address field usage for Mesh Data and Multihop Action frames).</w:t>
            </w:r>
          </w:p>
        </w:tc>
        <w:tc>
          <w:tcPr>
            <w:tcW w:w="1045" w:type="pct"/>
            <w:hideMark/>
          </w:tcPr>
          <w:p w14:paraId="5593A0EA"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Modify the 4th paragraph and NOTE 2 (P611L52 to P611L60) as follows;</w:t>
            </w:r>
            <w:r w:rsidRPr="00FA2C26">
              <w:rPr>
                <w:rFonts w:ascii="Arial" w:hAnsi="Arial" w:cs="Arial"/>
                <w:sz w:val="16"/>
                <w:szCs w:val="16"/>
                <w:highlight w:val="yellow"/>
              </w:rPr>
              <w:br/>
            </w:r>
            <w:r w:rsidRPr="00FA2C26">
              <w:rPr>
                <w:rFonts w:ascii="Arial" w:hAnsi="Arial" w:cs="Arial"/>
                <w:sz w:val="16"/>
                <w:szCs w:val="16"/>
                <w:highlight w:val="yellow"/>
              </w:rPr>
              <w:br/>
              <w:t>---</w:t>
            </w:r>
            <w:r w:rsidRPr="00FA2C26">
              <w:rPr>
                <w:rFonts w:ascii="Arial" w:hAnsi="Arial" w:cs="Arial"/>
                <w:sz w:val="16"/>
                <w:szCs w:val="16"/>
                <w:highlight w:val="yellow"/>
              </w:rPr>
              <w:br/>
            </w:r>
            <w:r w:rsidRPr="00FA2C26">
              <w:rPr>
                <w:rFonts w:ascii="Arial" w:hAnsi="Arial" w:cs="Arial"/>
                <w:sz w:val="16"/>
                <w:szCs w:val="16"/>
                <w:highlight w:val="yellow"/>
              </w:rPr>
              <w:br/>
              <w:t>The content of address fields for the Multihop Action frame is defined in Table 9-17 (Valid address field usage for Mesh Data and Multihop Action frames).</w:t>
            </w:r>
          </w:p>
        </w:tc>
        <w:tc>
          <w:tcPr>
            <w:tcW w:w="1183" w:type="pct"/>
          </w:tcPr>
          <w:p w14:paraId="1B911258" w14:textId="365ED277" w:rsidR="00AA0C17" w:rsidRPr="00FA2C26" w:rsidRDefault="00E5718F" w:rsidP="00AA0C17">
            <w:pPr>
              <w:rPr>
                <w:rFonts w:ascii="Arial" w:hAnsi="Arial" w:cs="Arial"/>
                <w:sz w:val="16"/>
                <w:szCs w:val="16"/>
                <w:highlight w:val="yellow"/>
              </w:rPr>
            </w:pPr>
            <w:r w:rsidRPr="00FA2C26">
              <w:rPr>
                <w:rFonts w:ascii="Arial" w:hAnsi="Arial" w:cs="Arial"/>
                <w:sz w:val="16"/>
                <w:szCs w:val="16"/>
                <w:highlight w:val="yellow"/>
                <w:lang w:val="en-US"/>
              </w:rPr>
              <w:t>Revised. Replace</w:t>
            </w:r>
            <w:r w:rsidR="00AA0C17" w:rsidRPr="00FA2C26">
              <w:rPr>
                <w:rFonts w:ascii="Arial" w:hAnsi="Arial" w:cs="Arial"/>
                <w:sz w:val="16"/>
                <w:szCs w:val="16"/>
                <w:highlight w:val="yellow"/>
                <w:lang w:val="en-US"/>
              </w:rPr>
              <w:t xml:space="preserve"> the text in 611.52-60 with “The address fields for Multihop action frames are described in 9.35.3 (Frame addressing in an MBSS).”</w:t>
            </w:r>
          </w:p>
        </w:tc>
      </w:tr>
    </w:tbl>
    <w:p w14:paraId="2BCF69A8" w14:textId="77777777" w:rsidR="00AA0C17" w:rsidRDefault="00AA0C17"/>
    <w:p w14:paraId="7470335C" w14:textId="77777777" w:rsidR="007932A9" w:rsidRDefault="007932A9" w:rsidP="007932A9">
      <w:pPr>
        <w:widowControl w:val="0"/>
        <w:autoSpaceDE w:val="0"/>
        <w:autoSpaceDN w:val="0"/>
        <w:adjustRightInd w:val="0"/>
        <w:rPr>
          <w:sz w:val="20"/>
          <w:szCs w:val="20"/>
          <w:lang w:val="en-US"/>
        </w:rPr>
      </w:pPr>
      <w:r>
        <w:rPr>
          <w:sz w:val="20"/>
          <w:szCs w:val="20"/>
          <w:lang w:val="en-US"/>
        </w:rPr>
        <w:t>CID 3143</w:t>
      </w:r>
    </w:p>
    <w:p w14:paraId="0F6F44A4" w14:textId="77777777" w:rsidR="007932A9" w:rsidRDefault="007932A9" w:rsidP="007932A9">
      <w:pPr>
        <w:widowControl w:val="0"/>
        <w:autoSpaceDE w:val="0"/>
        <w:autoSpaceDN w:val="0"/>
        <w:adjustRightInd w:val="0"/>
        <w:rPr>
          <w:sz w:val="20"/>
          <w:szCs w:val="20"/>
          <w:lang w:val="en-US"/>
        </w:rPr>
      </w:pPr>
    </w:p>
    <w:p w14:paraId="3AA8F091" w14:textId="77777777" w:rsidR="007932A9" w:rsidRDefault="007932A9" w:rsidP="007932A9">
      <w:pPr>
        <w:widowControl w:val="0"/>
        <w:autoSpaceDE w:val="0"/>
        <w:autoSpaceDN w:val="0"/>
        <w:adjustRightInd w:val="0"/>
        <w:rPr>
          <w:sz w:val="20"/>
          <w:szCs w:val="20"/>
          <w:lang w:val="en-US"/>
        </w:rPr>
      </w:pPr>
      <w:r>
        <w:rPr>
          <w:sz w:val="20"/>
          <w:szCs w:val="20"/>
          <w:lang w:val="en-US"/>
        </w:rPr>
        <w:t>Clause 8.3.3.1 describes a Management frame format. The para at 611.22 describes address fields for Management frames except for Multihop Action frames. The cited paragraph describes address fields for Multihop action frames.</w:t>
      </w:r>
    </w:p>
    <w:p w14:paraId="7E21ABDC" w14:textId="77777777" w:rsidR="007932A9" w:rsidRDefault="007932A9" w:rsidP="007932A9">
      <w:pPr>
        <w:widowControl w:val="0"/>
        <w:autoSpaceDE w:val="0"/>
        <w:autoSpaceDN w:val="0"/>
        <w:adjustRightInd w:val="0"/>
        <w:rPr>
          <w:sz w:val="20"/>
          <w:szCs w:val="20"/>
          <w:lang w:val="en-US"/>
        </w:rPr>
      </w:pPr>
    </w:p>
    <w:p w14:paraId="6CCB182C" w14:textId="77777777" w:rsidR="007932A9" w:rsidRDefault="007932A9" w:rsidP="007932A9">
      <w:pPr>
        <w:widowControl w:val="0"/>
        <w:autoSpaceDE w:val="0"/>
        <w:autoSpaceDN w:val="0"/>
        <w:adjustRightInd w:val="0"/>
        <w:rPr>
          <w:sz w:val="20"/>
          <w:szCs w:val="20"/>
          <w:lang w:val="en-US"/>
        </w:rPr>
      </w:pPr>
      <w:r>
        <w:rPr>
          <w:sz w:val="20"/>
          <w:szCs w:val="20"/>
          <w:lang w:val="en-US"/>
        </w:rPr>
        <w:t>611.52-60 is redundant with the specification in clause 9.35.3.</w:t>
      </w:r>
    </w:p>
    <w:p w14:paraId="466B3690" w14:textId="77777777" w:rsidR="007932A9" w:rsidRDefault="007932A9" w:rsidP="007932A9">
      <w:pPr>
        <w:widowControl w:val="0"/>
        <w:autoSpaceDE w:val="0"/>
        <w:autoSpaceDN w:val="0"/>
        <w:adjustRightInd w:val="0"/>
        <w:rPr>
          <w:sz w:val="20"/>
          <w:szCs w:val="20"/>
          <w:lang w:val="en-US"/>
        </w:rPr>
      </w:pPr>
    </w:p>
    <w:p w14:paraId="1A18FF6B" w14:textId="77777777" w:rsidR="007932A9" w:rsidRDefault="007932A9" w:rsidP="007932A9">
      <w:pPr>
        <w:widowControl w:val="0"/>
        <w:autoSpaceDE w:val="0"/>
        <w:autoSpaceDN w:val="0"/>
        <w:adjustRightInd w:val="0"/>
        <w:rPr>
          <w:sz w:val="20"/>
          <w:szCs w:val="20"/>
          <w:lang w:val="en-US"/>
        </w:rPr>
      </w:pPr>
      <w:r>
        <w:rPr>
          <w:sz w:val="20"/>
          <w:szCs w:val="20"/>
          <w:lang w:val="en-US"/>
        </w:rPr>
        <w:t xml:space="preserve">Proposed resolution. </w:t>
      </w:r>
    </w:p>
    <w:p w14:paraId="4C0B5BD3" w14:textId="77777777" w:rsidR="007932A9" w:rsidRDefault="007932A9" w:rsidP="007932A9">
      <w:pPr>
        <w:widowControl w:val="0"/>
        <w:autoSpaceDE w:val="0"/>
        <w:autoSpaceDN w:val="0"/>
        <w:adjustRightInd w:val="0"/>
        <w:rPr>
          <w:sz w:val="20"/>
          <w:szCs w:val="20"/>
          <w:lang w:val="en-US"/>
        </w:rPr>
      </w:pPr>
      <w:r>
        <w:rPr>
          <w:sz w:val="20"/>
          <w:szCs w:val="20"/>
          <w:lang w:val="en-US"/>
        </w:rPr>
        <w:t>Replace the text in 611.52-60 with “The address fields for Multihop action frames are described in 9.35.3 (Frame addressing in an MBSS).”</w:t>
      </w:r>
    </w:p>
    <w:p w14:paraId="4DD0B720" w14:textId="77777777" w:rsidR="005B4DF1" w:rsidRDefault="005B4DF1"/>
    <w:p w14:paraId="6ACE9114" w14:textId="77777777" w:rsidR="007932A9" w:rsidRDefault="007932A9"/>
    <w:p w14:paraId="11A0ADE5" w14:textId="77777777" w:rsidR="007932A9" w:rsidRDefault="007932A9"/>
    <w:p w14:paraId="5C3BE6F5" w14:textId="77777777" w:rsidR="007932A9" w:rsidRDefault="007932A9"/>
    <w:p w14:paraId="01182AC3" w14:textId="77777777" w:rsidR="007932A9" w:rsidRDefault="007932A9"/>
    <w:p w14:paraId="172D2195" w14:textId="77777777" w:rsidR="007932A9" w:rsidRDefault="007932A9"/>
    <w:p w14:paraId="396E0116" w14:textId="77777777" w:rsidR="007932A9" w:rsidRDefault="007932A9"/>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63215C" w:rsidRPr="00091AA5" w14:paraId="1D4E2695" w14:textId="77777777" w:rsidTr="0063215C">
        <w:trPr>
          <w:trHeight w:val="375"/>
          <w:tblHeader/>
        </w:trPr>
        <w:tc>
          <w:tcPr>
            <w:tcW w:w="350" w:type="pct"/>
          </w:tcPr>
          <w:p w14:paraId="2BAA2B53"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A4CE7CB"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Commenter</w:t>
            </w:r>
          </w:p>
        </w:tc>
        <w:tc>
          <w:tcPr>
            <w:tcW w:w="418" w:type="pct"/>
          </w:tcPr>
          <w:p w14:paraId="33652C04"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B56640D"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Clause</w:t>
            </w:r>
          </w:p>
        </w:tc>
        <w:tc>
          <w:tcPr>
            <w:tcW w:w="977" w:type="pct"/>
          </w:tcPr>
          <w:p w14:paraId="4C493551"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w:t>
            </w:r>
          </w:p>
        </w:tc>
        <w:tc>
          <w:tcPr>
            <w:tcW w:w="1045" w:type="pct"/>
          </w:tcPr>
          <w:p w14:paraId="2F8F422A"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5EA01A7" w14:textId="77777777" w:rsidR="0063215C" w:rsidRPr="00181218" w:rsidRDefault="0063215C" w:rsidP="0083242B">
            <w:pPr>
              <w:rPr>
                <w:rFonts w:ascii="Arial" w:hAnsi="Arial"/>
                <w:sz w:val="16"/>
                <w:szCs w:val="16"/>
                <w:lang w:val="en-US"/>
              </w:rPr>
            </w:pPr>
            <w:r>
              <w:rPr>
                <w:rFonts w:ascii="Arial" w:hAnsi="Arial" w:cs="Arial"/>
                <w:b/>
                <w:bCs/>
                <w:sz w:val="16"/>
                <w:szCs w:val="16"/>
                <w:lang w:val="en-CA"/>
              </w:rPr>
              <w:t>Resolution</w:t>
            </w:r>
          </w:p>
        </w:tc>
      </w:tr>
      <w:tr w:rsidR="0063215C" w:rsidRPr="00FA2C26" w14:paraId="614C750B" w14:textId="77777777" w:rsidTr="0063215C">
        <w:trPr>
          <w:trHeight w:val="1920"/>
          <w:tblHeader/>
        </w:trPr>
        <w:tc>
          <w:tcPr>
            <w:tcW w:w="350" w:type="pct"/>
            <w:hideMark/>
          </w:tcPr>
          <w:p w14:paraId="5A2ADD79" w14:textId="77777777" w:rsidR="0063215C" w:rsidRPr="00FA2C26" w:rsidRDefault="0063215C" w:rsidP="0083242B">
            <w:pPr>
              <w:jc w:val="right"/>
              <w:rPr>
                <w:rFonts w:ascii="Arial" w:hAnsi="Arial" w:cs="Arial"/>
                <w:sz w:val="16"/>
                <w:szCs w:val="16"/>
                <w:highlight w:val="yellow"/>
              </w:rPr>
            </w:pPr>
            <w:r w:rsidRPr="00FA2C26">
              <w:rPr>
                <w:rFonts w:ascii="Arial" w:hAnsi="Arial" w:cs="Arial"/>
                <w:sz w:val="16"/>
                <w:szCs w:val="16"/>
                <w:highlight w:val="yellow"/>
              </w:rPr>
              <w:t>3351</w:t>
            </w:r>
          </w:p>
        </w:tc>
        <w:tc>
          <w:tcPr>
            <w:tcW w:w="609" w:type="pct"/>
            <w:hideMark/>
          </w:tcPr>
          <w:p w14:paraId="397F3F67"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Mark RISON</w:t>
            </w:r>
          </w:p>
        </w:tc>
        <w:tc>
          <w:tcPr>
            <w:tcW w:w="418" w:type="pct"/>
            <w:hideMark/>
          </w:tcPr>
          <w:p w14:paraId="61B02117" w14:textId="77777777" w:rsidR="0063215C" w:rsidRPr="00FA2C26" w:rsidRDefault="0063215C" w:rsidP="0083242B">
            <w:pPr>
              <w:jc w:val="right"/>
              <w:rPr>
                <w:rFonts w:ascii="Arial" w:hAnsi="Arial" w:cs="Arial"/>
                <w:sz w:val="16"/>
                <w:szCs w:val="16"/>
                <w:highlight w:val="yellow"/>
              </w:rPr>
            </w:pPr>
            <w:r w:rsidRPr="00FA2C26">
              <w:rPr>
                <w:rFonts w:ascii="Arial" w:hAnsi="Arial" w:cs="Arial"/>
                <w:sz w:val="16"/>
                <w:szCs w:val="16"/>
                <w:highlight w:val="yellow"/>
              </w:rPr>
              <w:t>1324.17</w:t>
            </w:r>
          </w:p>
        </w:tc>
        <w:tc>
          <w:tcPr>
            <w:tcW w:w="417" w:type="pct"/>
            <w:hideMark/>
          </w:tcPr>
          <w:p w14:paraId="3CF264EB"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9.22.3.3</w:t>
            </w:r>
          </w:p>
        </w:tc>
        <w:tc>
          <w:tcPr>
            <w:tcW w:w="977" w:type="pct"/>
            <w:hideMark/>
          </w:tcPr>
          <w:p w14:paraId="3A1664FC"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Can a transmission extend across TBTT, if CFPs are not being used (and the device is not in a mesh)?  9.22.3.3 suggests no, but this is in a section on HCCA so maybe it doesn't apply to EDCA-only operation?</w:t>
            </w:r>
          </w:p>
        </w:tc>
        <w:tc>
          <w:tcPr>
            <w:tcW w:w="1045" w:type="pct"/>
            <w:hideMark/>
          </w:tcPr>
          <w:p w14:paraId="082CFAAE"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State that transmissions may extend across TBTT in other cases</w:t>
            </w:r>
          </w:p>
        </w:tc>
        <w:tc>
          <w:tcPr>
            <w:tcW w:w="1183" w:type="pct"/>
          </w:tcPr>
          <w:p w14:paraId="4099A49A" w14:textId="6E803E42" w:rsidR="0063215C" w:rsidRPr="00FA2C26" w:rsidRDefault="00E5718F" w:rsidP="005534E7">
            <w:pPr>
              <w:rPr>
                <w:rFonts w:ascii="Arial" w:hAnsi="Arial" w:cs="Arial"/>
                <w:sz w:val="16"/>
                <w:szCs w:val="16"/>
                <w:highlight w:val="yellow"/>
              </w:rPr>
            </w:pPr>
            <w:r w:rsidRPr="00FA2C26">
              <w:rPr>
                <w:rFonts w:ascii="Arial" w:hAnsi="Arial"/>
                <w:sz w:val="16"/>
                <w:szCs w:val="16"/>
                <w:highlight w:val="yellow"/>
                <w:lang w:val="en-US"/>
              </w:rPr>
              <w:t>Revised</w:t>
            </w:r>
            <w:r w:rsidR="0063215C" w:rsidRPr="00FA2C26">
              <w:rPr>
                <w:rFonts w:ascii="Arial" w:hAnsi="Arial"/>
                <w:sz w:val="16"/>
                <w:szCs w:val="16"/>
                <w:highlight w:val="yellow"/>
                <w:lang w:val="en-US"/>
              </w:rPr>
              <w:t xml:space="preserve">. </w:t>
            </w:r>
            <w:r w:rsidRPr="00FA2C26">
              <w:rPr>
                <w:rFonts w:ascii="Arial" w:hAnsi="Arial"/>
                <w:sz w:val="16"/>
                <w:szCs w:val="16"/>
                <w:highlight w:val="yellow"/>
                <w:lang w:val="en-US"/>
              </w:rPr>
              <w:t xml:space="preserve">Rename the title of 9.22.3.3 to “HCCA </w:t>
            </w:r>
            <w:r w:rsidR="00C21AF5" w:rsidRPr="00FA2C26">
              <w:rPr>
                <w:rFonts w:ascii="Arial" w:hAnsi="Arial"/>
                <w:sz w:val="16"/>
                <w:szCs w:val="16"/>
                <w:highlight w:val="yellow"/>
                <w:lang w:val="en-US"/>
              </w:rPr>
              <w:t>TXOP structure and timing”.</w:t>
            </w:r>
            <w:r w:rsidR="005534E7" w:rsidRPr="00FA2C26">
              <w:rPr>
                <w:rFonts w:ascii="Arial" w:hAnsi="Arial"/>
                <w:sz w:val="16"/>
                <w:szCs w:val="16"/>
                <w:highlight w:val="yellow"/>
                <w:lang w:val="en-US"/>
              </w:rPr>
              <w:t xml:space="preserve"> the clause title of 9.22.3.4 to “NAV operation of a TXOP under HCCA.”</w:t>
            </w:r>
          </w:p>
        </w:tc>
      </w:tr>
    </w:tbl>
    <w:p w14:paraId="2E5B04F8" w14:textId="482048AE" w:rsidR="0063215C" w:rsidRDefault="0063215C" w:rsidP="0063215C">
      <w:pPr>
        <w:widowControl w:val="0"/>
        <w:autoSpaceDE w:val="0"/>
        <w:autoSpaceDN w:val="0"/>
        <w:adjustRightInd w:val="0"/>
        <w:rPr>
          <w:sz w:val="20"/>
          <w:szCs w:val="20"/>
          <w:lang w:val="en-US"/>
        </w:rPr>
      </w:pPr>
      <w:r>
        <w:rPr>
          <w:sz w:val="20"/>
          <w:szCs w:val="20"/>
          <w:lang w:val="en-US"/>
        </w:rPr>
        <w:br/>
        <w:t>CID 3351</w:t>
      </w:r>
    </w:p>
    <w:p w14:paraId="74DA6233" w14:textId="77777777" w:rsidR="0063215C" w:rsidRDefault="0063215C" w:rsidP="0063215C">
      <w:pPr>
        <w:widowControl w:val="0"/>
        <w:autoSpaceDE w:val="0"/>
        <w:autoSpaceDN w:val="0"/>
        <w:adjustRightInd w:val="0"/>
        <w:rPr>
          <w:sz w:val="20"/>
          <w:szCs w:val="20"/>
          <w:lang w:val="en-US"/>
        </w:rPr>
      </w:pPr>
      <w:r>
        <w:rPr>
          <w:sz w:val="20"/>
          <w:szCs w:val="20"/>
          <w:lang w:val="en-US"/>
        </w:rPr>
        <w:t xml:space="preserve">Found no references in the document that describe whether an EDCA TXOP can extend beyond a TBTT. The referenced text refers to HCCA operation (as indicated). </w:t>
      </w:r>
    </w:p>
    <w:p w14:paraId="78F642FF" w14:textId="77777777" w:rsidR="0063215C" w:rsidRDefault="0063215C" w:rsidP="0063215C">
      <w:pPr>
        <w:widowControl w:val="0"/>
        <w:autoSpaceDE w:val="0"/>
        <w:autoSpaceDN w:val="0"/>
        <w:adjustRightInd w:val="0"/>
        <w:rPr>
          <w:sz w:val="20"/>
          <w:szCs w:val="20"/>
          <w:lang w:val="en-US"/>
        </w:rPr>
      </w:pPr>
    </w:p>
    <w:p w14:paraId="4C2C718F" w14:textId="3E458B80" w:rsidR="007932A9" w:rsidRDefault="007932A9" w:rsidP="0063215C"/>
    <w:sectPr w:rsidR="007932A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97259B" w:rsidRDefault="0097259B">
      <w:r>
        <w:separator/>
      </w:r>
    </w:p>
  </w:endnote>
  <w:endnote w:type="continuationSeparator" w:id="0">
    <w:p w14:paraId="023275A0" w14:textId="77777777" w:rsidR="0097259B" w:rsidRDefault="0097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97259B" w:rsidRDefault="0097259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44CCF">
      <w:rPr>
        <w:noProof/>
      </w:rPr>
      <w:t>1</w:t>
    </w:r>
    <w:r>
      <w:fldChar w:fldCharType="end"/>
    </w:r>
    <w:r>
      <w:tab/>
    </w:r>
    <w:fldSimple w:instr=" COMMENTS  \* MERGEFORMAT ">
      <w:r>
        <w:t>Michael Montemurro, BlackBerry</w:t>
      </w:r>
    </w:fldSimple>
  </w:p>
  <w:p w14:paraId="341FAAD4" w14:textId="77777777" w:rsidR="0097259B" w:rsidRDefault="0097259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97259B" w:rsidRDefault="0097259B">
      <w:r>
        <w:separator/>
      </w:r>
    </w:p>
  </w:footnote>
  <w:footnote w:type="continuationSeparator" w:id="0">
    <w:p w14:paraId="37F28EB3" w14:textId="77777777" w:rsidR="0097259B" w:rsidRDefault="009725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97259B" w:rsidRDefault="0097259B">
    <w:pPr>
      <w:pStyle w:val="Header"/>
      <w:tabs>
        <w:tab w:val="clear" w:pos="6480"/>
        <w:tab w:val="center" w:pos="4680"/>
        <w:tab w:val="right" w:pos="9360"/>
      </w:tabs>
    </w:pPr>
    <w:fldSimple w:instr=" KEYWORDS  \* MERGEFORMAT ">
      <w:r>
        <w:t>September 2014</w:t>
      </w:r>
    </w:fldSimple>
    <w:r>
      <w:tab/>
    </w:r>
    <w:r>
      <w:tab/>
    </w:r>
    <w:fldSimple w:instr=" TITLE  \* MERGEFORMAT ">
      <w:r>
        <w:t>doc.: IEEE 802.11-14/0923r5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36F"/>
    <w:rsid w:val="00013CB1"/>
    <w:rsid w:val="00032A08"/>
    <w:rsid w:val="0003359A"/>
    <w:rsid w:val="00034CC8"/>
    <w:rsid w:val="00034FC4"/>
    <w:rsid w:val="00037FD0"/>
    <w:rsid w:val="000401D3"/>
    <w:rsid w:val="00043CFA"/>
    <w:rsid w:val="00083F34"/>
    <w:rsid w:val="00086C05"/>
    <w:rsid w:val="00090781"/>
    <w:rsid w:val="00091AA5"/>
    <w:rsid w:val="00093FA6"/>
    <w:rsid w:val="00093FDF"/>
    <w:rsid w:val="000A4DE9"/>
    <w:rsid w:val="000B46D7"/>
    <w:rsid w:val="000B6A9D"/>
    <w:rsid w:val="000B794D"/>
    <w:rsid w:val="000D082C"/>
    <w:rsid w:val="000F6AB1"/>
    <w:rsid w:val="00121EC4"/>
    <w:rsid w:val="00144CCF"/>
    <w:rsid w:val="00177A0E"/>
    <w:rsid w:val="00181218"/>
    <w:rsid w:val="00192D22"/>
    <w:rsid w:val="00194B87"/>
    <w:rsid w:val="001C0196"/>
    <w:rsid w:val="001D723B"/>
    <w:rsid w:val="00217E96"/>
    <w:rsid w:val="002367EC"/>
    <w:rsid w:val="00246672"/>
    <w:rsid w:val="00255AA2"/>
    <w:rsid w:val="00256A88"/>
    <w:rsid w:val="00260088"/>
    <w:rsid w:val="00261AFC"/>
    <w:rsid w:val="00266775"/>
    <w:rsid w:val="0028075B"/>
    <w:rsid w:val="0029020B"/>
    <w:rsid w:val="0029121B"/>
    <w:rsid w:val="00297B6E"/>
    <w:rsid w:val="002B689A"/>
    <w:rsid w:val="002B760F"/>
    <w:rsid w:val="002D44BE"/>
    <w:rsid w:val="002D5401"/>
    <w:rsid w:val="002F0612"/>
    <w:rsid w:val="00305C59"/>
    <w:rsid w:val="00336A56"/>
    <w:rsid w:val="00360410"/>
    <w:rsid w:val="00367947"/>
    <w:rsid w:val="0037550E"/>
    <w:rsid w:val="003972DB"/>
    <w:rsid w:val="003A6145"/>
    <w:rsid w:val="003A7579"/>
    <w:rsid w:val="003B260B"/>
    <w:rsid w:val="003C5A13"/>
    <w:rsid w:val="003C630B"/>
    <w:rsid w:val="003D1164"/>
    <w:rsid w:val="003E179C"/>
    <w:rsid w:val="003E4B85"/>
    <w:rsid w:val="00442037"/>
    <w:rsid w:val="004570C5"/>
    <w:rsid w:val="0046647B"/>
    <w:rsid w:val="00466DA9"/>
    <w:rsid w:val="0048279C"/>
    <w:rsid w:val="004D71E5"/>
    <w:rsid w:val="004E50B1"/>
    <w:rsid w:val="004F6B19"/>
    <w:rsid w:val="00516246"/>
    <w:rsid w:val="00534C0E"/>
    <w:rsid w:val="005534E7"/>
    <w:rsid w:val="005602E8"/>
    <w:rsid w:val="00580449"/>
    <w:rsid w:val="0059488E"/>
    <w:rsid w:val="005A3D96"/>
    <w:rsid w:val="005A53EE"/>
    <w:rsid w:val="005B4DF1"/>
    <w:rsid w:val="005D5623"/>
    <w:rsid w:val="005F07FC"/>
    <w:rsid w:val="005F1804"/>
    <w:rsid w:val="00610774"/>
    <w:rsid w:val="0062440B"/>
    <w:rsid w:val="0063215C"/>
    <w:rsid w:val="00694F28"/>
    <w:rsid w:val="006C0727"/>
    <w:rsid w:val="006C3210"/>
    <w:rsid w:val="006D35B2"/>
    <w:rsid w:val="006E145F"/>
    <w:rsid w:val="006F76D7"/>
    <w:rsid w:val="00707353"/>
    <w:rsid w:val="00721427"/>
    <w:rsid w:val="00726572"/>
    <w:rsid w:val="007507C2"/>
    <w:rsid w:val="00766A31"/>
    <w:rsid w:val="00770572"/>
    <w:rsid w:val="007732D8"/>
    <w:rsid w:val="007932A9"/>
    <w:rsid w:val="007A00FA"/>
    <w:rsid w:val="007B7ED7"/>
    <w:rsid w:val="007B7F8D"/>
    <w:rsid w:val="007D0227"/>
    <w:rsid w:val="007D70D6"/>
    <w:rsid w:val="007E50ED"/>
    <w:rsid w:val="00801E9F"/>
    <w:rsid w:val="00803BD1"/>
    <w:rsid w:val="00820703"/>
    <w:rsid w:val="0083242B"/>
    <w:rsid w:val="00856148"/>
    <w:rsid w:val="00883E82"/>
    <w:rsid w:val="0089117E"/>
    <w:rsid w:val="008A0A31"/>
    <w:rsid w:val="008A13D8"/>
    <w:rsid w:val="008A1F6D"/>
    <w:rsid w:val="008B3724"/>
    <w:rsid w:val="008F593B"/>
    <w:rsid w:val="00905C89"/>
    <w:rsid w:val="009368E0"/>
    <w:rsid w:val="00953225"/>
    <w:rsid w:val="009533AD"/>
    <w:rsid w:val="00962FAD"/>
    <w:rsid w:val="00965B3E"/>
    <w:rsid w:val="0097259B"/>
    <w:rsid w:val="00976824"/>
    <w:rsid w:val="00977630"/>
    <w:rsid w:val="009E16EE"/>
    <w:rsid w:val="009F18BC"/>
    <w:rsid w:val="00A10418"/>
    <w:rsid w:val="00A16123"/>
    <w:rsid w:val="00A22695"/>
    <w:rsid w:val="00A242BC"/>
    <w:rsid w:val="00A243A3"/>
    <w:rsid w:val="00A55125"/>
    <w:rsid w:val="00A6650F"/>
    <w:rsid w:val="00A90759"/>
    <w:rsid w:val="00A91B77"/>
    <w:rsid w:val="00A967AF"/>
    <w:rsid w:val="00AA0C17"/>
    <w:rsid w:val="00AA427C"/>
    <w:rsid w:val="00AA5E26"/>
    <w:rsid w:val="00AC05EA"/>
    <w:rsid w:val="00AF5F8E"/>
    <w:rsid w:val="00AF6263"/>
    <w:rsid w:val="00B175F1"/>
    <w:rsid w:val="00B31E59"/>
    <w:rsid w:val="00B833AA"/>
    <w:rsid w:val="00BA01FD"/>
    <w:rsid w:val="00BA0BBF"/>
    <w:rsid w:val="00BE0FD3"/>
    <w:rsid w:val="00BE3CB4"/>
    <w:rsid w:val="00BE68C2"/>
    <w:rsid w:val="00C1395F"/>
    <w:rsid w:val="00C210C2"/>
    <w:rsid w:val="00C21AF5"/>
    <w:rsid w:val="00C41C2A"/>
    <w:rsid w:val="00C431E5"/>
    <w:rsid w:val="00C515F4"/>
    <w:rsid w:val="00C758DA"/>
    <w:rsid w:val="00C77FFA"/>
    <w:rsid w:val="00C87ADB"/>
    <w:rsid w:val="00CA09B2"/>
    <w:rsid w:val="00CA0CF1"/>
    <w:rsid w:val="00CA3EC1"/>
    <w:rsid w:val="00CB0332"/>
    <w:rsid w:val="00D24C2D"/>
    <w:rsid w:val="00D33B55"/>
    <w:rsid w:val="00D42D25"/>
    <w:rsid w:val="00D52CD8"/>
    <w:rsid w:val="00D64F3B"/>
    <w:rsid w:val="00D71E5A"/>
    <w:rsid w:val="00D72DBF"/>
    <w:rsid w:val="00D94785"/>
    <w:rsid w:val="00DA7D5D"/>
    <w:rsid w:val="00DC5A7B"/>
    <w:rsid w:val="00DF43CD"/>
    <w:rsid w:val="00E00B76"/>
    <w:rsid w:val="00E26BAD"/>
    <w:rsid w:val="00E2754E"/>
    <w:rsid w:val="00E34F08"/>
    <w:rsid w:val="00E4256C"/>
    <w:rsid w:val="00E44458"/>
    <w:rsid w:val="00E45D40"/>
    <w:rsid w:val="00E51B50"/>
    <w:rsid w:val="00E5718F"/>
    <w:rsid w:val="00F039C7"/>
    <w:rsid w:val="00F11A64"/>
    <w:rsid w:val="00F43C50"/>
    <w:rsid w:val="00F43E74"/>
    <w:rsid w:val="00F44223"/>
    <w:rsid w:val="00F63936"/>
    <w:rsid w:val="00F70059"/>
    <w:rsid w:val="00F7253B"/>
    <w:rsid w:val="00F75347"/>
    <w:rsid w:val="00F80317"/>
    <w:rsid w:val="00F91F62"/>
    <w:rsid w:val="00FA2C26"/>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18</TotalTime>
  <Pages>19</Pages>
  <Words>5056</Words>
  <Characters>28820</Characters>
  <Application>Microsoft Macintosh Word</Application>
  <DocSecurity>0</DocSecurity>
  <Lines>240</Lines>
  <Paragraphs>67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802.11-14/0923r4</vt:lpstr>
      <vt:lpstr>BW Rules</vt:lpstr>
      <vt:lpstr>        Discussion:</vt:lpstr>
      <vt:lpstr>Frame Formats</vt:lpstr>
      <vt:lpstr>        Discussion:</vt:lpstr>
      <vt:lpstr>        Proposed changes:</vt:lpstr>
      <vt:lpstr>Management</vt:lpstr>
      <vt:lpstr>        Discussion:</vt:lpstr>
    </vt:vector>
  </TitlesOfParts>
  <Manager/>
  <Company>BlackBerry</Company>
  <LinksUpToDate>false</LinksUpToDate>
  <CharactersWithSpaces>33809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802.11-14/0923r5</dc:title>
  <dc:subject>Submission</dc:subject>
  <dc:creator>Michael Montemuro</dc:creator>
  <cp:keywords>September 2014</cp:keywords>
  <dc:description/>
  <cp:lastModifiedBy>Michael Montemurro</cp:lastModifiedBy>
  <cp:revision>5</cp:revision>
  <cp:lastPrinted>2014-07-05T01:43:00Z</cp:lastPrinted>
  <dcterms:created xsi:type="dcterms:W3CDTF">2014-10-24T13:22:00Z</dcterms:created>
  <dcterms:modified xsi:type="dcterms:W3CDTF">2014-10-24T14:34:00Z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