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571DAA12"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2367EC">
              <w:rPr>
                <w:b w:val="0"/>
                <w:sz w:val="20"/>
              </w:rPr>
              <w:t>08</w:t>
            </w:r>
            <w:r>
              <w:rPr>
                <w:b w:val="0"/>
                <w:sz w:val="20"/>
              </w:rPr>
              <w:t>-</w:t>
            </w:r>
            <w:r w:rsidR="002367EC">
              <w:rPr>
                <w:b w:val="0"/>
                <w:sz w:val="20"/>
              </w:rPr>
              <w:t>28</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3B260B"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3B260B" w:rsidRDefault="003B260B">
                            <w:pPr>
                              <w:pStyle w:val="T1"/>
                              <w:spacing w:after="120"/>
                            </w:pPr>
                            <w:r>
                              <w:t>Abstract</w:t>
                            </w:r>
                          </w:p>
                          <w:p w14:paraId="3B4A246A" w14:textId="77777777" w:rsidR="003B260B" w:rsidRDefault="003B260B">
                            <w:pPr>
                              <w:jc w:val="both"/>
                            </w:pPr>
                            <w:r>
                              <w:t xml:space="preserve">This document proposes a resolution for the CIDs indicated below from LB202, the comment on TGm Draft 3.0. </w:t>
                            </w:r>
                          </w:p>
                          <w:p w14:paraId="2663BB12" w14:textId="77777777" w:rsidR="003B260B" w:rsidRDefault="003B26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37550E" w:rsidRDefault="0037550E">
                      <w:pPr>
                        <w:pStyle w:val="T1"/>
                        <w:spacing w:after="120"/>
                      </w:pPr>
                      <w:r>
                        <w:t>Abstract</w:t>
                      </w:r>
                    </w:p>
                    <w:p w14:paraId="3B4A246A" w14:textId="77777777" w:rsidR="0037550E" w:rsidRDefault="0037550E">
                      <w:pPr>
                        <w:jc w:val="both"/>
                      </w:pPr>
                      <w:r>
                        <w:t xml:space="preserve">This document proposes a resolution for the CIDs indicated below from LB202, the comment on TGm Draft 3.0. </w:t>
                      </w:r>
                    </w:p>
                    <w:p w14:paraId="2663BB12" w14:textId="77777777" w:rsidR="0037550E" w:rsidRDefault="0037550E">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0F9F179" w:rsidR="00F70059" w:rsidRPr="00A91B77" w:rsidRDefault="00F70059" w:rsidP="00A91B77">
            <w:pPr>
              <w:rPr>
                <w:rFonts w:ascii="Arial" w:hAnsi="Arial" w:cs="Arial"/>
                <w:b/>
                <w:bCs/>
                <w:sz w:val="20"/>
                <w:lang w:val="en-CA"/>
              </w:rPr>
            </w:pPr>
            <w:r>
              <w:rPr>
                <w:rFonts w:ascii="Arial" w:hAnsi="Arial" w:cs="Arial"/>
                <w:b/>
                <w:bCs/>
                <w:sz w:val="20"/>
                <w:lang w:val="en-CA"/>
              </w:rPr>
              <w:t>Proposed Resolution</w:t>
            </w:r>
          </w:p>
        </w:tc>
      </w:tr>
      <w:tr w:rsidR="00F70059" w:rsidRPr="00A91B77" w14:paraId="43875A64" w14:textId="3090EF12" w:rsidTr="00F70059">
        <w:trPr>
          <w:trHeight w:val="1200"/>
        </w:trPr>
        <w:tc>
          <w:tcPr>
            <w:tcW w:w="668" w:type="dxa"/>
            <w:hideMark/>
          </w:tcPr>
          <w:p w14:paraId="6D592942"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3364</w:t>
            </w:r>
          </w:p>
        </w:tc>
        <w:tc>
          <w:tcPr>
            <w:tcW w:w="1340" w:type="dxa"/>
            <w:hideMark/>
          </w:tcPr>
          <w:p w14:paraId="1090BC2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1B8E91F7" w14:textId="77777777" w:rsidR="00F70059" w:rsidRPr="000401D3" w:rsidRDefault="00F70059" w:rsidP="00A91B77">
            <w:pPr>
              <w:rPr>
                <w:rFonts w:ascii="Arial" w:hAnsi="Arial" w:cs="Arial"/>
                <w:sz w:val="16"/>
                <w:szCs w:val="16"/>
                <w:highlight w:val="yellow"/>
                <w:lang w:val="en-CA"/>
              </w:rPr>
            </w:pPr>
          </w:p>
        </w:tc>
        <w:tc>
          <w:tcPr>
            <w:tcW w:w="872" w:type="dxa"/>
            <w:hideMark/>
          </w:tcPr>
          <w:p w14:paraId="47825EE3" w14:textId="77777777" w:rsidR="00F70059" w:rsidRPr="000401D3" w:rsidRDefault="00F70059" w:rsidP="00A91B77">
            <w:pPr>
              <w:rPr>
                <w:rFonts w:ascii="Arial" w:hAnsi="Arial" w:cs="Arial"/>
                <w:sz w:val="16"/>
                <w:szCs w:val="16"/>
                <w:highlight w:val="yellow"/>
                <w:lang w:val="en-CA"/>
              </w:rPr>
            </w:pPr>
          </w:p>
        </w:tc>
        <w:tc>
          <w:tcPr>
            <w:tcW w:w="3082" w:type="dxa"/>
            <w:hideMark/>
          </w:tcPr>
          <w:p w14:paraId="6F7F001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Requirements on BW for anything but RTS/CTS frames and first frame in TXOP re not clear</w:t>
            </w:r>
          </w:p>
        </w:tc>
        <w:tc>
          <w:tcPr>
            <w:tcW w:w="1616" w:type="dxa"/>
            <w:hideMark/>
          </w:tcPr>
          <w:p w14:paraId="7633FD3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State that control responses can use any BSS bandwidth, but other frames (from either side) must obey the width set by RTS/CTS, where applicable</w:t>
            </w:r>
          </w:p>
        </w:tc>
        <w:tc>
          <w:tcPr>
            <w:tcW w:w="1037" w:type="dxa"/>
          </w:tcPr>
          <w:p w14:paraId="433053EA" w14:textId="77777777" w:rsidR="00F70059" w:rsidRPr="000401D3" w:rsidRDefault="00F70059" w:rsidP="00A91B77">
            <w:pPr>
              <w:rPr>
                <w:rFonts w:ascii="Arial" w:hAnsi="Arial" w:cs="Arial"/>
                <w:sz w:val="16"/>
                <w:szCs w:val="16"/>
                <w:highlight w:val="yellow"/>
                <w:lang w:val="en-CA"/>
              </w:rPr>
            </w:pPr>
          </w:p>
        </w:tc>
      </w:tr>
      <w:tr w:rsidR="00F70059" w:rsidRPr="00A91B77" w14:paraId="0AAB1E25" w14:textId="301011B3" w:rsidTr="00F70059">
        <w:trPr>
          <w:trHeight w:val="1920"/>
        </w:trPr>
        <w:tc>
          <w:tcPr>
            <w:tcW w:w="668" w:type="dxa"/>
            <w:hideMark/>
          </w:tcPr>
          <w:p w14:paraId="3AA37596"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3474</w:t>
            </w:r>
          </w:p>
        </w:tc>
        <w:tc>
          <w:tcPr>
            <w:tcW w:w="1340" w:type="dxa"/>
            <w:hideMark/>
          </w:tcPr>
          <w:p w14:paraId="2BE2CB5E"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36A0A0C1"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1241.50</w:t>
            </w:r>
          </w:p>
        </w:tc>
        <w:tc>
          <w:tcPr>
            <w:tcW w:w="872" w:type="dxa"/>
            <w:hideMark/>
          </w:tcPr>
          <w:p w14:paraId="4B43CA27"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9.3.2.7</w:t>
            </w:r>
          </w:p>
        </w:tc>
        <w:tc>
          <w:tcPr>
            <w:tcW w:w="3082" w:type="dxa"/>
            <w:hideMark/>
          </w:tcPr>
          <w:p w14:paraId="02AF234C"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Change to "[...] shall be set to a channel width for which [...]"</w:t>
            </w:r>
          </w:p>
        </w:tc>
        <w:tc>
          <w:tcPr>
            <w:tcW w:w="1037" w:type="dxa"/>
          </w:tcPr>
          <w:p w14:paraId="7383C3C2" w14:textId="5CD62738" w:rsidR="00F70059" w:rsidRPr="000401D3" w:rsidRDefault="002B760F"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77"/>
        <w:gridCol w:w="1601"/>
        <w:gridCol w:w="995"/>
        <w:gridCol w:w="995"/>
        <w:gridCol w:w="2746"/>
        <w:gridCol w:w="1341"/>
        <w:gridCol w:w="1221"/>
      </w:tblGrid>
      <w:tr w:rsidR="00F70059" w:rsidRPr="000401D3" w14:paraId="678F2436" w14:textId="5EC518BA" w:rsidTr="00F70059">
        <w:trPr>
          <w:trHeight w:val="1440"/>
        </w:trPr>
        <w:tc>
          <w:tcPr>
            <w:tcW w:w="677" w:type="dxa"/>
            <w:hideMark/>
          </w:tcPr>
          <w:p w14:paraId="44AEFDFC"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3505</w:t>
            </w:r>
          </w:p>
        </w:tc>
        <w:tc>
          <w:tcPr>
            <w:tcW w:w="1601" w:type="dxa"/>
            <w:hideMark/>
          </w:tcPr>
          <w:p w14:paraId="0852838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Hamilton</w:t>
            </w:r>
          </w:p>
        </w:tc>
        <w:tc>
          <w:tcPr>
            <w:tcW w:w="995" w:type="dxa"/>
            <w:hideMark/>
          </w:tcPr>
          <w:p w14:paraId="608D1A8D"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607.08</w:t>
            </w:r>
          </w:p>
        </w:tc>
        <w:tc>
          <w:tcPr>
            <w:tcW w:w="995" w:type="dxa"/>
            <w:hideMark/>
          </w:tcPr>
          <w:p w14:paraId="20406FC3"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w:t>
            </w:r>
          </w:p>
        </w:tc>
        <w:tc>
          <w:tcPr>
            <w:tcW w:w="2746" w:type="dxa"/>
            <w:hideMark/>
          </w:tcPr>
          <w:p w14:paraId="630C4BD4"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 NOTE 2, is just wrong/limiting.  As long as the DA (or SA) maps to be the right RA for a carried MSDU, it doesn't have to have the same DA.</w:t>
            </w:r>
          </w:p>
        </w:tc>
        <w:tc>
          <w:tcPr>
            <w:tcW w:w="1341" w:type="dxa"/>
            <w:hideMark/>
          </w:tcPr>
          <w:p w14:paraId="69C5E27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Delete NOTE 2</w:t>
            </w:r>
          </w:p>
        </w:tc>
        <w:tc>
          <w:tcPr>
            <w:tcW w:w="1221" w:type="dxa"/>
          </w:tcPr>
          <w:p w14:paraId="4A528D35" w14:textId="5F86B5E0"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5000" w:type="pct"/>
        <w:tblLayout w:type="fixed"/>
        <w:tblLook w:val="04A0" w:firstRow="1" w:lastRow="0" w:firstColumn="1" w:lastColumn="0" w:noHBand="0" w:noVBand="1"/>
      </w:tblPr>
      <w:tblGrid>
        <w:gridCol w:w="689"/>
        <w:gridCol w:w="979"/>
        <w:gridCol w:w="850"/>
        <w:gridCol w:w="992"/>
        <w:gridCol w:w="1988"/>
        <w:gridCol w:w="2264"/>
        <w:gridCol w:w="1814"/>
      </w:tblGrid>
      <w:tr w:rsidR="00037FD0" w:rsidRPr="000401D3" w14:paraId="743E435A" w14:textId="2EB6B675" w:rsidTr="008A13D8">
        <w:trPr>
          <w:trHeight w:val="720"/>
        </w:trPr>
        <w:tc>
          <w:tcPr>
            <w:tcW w:w="360" w:type="pct"/>
            <w:hideMark/>
          </w:tcPr>
          <w:p w14:paraId="5DDB3BC8"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3133</w:t>
            </w:r>
          </w:p>
        </w:tc>
        <w:tc>
          <w:tcPr>
            <w:tcW w:w="511" w:type="pct"/>
            <w:hideMark/>
          </w:tcPr>
          <w:p w14:paraId="3E915E91"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Hiroki Nakano</w:t>
            </w:r>
          </w:p>
        </w:tc>
        <w:tc>
          <w:tcPr>
            <w:tcW w:w="444" w:type="pct"/>
            <w:hideMark/>
          </w:tcPr>
          <w:p w14:paraId="69E5C4A1"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1578.02</w:t>
            </w:r>
          </w:p>
        </w:tc>
        <w:tc>
          <w:tcPr>
            <w:tcW w:w="518" w:type="pct"/>
            <w:hideMark/>
          </w:tcPr>
          <w:p w14:paraId="2EB53A2B"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10.3.2</w:t>
            </w:r>
          </w:p>
        </w:tc>
        <w:tc>
          <w:tcPr>
            <w:tcW w:w="1038" w:type="pct"/>
            <w:hideMark/>
          </w:tcPr>
          <w:p w14:paraId="798549C0"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Figure 10-21 and 10-22 are almost the same.</w:t>
            </w:r>
          </w:p>
        </w:tc>
        <w:tc>
          <w:tcPr>
            <w:tcW w:w="1182" w:type="pct"/>
            <w:hideMark/>
          </w:tcPr>
          <w:p w14:paraId="096B4B8E"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Delete one of them.</w:t>
            </w:r>
          </w:p>
        </w:tc>
        <w:tc>
          <w:tcPr>
            <w:tcW w:w="947" w:type="pct"/>
          </w:tcPr>
          <w:p w14:paraId="32826153" w14:textId="5C7C61DA"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Reject. Figure 10-21 shows the flow for MLME primiti</w:t>
            </w:r>
            <w:r w:rsidR="00034CC8" w:rsidRPr="000401D3">
              <w:rPr>
                <w:rFonts w:ascii="Arial" w:hAnsi="Arial" w:cs="Arial"/>
                <w:sz w:val="16"/>
                <w:szCs w:val="16"/>
                <w:highlight w:val="yellow"/>
              </w:rPr>
              <w:t>ves for BA setup, while Figure 1</w:t>
            </w:r>
            <w:r w:rsidRPr="000401D3">
              <w:rPr>
                <w:rFonts w:ascii="Arial" w:hAnsi="Arial" w:cs="Arial"/>
                <w:sz w:val="16"/>
                <w:szCs w:val="16"/>
                <w:highlight w:val="yellow"/>
              </w:rPr>
              <w:t>0-22 shows the flow for MLME primitives for BA tear down. The figures are not the same.</w:t>
            </w:r>
          </w:p>
        </w:tc>
      </w:tr>
      <w:tr w:rsidR="00037FD0" w:rsidRPr="007B7F8D" w14:paraId="09A372C3" w14:textId="4EDC772E" w:rsidTr="004D71E5">
        <w:trPr>
          <w:trHeight w:val="699"/>
        </w:trPr>
        <w:tc>
          <w:tcPr>
            <w:tcW w:w="360" w:type="pct"/>
            <w:hideMark/>
          </w:tcPr>
          <w:p w14:paraId="13AAB973"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3147</w:t>
            </w:r>
          </w:p>
        </w:tc>
        <w:tc>
          <w:tcPr>
            <w:tcW w:w="511" w:type="pct"/>
            <w:hideMark/>
          </w:tcPr>
          <w:p w14:paraId="17993E08"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444" w:type="pct"/>
            <w:hideMark/>
          </w:tcPr>
          <w:p w14:paraId="6CED76C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1645.14</w:t>
            </w:r>
          </w:p>
        </w:tc>
        <w:tc>
          <w:tcPr>
            <w:tcW w:w="518" w:type="pct"/>
            <w:hideMark/>
          </w:tcPr>
          <w:p w14:paraId="6CF34B4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038" w:type="pct"/>
            <w:hideMark/>
          </w:tcPr>
          <w:p w14:paraId="4C9C7EB2"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 frame request always includes MAC Address field. So, the 2nd paragraph of 10.11.9.2 is wrong.</w:t>
            </w:r>
          </w:p>
        </w:tc>
        <w:tc>
          <w:tcPr>
            <w:tcW w:w="1182" w:type="pct"/>
            <w:hideMark/>
          </w:tcPr>
          <w:p w14:paraId="2AB555A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1st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not the broadcast address, ...</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2nd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the broadcast address, ...</w:t>
            </w:r>
          </w:p>
        </w:tc>
        <w:tc>
          <w:tcPr>
            <w:tcW w:w="947" w:type="pct"/>
          </w:tcPr>
          <w:p w14:paraId="6F15C5E1"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31553F20" w14:textId="77777777" w:rsidR="00A10418" w:rsidRPr="00BE3CB4" w:rsidRDefault="00A10418" w:rsidP="00A10418">
            <w:pPr>
              <w:rPr>
                <w:rFonts w:ascii="Arial" w:hAnsi="Arial" w:cs="Arial"/>
                <w:sz w:val="16"/>
                <w:szCs w:val="16"/>
                <w:highlight w:val="yellow"/>
              </w:rPr>
            </w:pPr>
          </w:p>
          <w:p w14:paraId="2E63882A"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3B6B8F6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2869E5B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019F9D1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635B3B5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3E01A38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5FEC16B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7F3030AF" w14:textId="77777777" w:rsidR="00A10418" w:rsidRPr="00BE3CB4" w:rsidRDefault="00A10418" w:rsidP="00A10418">
            <w:pPr>
              <w:rPr>
                <w:rFonts w:ascii="Arial" w:hAnsi="Arial" w:cs="Arial"/>
                <w:sz w:val="16"/>
                <w:szCs w:val="16"/>
                <w:highlight w:val="yellow"/>
                <w:lang w:val="en-US"/>
              </w:rPr>
            </w:pPr>
          </w:p>
          <w:p w14:paraId="76C8B157"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0C485BE8"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BE3CB4" w:rsidRDefault="00A10418" w:rsidP="00A10418">
            <w:pPr>
              <w:rPr>
                <w:rFonts w:ascii="Arial" w:hAnsi="Arial" w:cs="Arial"/>
                <w:sz w:val="16"/>
                <w:szCs w:val="16"/>
                <w:highlight w:val="yellow"/>
                <w:lang w:val="en-US"/>
              </w:rPr>
            </w:pPr>
          </w:p>
          <w:p w14:paraId="7CDF88D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26915D5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31B5FC11"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2D93D385"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1B2669C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444034E3" w14:textId="215FB0FE" w:rsidR="004D71E5" w:rsidRPr="00BE3CB4" w:rsidRDefault="004D71E5" w:rsidP="004D71E5">
            <w:pPr>
              <w:rPr>
                <w:rFonts w:ascii="Arial" w:hAnsi="Arial" w:cs="Arial"/>
                <w:sz w:val="16"/>
                <w:szCs w:val="16"/>
                <w:highlight w:val="yellow"/>
                <w:lang w:val="en-US"/>
              </w:rPr>
            </w:pPr>
          </w:p>
          <w:p w14:paraId="7AD50B3B" w14:textId="3B63EE6F" w:rsidR="00F70059" w:rsidRPr="00BE3CB4" w:rsidRDefault="00F70059">
            <w:pPr>
              <w:rPr>
                <w:rFonts w:ascii="Arial" w:hAnsi="Arial" w:cs="Arial"/>
                <w:sz w:val="16"/>
                <w:szCs w:val="16"/>
                <w:highlight w:val="yellow"/>
              </w:rPr>
            </w:pPr>
          </w:p>
        </w:tc>
      </w:tr>
      <w:tr w:rsidR="00037FD0" w:rsidRPr="007B7F8D" w14:paraId="1BBF594F" w14:textId="5A1CC95F" w:rsidTr="008A13D8">
        <w:trPr>
          <w:trHeight w:val="6960"/>
        </w:trPr>
        <w:tc>
          <w:tcPr>
            <w:tcW w:w="360" w:type="pct"/>
            <w:hideMark/>
          </w:tcPr>
          <w:p w14:paraId="5E7651D1"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3148</w:t>
            </w:r>
          </w:p>
        </w:tc>
        <w:tc>
          <w:tcPr>
            <w:tcW w:w="511" w:type="pct"/>
            <w:hideMark/>
          </w:tcPr>
          <w:p w14:paraId="7C2DBAD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444" w:type="pct"/>
            <w:hideMark/>
          </w:tcPr>
          <w:p w14:paraId="01664E09"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1645.18</w:t>
            </w:r>
          </w:p>
        </w:tc>
        <w:tc>
          <w:tcPr>
            <w:tcW w:w="518" w:type="pct"/>
            <w:hideMark/>
          </w:tcPr>
          <w:p w14:paraId="4CCC671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038" w:type="pct"/>
            <w:hideMark/>
          </w:tcPr>
          <w:p w14:paraId="589BC38F"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182" w:type="pct"/>
            <w:hideMark/>
          </w:tcPr>
          <w:p w14:paraId="6AAA20F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2nd sentence of the 2nd paragraph of 10.11.9.2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 the measuring station shall report all data or Management frames received during the measurement</w:t>
            </w:r>
            <w:r w:rsidRPr="00BE3CB4">
              <w:rPr>
                <w:rFonts w:ascii="Arial" w:hAnsi="Arial" w:cs="Arial"/>
                <w:sz w:val="16"/>
                <w:szCs w:val="16"/>
                <w:highlight w:val="yellow"/>
              </w:rPr>
              <w:br/>
            </w:r>
            <w:r w:rsidRPr="00BE3CB4">
              <w:rPr>
                <w:rFonts w:ascii="Arial" w:hAnsi="Arial" w:cs="Arial"/>
                <w:sz w:val="16"/>
                <w:szCs w:val="16"/>
                <w:highlight w:val="yellow"/>
              </w:rPr>
              <w:br/>
              <w:t>duration in one or more Frame Report elements.</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1st sentence of the 7th paragraph of 8.4.2.20.8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is the broadcast address, then all data or Management frames are counted toward the Frame report generated in response to this frame request.</w:t>
            </w:r>
          </w:p>
        </w:tc>
        <w:tc>
          <w:tcPr>
            <w:tcW w:w="947" w:type="pct"/>
          </w:tcPr>
          <w:p w14:paraId="385B42F2"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2024022D" w14:textId="77777777" w:rsidR="00A10418" w:rsidRPr="00BE3CB4" w:rsidRDefault="00A10418" w:rsidP="00A10418">
            <w:pPr>
              <w:rPr>
                <w:rFonts w:ascii="Arial" w:hAnsi="Arial" w:cs="Arial"/>
                <w:sz w:val="16"/>
                <w:szCs w:val="16"/>
                <w:highlight w:val="yellow"/>
              </w:rPr>
            </w:pPr>
          </w:p>
          <w:p w14:paraId="20743E09"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267C8FE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13A93FFA"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5F080FF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535A69A0"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4E92FD9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7818256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515F0707" w14:textId="77777777" w:rsidR="00A10418" w:rsidRPr="00BE3CB4" w:rsidRDefault="00A10418" w:rsidP="00A10418">
            <w:pPr>
              <w:rPr>
                <w:rFonts w:ascii="Arial" w:hAnsi="Arial" w:cs="Arial"/>
                <w:sz w:val="16"/>
                <w:szCs w:val="16"/>
                <w:highlight w:val="yellow"/>
                <w:lang w:val="en-US"/>
              </w:rPr>
            </w:pPr>
          </w:p>
          <w:p w14:paraId="459D7D1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5D3FA1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BE3CB4" w:rsidRDefault="00A10418" w:rsidP="00A10418">
            <w:pPr>
              <w:rPr>
                <w:rFonts w:ascii="Arial" w:hAnsi="Arial" w:cs="Arial"/>
                <w:sz w:val="16"/>
                <w:szCs w:val="16"/>
                <w:highlight w:val="yellow"/>
                <w:lang w:val="en-US"/>
              </w:rPr>
            </w:pPr>
          </w:p>
          <w:p w14:paraId="411BE22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65BF8B4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004EAA2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64E1D2E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665187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1D6633EE" w14:textId="482E6EBE" w:rsidR="00F70059" w:rsidRPr="00BE3CB4" w:rsidRDefault="00F70059">
            <w:pPr>
              <w:rPr>
                <w:rFonts w:ascii="Arial" w:hAnsi="Arial" w:cs="Arial"/>
                <w:sz w:val="16"/>
                <w:szCs w:val="16"/>
                <w:highlight w:val="yellow"/>
              </w:rPr>
            </w:pPr>
          </w:p>
        </w:tc>
      </w:tr>
      <w:tr w:rsidR="00037FD0" w:rsidRPr="007B7F8D" w14:paraId="79C85957" w14:textId="74E2F2F2" w:rsidTr="008A13D8">
        <w:trPr>
          <w:trHeight w:val="2640"/>
        </w:trPr>
        <w:tc>
          <w:tcPr>
            <w:tcW w:w="360" w:type="pct"/>
            <w:hideMark/>
          </w:tcPr>
          <w:p w14:paraId="16D1DA4F" w14:textId="77777777" w:rsidR="00F70059" w:rsidRPr="007B7F8D" w:rsidRDefault="00F70059">
            <w:pPr>
              <w:jc w:val="right"/>
              <w:rPr>
                <w:rFonts w:ascii="Arial" w:hAnsi="Arial" w:cs="Arial"/>
                <w:sz w:val="16"/>
                <w:szCs w:val="16"/>
              </w:rPr>
            </w:pPr>
            <w:bookmarkStart w:id="0" w:name="_GoBack" w:colFirst="3" w:colLast="4"/>
            <w:r w:rsidRPr="007B7F8D">
              <w:rPr>
                <w:rFonts w:ascii="Arial" w:hAnsi="Arial" w:cs="Arial"/>
                <w:sz w:val="16"/>
                <w:szCs w:val="16"/>
              </w:rPr>
              <w:t>3218</w:t>
            </w:r>
          </w:p>
        </w:tc>
        <w:tc>
          <w:tcPr>
            <w:tcW w:w="511" w:type="pct"/>
            <w:hideMark/>
          </w:tcPr>
          <w:p w14:paraId="0BB0BB6E" w14:textId="77777777" w:rsidR="00F70059" w:rsidRPr="007B7F8D" w:rsidRDefault="00F70059">
            <w:pPr>
              <w:rPr>
                <w:rFonts w:ascii="Arial" w:hAnsi="Arial" w:cs="Arial"/>
                <w:sz w:val="16"/>
                <w:szCs w:val="16"/>
              </w:rPr>
            </w:pPr>
            <w:r w:rsidRPr="007B7F8D">
              <w:rPr>
                <w:rFonts w:ascii="Arial" w:hAnsi="Arial" w:cs="Arial"/>
                <w:sz w:val="16"/>
                <w:szCs w:val="16"/>
              </w:rPr>
              <w:t>Qi Wang</w:t>
            </w:r>
          </w:p>
        </w:tc>
        <w:tc>
          <w:tcPr>
            <w:tcW w:w="444" w:type="pct"/>
            <w:hideMark/>
          </w:tcPr>
          <w:p w14:paraId="16131D51" w14:textId="77777777" w:rsidR="00F70059" w:rsidRPr="007B7F8D" w:rsidRDefault="00F70059">
            <w:pPr>
              <w:jc w:val="right"/>
              <w:rPr>
                <w:rFonts w:ascii="Arial" w:hAnsi="Arial" w:cs="Arial"/>
                <w:sz w:val="16"/>
                <w:szCs w:val="16"/>
              </w:rPr>
            </w:pPr>
            <w:r w:rsidRPr="007B7F8D">
              <w:rPr>
                <w:rFonts w:ascii="Arial" w:hAnsi="Arial" w:cs="Arial"/>
                <w:sz w:val="16"/>
                <w:szCs w:val="16"/>
              </w:rPr>
              <w:t>1799.29</w:t>
            </w:r>
          </w:p>
        </w:tc>
        <w:tc>
          <w:tcPr>
            <w:tcW w:w="518" w:type="pct"/>
            <w:hideMark/>
          </w:tcPr>
          <w:p w14:paraId="7658624C" w14:textId="77777777" w:rsidR="00F70059" w:rsidRPr="007B7F8D" w:rsidRDefault="00F70059">
            <w:pPr>
              <w:rPr>
                <w:rFonts w:ascii="Arial" w:hAnsi="Arial" w:cs="Arial"/>
                <w:sz w:val="16"/>
                <w:szCs w:val="16"/>
              </w:rPr>
            </w:pPr>
            <w:r w:rsidRPr="007B7F8D">
              <w:rPr>
                <w:rFonts w:ascii="Arial" w:hAnsi="Arial" w:cs="Arial"/>
                <w:sz w:val="16"/>
                <w:szCs w:val="16"/>
              </w:rPr>
              <w:t>10.33.2.1</w:t>
            </w:r>
          </w:p>
        </w:tc>
        <w:tc>
          <w:tcPr>
            <w:tcW w:w="1038" w:type="pct"/>
            <w:hideMark/>
          </w:tcPr>
          <w:p w14:paraId="37BFEE74" w14:textId="77777777" w:rsidR="00F70059" w:rsidRPr="007B7F8D" w:rsidRDefault="00F70059">
            <w:pPr>
              <w:rPr>
                <w:rFonts w:ascii="Arial" w:hAnsi="Arial" w:cs="Arial"/>
                <w:sz w:val="16"/>
                <w:szCs w:val="16"/>
              </w:rPr>
            </w:pPr>
            <w:r w:rsidRPr="007B7F8D">
              <w:rPr>
                <w:rFonts w:ascii="Arial" w:hAnsi="Arial" w:cs="Arial"/>
                <w:sz w:val="16"/>
                <w:szCs w:val="16"/>
              </w:rPr>
              <w:t>It is not clear what the parameter n is used for -- There's a "Loop 1,n" reference in the following figure (Figure 10-46), but neither the text nor the figure mandates or recommends a certain value for n. Therefore, this parameter seems to be of no use.</w:t>
            </w:r>
          </w:p>
        </w:tc>
        <w:tc>
          <w:tcPr>
            <w:tcW w:w="1182" w:type="pct"/>
            <w:hideMark/>
          </w:tcPr>
          <w:p w14:paraId="592BA0E5" w14:textId="77777777" w:rsidR="00F70059" w:rsidRPr="007B7F8D" w:rsidRDefault="00F70059">
            <w:pPr>
              <w:rPr>
                <w:rFonts w:ascii="Arial" w:hAnsi="Arial" w:cs="Arial"/>
                <w:sz w:val="16"/>
                <w:szCs w:val="16"/>
              </w:rPr>
            </w:pPr>
            <w:r w:rsidRPr="007B7F8D">
              <w:rPr>
                <w:rFonts w:ascii="Arial" w:hAnsi="Arial" w:cs="Arial"/>
                <w:sz w:val="16"/>
                <w:szCs w:val="16"/>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947" w:type="pct"/>
          </w:tcPr>
          <w:p w14:paraId="76DB8CA4" w14:textId="090E120B" w:rsidR="00F70059" w:rsidRDefault="007B7F8D">
            <w:pPr>
              <w:rPr>
                <w:rFonts w:ascii="Arial" w:hAnsi="Arial" w:cs="Arial"/>
                <w:sz w:val="16"/>
                <w:szCs w:val="16"/>
              </w:rPr>
            </w:pPr>
            <w:r>
              <w:rPr>
                <w:rFonts w:ascii="Arial" w:hAnsi="Arial" w:cs="Arial"/>
                <w:sz w:val="16"/>
                <w:szCs w:val="16"/>
              </w:rPr>
              <w:t>Revised. Replace “</w:t>
            </w:r>
            <w:r w:rsidRPr="007B7F8D">
              <w:rPr>
                <w:rFonts w:ascii="Arial" w:hAnsi="Arial" w:cs="Arial"/>
                <w:sz w:val="16"/>
                <w:szCs w:val="16"/>
              </w:rPr>
              <w:t xml:space="preserve">"In addition, the parameter n corresponds to the number of FST Setup Request and FST Setup Response frame exchanges until both the FST initiator and FST responder successfully move to the Setup Completion state, as described below." </w:t>
            </w:r>
          </w:p>
          <w:p w14:paraId="21593C25" w14:textId="77777777" w:rsidR="007B7F8D" w:rsidRDefault="007B7F8D">
            <w:pPr>
              <w:rPr>
                <w:rFonts w:ascii="Arial" w:hAnsi="Arial" w:cs="Arial"/>
                <w:sz w:val="16"/>
                <w:szCs w:val="16"/>
              </w:rPr>
            </w:pPr>
          </w:p>
          <w:p w14:paraId="77651A59" w14:textId="46C79409" w:rsidR="007B7F8D" w:rsidRDefault="007B7F8D">
            <w:pPr>
              <w:rPr>
                <w:rFonts w:ascii="Arial" w:hAnsi="Arial" w:cs="Arial"/>
                <w:sz w:val="16"/>
                <w:szCs w:val="16"/>
              </w:rPr>
            </w:pPr>
            <w:r>
              <w:rPr>
                <w:rFonts w:ascii="Arial" w:hAnsi="Arial" w:cs="Arial"/>
                <w:sz w:val="16"/>
                <w:szCs w:val="16"/>
              </w:rPr>
              <w:t>With</w:t>
            </w:r>
          </w:p>
          <w:p w14:paraId="7BD6DA67" w14:textId="77777777" w:rsidR="007B7F8D" w:rsidRDefault="007B7F8D">
            <w:pPr>
              <w:rPr>
                <w:rFonts w:ascii="Arial" w:hAnsi="Arial" w:cs="Arial"/>
                <w:sz w:val="16"/>
                <w:szCs w:val="16"/>
              </w:rPr>
            </w:pPr>
            <w:r>
              <w:rPr>
                <w:rFonts w:ascii="Arial" w:hAnsi="Arial" w:cs="Arial"/>
                <w:sz w:val="16"/>
                <w:szCs w:val="16"/>
              </w:rPr>
              <w:t>“</w:t>
            </w:r>
            <w:r w:rsidRPr="007B7F8D">
              <w:rPr>
                <w:rFonts w:ascii="Arial" w:hAnsi="Arial" w:cs="Arial"/>
                <w:sz w:val="16"/>
                <w:szCs w:val="16"/>
              </w:rPr>
              <w:t>The FST Setup Request and FST Setup Response frame exchange is repeated as necessary until both the FST initiator and FST responder successfully move to the Setup Completion state, as described below.</w:t>
            </w:r>
            <w:r>
              <w:rPr>
                <w:rFonts w:ascii="Arial" w:hAnsi="Arial" w:cs="Arial"/>
                <w:sz w:val="16"/>
                <w:szCs w:val="16"/>
              </w:rPr>
              <w:t>”</w:t>
            </w:r>
          </w:p>
          <w:p w14:paraId="7C859A46" w14:textId="77777777" w:rsidR="007B7F8D" w:rsidRDefault="007B7F8D">
            <w:pPr>
              <w:rPr>
                <w:rFonts w:ascii="Arial" w:hAnsi="Arial" w:cs="Arial"/>
                <w:sz w:val="16"/>
                <w:szCs w:val="16"/>
              </w:rPr>
            </w:pPr>
          </w:p>
          <w:p w14:paraId="1960EC8D" w14:textId="77777777" w:rsidR="007B7F8D" w:rsidRDefault="007B7F8D">
            <w:pPr>
              <w:rPr>
                <w:rFonts w:ascii="Arial" w:hAnsi="Arial" w:cs="Arial"/>
                <w:sz w:val="16"/>
                <w:szCs w:val="16"/>
              </w:rPr>
            </w:pPr>
            <w:r w:rsidRPr="007B7F8D">
              <w:rPr>
                <w:rFonts w:ascii="Arial" w:hAnsi="Arial" w:cs="Arial"/>
                <w:sz w:val="16"/>
                <w:szCs w:val="16"/>
              </w:rPr>
              <w:t xml:space="preserve">and </w:t>
            </w:r>
          </w:p>
          <w:p w14:paraId="0C2AAA19" w14:textId="77777777" w:rsidR="007B7F8D" w:rsidRDefault="007B7F8D">
            <w:pPr>
              <w:rPr>
                <w:rFonts w:ascii="Arial" w:hAnsi="Arial" w:cs="Arial"/>
                <w:sz w:val="16"/>
                <w:szCs w:val="16"/>
              </w:rPr>
            </w:pPr>
          </w:p>
          <w:p w14:paraId="418F24AD" w14:textId="365F96D8" w:rsidR="007B7F8D" w:rsidRPr="007B7F8D" w:rsidRDefault="007B7F8D">
            <w:pPr>
              <w:rPr>
                <w:rFonts w:ascii="Arial" w:hAnsi="Arial" w:cs="Arial"/>
                <w:sz w:val="16"/>
                <w:szCs w:val="16"/>
              </w:rPr>
            </w:pPr>
            <w:r w:rsidRPr="007B7F8D">
              <w:rPr>
                <w:rFonts w:ascii="Arial" w:hAnsi="Arial" w:cs="Arial"/>
                <w:sz w:val="16"/>
                <w:szCs w:val="16"/>
              </w:rPr>
              <w:t>change "Loop 1,n" in Figur</w:t>
            </w:r>
            <w:r>
              <w:rPr>
                <w:rFonts w:ascii="Arial" w:hAnsi="Arial" w:cs="Arial"/>
                <w:sz w:val="16"/>
                <w:szCs w:val="16"/>
              </w:rPr>
              <w:t>e 10-46 to "repeat as necessary”.</w:t>
            </w:r>
          </w:p>
        </w:tc>
      </w:tr>
      <w:bookmarkEnd w:id="0"/>
      <w:tr w:rsidR="00037FD0" w:rsidRPr="007B7F8D" w14:paraId="3B9E1448" w14:textId="2B7ED6F1" w:rsidTr="008A13D8">
        <w:trPr>
          <w:trHeight w:val="6960"/>
        </w:trPr>
        <w:tc>
          <w:tcPr>
            <w:tcW w:w="360" w:type="pct"/>
            <w:hideMark/>
          </w:tcPr>
          <w:p w14:paraId="16184AE1" w14:textId="3CC22C60"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3222</w:t>
            </w:r>
          </w:p>
        </w:tc>
        <w:tc>
          <w:tcPr>
            <w:tcW w:w="511" w:type="pct"/>
            <w:hideMark/>
          </w:tcPr>
          <w:p w14:paraId="3CFD5F59"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Qi Wang</w:t>
            </w:r>
          </w:p>
        </w:tc>
        <w:tc>
          <w:tcPr>
            <w:tcW w:w="444" w:type="pct"/>
            <w:hideMark/>
          </w:tcPr>
          <w:p w14:paraId="5F3FA95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1801.56</w:t>
            </w:r>
          </w:p>
        </w:tc>
        <w:tc>
          <w:tcPr>
            <w:tcW w:w="518" w:type="pct"/>
            <w:hideMark/>
          </w:tcPr>
          <w:p w14:paraId="2850E19A"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10.33.2.2</w:t>
            </w:r>
          </w:p>
        </w:tc>
        <w:tc>
          <w:tcPr>
            <w:tcW w:w="1038" w:type="pct"/>
            <w:hideMark/>
          </w:tcPr>
          <w:p w14:paraId="41EB86BE"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182" w:type="pct"/>
            <w:hideMark/>
          </w:tcPr>
          <w:p w14:paraId="039D10E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Continue the first sentence of the paragraph instead of starting a new sentence -- the whole paragraph could read as following,</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947" w:type="pct"/>
          </w:tcPr>
          <w:p w14:paraId="0B92C379" w14:textId="4F2122B9" w:rsidR="00F70059" w:rsidRPr="00BE3CB4" w:rsidRDefault="00D52CD8">
            <w:pPr>
              <w:rPr>
                <w:rFonts w:ascii="Arial" w:hAnsi="Arial" w:cs="Arial"/>
                <w:sz w:val="16"/>
                <w:szCs w:val="16"/>
                <w:highlight w:val="yellow"/>
              </w:rPr>
            </w:pPr>
            <w:r w:rsidRPr="00BE3CB4">
              <w:rPr>
                <w:rFonts w:ascii="Arial" w:hAnsi="Arial" w:cs="Arial"/>
                <w:sz w:val="16"/>
                <w:szCs w:val="16"/>
                <w:highlight w:val="yellow"/>
              </w:rPr>
              <w:t xml:space="preserve">Revised. Change </w:t>
            </w:r>
          </w:p>
          <w:p w14:paraId="763DAEB3" w14:textId="77777777" w:rsidR="00D52CD8" w:rsidRPr="00BE3CB4" w:rsidRDefault="00D52CD8">
            <w:pPr>
              <w:rPr>
                <w:rFonts w:ascii="Arial" w:hAnsi="Arial" w:cs="Arial"/>
                <w:sz w:val="16"/>
                <w:szCs w:val="16"/>
                <w:highlight w:val="yellow"/>
              </w:rPr>
            </w:pPr>
          </w:p>
          <w:p w14:paraId="5871E7A9" w14:textId="45D68671" w:rsidR="00D52CD8" w:rsidRPr="00BE3CB4" w:rsidRDefault="00D52CD8">
            <w:pPr>
              <w:rPr>
                <w:rFonts w:ascii="Arial" w:hAnsi="Arial" w:cs="Arial"/>
                <w:sz w:val="16"/>
                <w:szCs w:val="16"/>
                <w:highlight w:val="yellow"/>
                <w:lang w:val="en-US"/>
              </w:rPr>
            </w:pPr>
            <w:r w:rsidRPr="00BE3CB4">
              <w:rPr>
                <w:rFonts w:ascii="Arial" w:hAnsi="Arial" w:cs="Arial"/>
                <w:sz w:val="16"/>
                <w:szCs w:val="16"/>
                <w:highlight w:val="yellow"/>
              </w:rPr>
              <w:t>“</w:t>
            </w:r>
            <w:r w:rsidR="009368E0" w:rsidRPr="00BE3CB4">
              <w:rPr>
                <w:rFonts w:ascii="Arial" w:hAnsi="Arial" w:cs="Arial"/>
                <w:sz w:val="16"/>
                <w:szCs w:val="16"/>
                <w:highlight w:val="yellow"/>
              </w:rPr>
              <w:t>…</w:t>
            </w:r>
            <w:r w:rsidRPr="00BE3CB4">
              <w:rPr>
                <w:rFonts w:ascii="Arial" w:hAnsi="Arial" w:cs="Arial"/>
                <w:sz w:val="16"/>
                <w:szCs w:val="16"/>
                <w:highlight w:val="yellow"/>
                <w:lang w:val="en-US"/>
              </w:rPr>
              <w:t>it becomes the responder and responds</w:t>
            </w:r>
            <w:r w:rsidR="00BE3CB4">
              <w:rPr>
                <w:rFonts w:ascii="Arial" w:hAnsi="Arial" w:cs="Arial"/>
                <w:sz w:val="16"/>
                <w:szCs w:val="16"/>
                <w:highlight w:val="yellow"/>
                <w:lang w:val="en-US"/>
              </w:rPr>
              <w:t xml:space="preserve"> with the</w:t>
            </w:r>
            <w:r w:rsidR="009368E0" w:rsidRPr="00BE3CB4">
              <w:rPr>
                <w:rFonts w:ascii="Arial" w:hAnsi="Arial" w:cs="Arial"/>
                <w:sz w:val="16"/>
                <w:szCs w:val="16"/>
                <w:highlight w:val="yellow"/>
                <w:lang w:val="en-US"/>
              </w:rPr>
              <w:t>…”</w:t>
            </w:r>
          </w:p>
          <w:p w14:paraId="24D12DBD" w14:textId="77777777" w:rsidR="009368E0" w:rsidRPr="00BE3CB4" w:rsidRDefault="009368E0">
            <w:pPr>
              <w:rPr>
                <w:rFonts w:ascii="Arial" w:hAnsi="Arial" w:cs="Arial"/>
                <w:sz w:val="16"/>
                <w:szCs w:val="16"/>
                <w:highlight w:val="yellow"/>
                <w:lang w:val="en-US"/>
              </w:rPr>
            </w:pPr>
          </w:p>
          <w:p w14:paraId="09A01982" w14:textId="77777777" w:rsidR="009368E0" w:rsidRPr="00BE3CB4" w:rsidRDefault="009368E0">
            <w:pPr>
              <w:rPr>
                <w:rFonts w:ascii="Arial" w:hAnsi="Arial" w:cs="Arial"/>
                <w:sz w:val="16"/>
                <w:szCs w:val="16"/>
                <w:highlight w:val="yellow"/>
                <w:lang w:val="en-US"/>
              </w:rPr>
            </w:pPr>
            <w:r w:rsidRPr="00BE3CB4">
              <w:rPr>
                <w:rFonts w:ascii="Arial" w:hAnsi="Arial" w:cs="Arial"/>
                <w:sz w:val="16"/>
                <w:szCs w:val="16"/>
                <w:highlight w:val="yellow"/>
                <w:lang w:val="en-US"/>
              </w:rPr>
              <w:t>with</w:t>
            </w:r>
          </w:p>
          <w:p w14:paraId="5DFF4952" w14:textId="77777777" w:rsidR="009368E0" w:rsidRPr="00BE3CB4" w:rsidRDefault="009368E0">
            <w:pPr>
              <w:rPr>
                <w:rFonts w:ascii="Arial" w:hAnsi="Arial" w:cs="Arial"/>
                <w:sz w:val="16"/>
                <w:szCs w:val="16"/>
                <w:highlight w:val="yellow"/>
                <w:lang w:val="en-US"/>
              </w:rPr>
            </w:pPr>
          </w:p>
          <w:p w14:paraId="317C6E21" w14:textId="51F082E1" w:rsidR="009368E0" w:rsidRPr="00BE3CB4" w:rsidRDefault="009368E0" w:rsidP="009368E0">
            <w:pPr>
              <w:rPr>
                <w:rFonts w:ascii="Arial" w:hAnsi="Arial" w:cs="Arial"/>
                <w:sz w:val="16"/>
                <w:szCs w:val="16"/>
                <w:highlight w:val="yellow"/>
                <w:lang w:val="en-US"/>
              </w:rPr>
            </w:pPr>
            <w:r w:rsidRPr="00BE3CB4">
              <w:rPr>
                <w:rFonts w:ascii="Arial" w:hAnsi="Arial" w:cs="Arial"/>
                <w:sz w:val="16"/>
                <w:szCs w:val="16"/>
                <w:highlight w:val="yellow"/>
              </w:rPr>
              <w:t xml:space="preserve"> “…</w:t>
            </w:r>
            <w:r w:rsidRPr="00BE3CB4">
              <w:rPr>
                <w:rFonts w:ascii="Arial" w:hAnsi="Arial" w:cs="Arial"/>
                <w:sz w:val="16"/>
                <w:szCs w:val="16"/>
                <w:highlight w:val="yellow"/>
                <w:lang w:val="en-US"/>
              </w:rPr>
              <w:t>it becomes the responder and shall respond</w:t>
            </w:r>
            <w:r w:rsidR="00BE3CB4">
              <w:rPr>
                <w:rFonts w:ascii="Arial" w:hAnsi="Arial" w:cs="Arial"/>
                <w:sz w:val="16"/>
                <w:szCs w:val="16"/>
                <w:highlight w:val="yellow"/>
                <w:lang w:val="en-US"/>
              </w:rPr>
              <w:t xml:space="preserve"> with an</w:t>
            </w:r>
            <w:r w:rsidRPr="00BE3CB4">
              <w:rPr>
                <w:rFonts w:ascii="Arial" w:hAnsi="Arial" w:cs="Arial"/>
                <w:sz w:val="16"/>
                <w:szCs w:val="16"/>
                <w:highlight w:val="yellow"/>
                <w:lang w:val="en-US"/>
              </w:rPr>
              <w:t>…”</w:t>
            </w:r>
          </w:p>
          <w:p w14:paraId="3C08AA14" w14:textId="5AA19A4C" w:rsidR="009368E0" w:rsidRPr="00BE3CB4" w:rsidRDefault="009368E0">
            <w:pPr>
              <w:rPr>
                <w:rFonts w:ascii="Arial" w:hAnsi="Arial" w:cs="Arial"/>
                <w:sz w:val="16"/>
                <w:szCs w:val="16"/>
                <w:highlight w:val="yellow"/>
              </w:rPr>
            </w:pPr>
          </w:p>
        </w:tc>
      </w:tr>
      <w:tr w:rsidR="00037FD0" w:rsidRPr="007B7F8D" w14:paraId="19FFE027" w14:textId="33718287" w:rsidTr="008A13D8">
        <w:trPr>
          <w:trHeight w:val="3360"/>
        </w:trPr>
        <w:tc>
          <w:tcPr>
            <w:tcW w:w="360" w:type="pct"/>
            <w:hideMark/>
          </w:tcPr>
          <w:p w14:paraId="3A7CE7FF" w14:textId="1861AD2F"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3224</w:t>
            </w:r>
          </w:p>
        </w:tc>
        <w:tc>
          <w:tcPr>
            <w:tcW w:w="511" w:type="pct"/>
            <w:hideMark/>
          </w:tcPr>
          <w:p w14:paraId="64DCF34E"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444" w:type="pct"/>
            <w:hideMark/>
          </w:tcPr>
          <w:p w14:paraId="0B6EF718"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1803.64</w:t>
            </w:r>
          </w:p>
        </w:tc>
        <w:tc>
          <w:tcPr>
            <w:tcW w:w="518" w:type="pct"/>
            <w:hideMark/>
          </w:tcPr>
          <w:p w14:paraId="3B09FB9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038" w:type="pct"/>
            <w:hideMark/>
          </w:tcPr>
          <w:p w14:paraId="09054EE3"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Optional notification is also applicable to FST across channels in the same band. Also a few editorials ("initiator or responder", redundant "as", ...)</w:t>
            </w:r>
          </w:p>
        </w:tc>
        <w:tc>
          <w:tcPr>
            <w:tcW w:w="1182" w:type="pct"/>
            <w:hideMark/>
          </w:tcPr>
          <w:p w14:paraId="2BB0001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947" w:type="pct"/>
          </w:tcPr>
          <w:p w14:paraId="28B7681A" w14:textId="77777777" w:rsidR="00F70059" w:rsidRPr="00D94785" w:rsidRDefault="000D082C">
            <w:pPr>
              <w:rPr>
                <w:rFonts w:ascii="Arial" w:hAnsi="Arial" w:cs="Arial"/>
                <w:sz w:val="16"/>
                <w:szCs w:val="16"/>
                <w:highlight w:val="yellow"/>
              </w:rPr>
            </w:pPr>
            <w:r w:rsidRPr="00D94785">
              <w:rPr>
                <w:rFonts w:ascii="Arial" w:hAnsi="Arial" w:cs="Arial"/>
                <w:sz w:val="16"/>
                <w:szCs w:val="16"/>
                <w:highlight w:val="yellow"/>
              </w:rPr>
              <w:t>Revised.</w:t>
            </w:r>
          </w:p>
          <w:p w14:paraId="78F33BA0" w14:textId="77777777" w:rsidR="000D082C" w:rsidRPr="00D94785" w:rsidRDefault="000D082C">
            <w:pPr>
              <w:rPr>
                <w:rFonts w:ascii="Arial" w:hAnsi="Arial" w:cs="Arial"/>
                <w:sz w:val="16"/>
                <w:szCs w:val="16"/>
                <w:highlight w:val="yellow"/>
              </w:rPr>
            </w:pPr>
            <w:r w:rsidRPr="00D94785">
              <w:rPr>
                <w:rFonts w:ascii="Arial" w:hAnsi="Arial" w:cs="Arial"/>
                <w:sz w:val="16"/>
                <w:szCs w:val="16"/>
                <w:highlight w:val="yellow"/>
              </w:rPr>
              <w:t xml:space="preserve">Replace </w:t>
            </w:r>
          </w:p>
          <w:p w14:paraId="0DB4B5C3" w14:textId="77777777" w:rsidR="00037FD0" w:rsidRPr="00D94785" w:rsidRDefault="000D082C" w:rsidP="00037FD0">
            <w:pPr>
              <w:rPr>
                <w:rFonts w:ascii="Arial" w:hAnsi="Arial" w:cs="Arial"/>
                <w:sz w:val="16"/>
                <w:szCs w:val="16"/>
                <w:highlight w:val="yellow"/>
                <w:lang w:val="en-US"/>
              </w:rPr>
            </w:pPr>
            <w:r w:rsidRPr="00D94785">
              <w:rPr>
                <w:rFonts w:ascii="Arial" w:hAnsi="Arial" w:cs="Arial"/>
                <w:sz w:val="16"/>
                <w:szCs w:val="16"/>
                <w:highlight w:val="yellow"/>
              </w:rPr>
              <w:t>“</w:t>
            </w:r>
            <w:r w:rsidR="00037FD0" w:rsidRPr="00D94785">
              <w:rPr>
                <w:rFonts w:ascii="Arial" w:hAnsi="Arial" w:cs="Arial"/>
                <w:sz w:val="16"/>
                <w:szCs w:val="16"/>
                <w:highlight w:val="yellow"/>
                <w:lang w:val="en-US"/>
              </w:rPr>
              <w:t>Before leaving the Setup Completion state, the initiator and responder that is performing a full FST session</w:t>
            </w:r>
          </w:p>
          <w:p w14:paraId="13A9014C" w14:textId="77777777"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transfer may transmit an FST Setup Response frame in the old band with a Status Code field set to  PERFORMING_FST_NOW and with the RA field set to the broadcast address as to notify other STAs in</w:t>
            </w:r>
          </w:p>
          <w:p w14:paraId="5754835A" w14:textId="77777777" w:rsidR="000D082C"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the BSS of this STA’s forthcoming full FST session transfer.”</w:t>
            </w:r>
          </w:p>
          <w:p w14:paraId="603FFE64" w14:textId="77777777" w:rsidR="00037FD0" w:rsidRPr="00D94785" w:rsidRDefault="00037FD0" w:rsidP="00037FD0">
            <w:pPr>
              <w:rPr>
                <w:rFonts w:ascii="Arial" w:hAnsi="Arial" w:cs="Arial"/>
                <w:sz w:val="16"/>
                <w:szCs w:val="16"/>
                <w:highlight w:val="yellow"/>
                <w:lang w:val="en-US"/>
              </w:rPr>
            </w:pPr>
          </w:p>
          <w:p w14:paraId="120F3559" w14:textId="0E14A4A6"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With</w:t>
            </w:r>
          </w:p>
          <w:p w14:paraId="48FD26A8" w14:textId="77777777" w:rsidR="00037FD0" w:rsidRPr="00D94785" w:rsidRDefault="00037FD0" w:rsidP="00037FD0">
            <w:pPr>
              <w:rPr>
                <w:rFonts w:ascii="Arial" w:hAnsi="Arial" w:cs="Arial"/>
                <w:sz w:val="16"/>
                <w:szCs w:val="16"/>
                <w:highlight w:val="yellow"/>
                <w:lang w:val="en-US"/>
              </w:rPr>
            </w:pPr>
          </w:p>
          <w:p w14:paraId="5A27D342" w14:textId="6E53FD39"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t>
            </w:r>
            <w:r w:rsidRPr="00D94785">
              <w:rPr>
                <w:rFonts w:ascii="Arial" w:hAnsi="Arial" w:cs="Arial"/>
                <w:sz w:val="16"/>
                <w:szCs w:val="16"/>
                <w:highlight w:val="yellow"/>
              </w:rPr>
              <w:t>Before leaving the Setup Completion stat</w:t>
            </w:r>
            <w:r w:rsidR="00D94785" w:rsidRPr="00D94785">
              <w:rPr>
                <w:rFonts w:ascii="Arial" w:hAnsi="Arial" w:cs="Arial"/>
                <w:sz w:val="16"/>
                <w:szCs w:val="16"/>
                <w:highlight w:val="yellow"/>
              </w:rPr>
              <w:t>e, an</w:t>
            </w:r>
            <w:r w:rsidRPr="00D94785">
              <w:rPr>
                <w:rFonts w:ascii="Arial" w:hAnsi="Arial" w:cs="Arial"/>
                <w:sz w:val="16"/>
                <w:szCs w:val="16"/>
                <w:highlight w:val="yellow"/>
              </w:rPr>
              <w:t xml:space="preserve"> initiator and/or responder that is performing a full FST session transfer may transmit an FST Setup Response frame in the old band/channel with the Status Code field set to PERFORMING_FST_NOW and with the RA field set to the broadcast address to notify other STAs in the BSS of the STA's forthcoming full FST session transfer.</w:t>
            </w:r>
            <w:r w:rsidRPr="00D94785">
              <w:rPr>
                <w:rFonts w:ascii="Arial" w:hAnsi="Arial" w:cs="Arial"/>
                <w:sz w:val="16"/>
                <w:szCs w:val="16"/>
                <w:highlight w:val="yellow"/>
                <w:lang w:val="en-US"/>
              </w:rPr>
              <w:t>”</w:t>
            </w:r>
          </w:p>
          <w:p w14:paraId="24A956E7" w14:textId="02928F78" w:rsidR="00037FD0" w:rsidRPr="00D94785" w:rsidRDefault="00037FD0" w:rsidP="00037FD0">
            <w:pPr>
              <w:rPr>
                <w:rFonts w:ascii="Arial" w:hAnsi="Arial" w:cs="Arial"/>
                <w:sz w:val="16"/>
                <w:szCs w:val="16"/>
                <w:highlight w:val="yellow"/>
              </w:rPr>
            </w:pPr>
          </w:p>
        </w:tc>
      </w:tr>
      <w:tr w:rsidR="00037FD0" w:rsidRPr="00D94785" w14:paraId="602DD064" w14:textId="0F7797F0" w:rsidTr="008A13D8">
        <w:trPr>
          <w:trHeight w:val="2880"/>
        </w:trPr>
        <w:tc>
          <w:tcPr>
            <w:tcW w:w="360" w:type="pct"/>
            <w:hideMark/>
          </w:tcPr>
          <w:p w14:paraId="0846E654" w14:textId="6C7E43D6"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3225</w:t>
            </w:r>
          </w:p>
        </w:tc>
        <w:tc>
          <w:tcPr>
            <w:tcW w:w="511" w:type="pct"/>
            <w:hideMark/>
          </w:tcPr>
          <w:p w14:paraId="22FED3C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444" w:type="pct"/>
            <w:hideMark/>
          </w:tcPr>
          <w:p w14:paraId="25100431"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1805.02</w:t>
            </w:r>
          </w:p>
        </w:tc>
        <w:tc>
          <w:tcPr>
            <w:tcW w:w="518" w:type="pct"/>
            <w:hideMark/>
          </w:tcPr>
          <w:p w14:paraId="727D7F6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038" w:type="pct"/>
            <w:hideMark/>
          </w:tcPr>
          <w:p w14:paraId="538E583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STT should be set at transmission of individually addressed MPDUs, MMPDUs or A-MPDUS; use language similar to the one in three paragraphs below in clause c).</w:t>
            </w:r>
          </w:p>
        </w:tc>
        <w:tc>
          <w:tcPr>
            <w:tcW w:w="1182" w:type="pct"/>
            <w:hideMark/>
          </w:tcPr>
          <w:p w14:paraId="16DABA67"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947" w:type="pct"/>
          </w:tcPr>
          <w:p w14:paraId="54039C0D" w14:textId="77777777" w:rsidR="00F70059" w:rsidRPr="00D94785" w:rsidRDefault="00A22695">
            <w:pPr>
              <w:rPr>
                <w:rFonts w:ascii="Arial" w:hAnsi="Arial" w:cs="Arial"/>
                <w:sz w:val="16"/>
                <w:szCs w:val="16"/>
                <w:highlight w:val="yellow"/>
              </w:rPr>
            </w:pPr>
            <w:r w:rsidRPr="00D94785">
              <w:rPr>
                <w:rFonts w:ascii="Arial" w:hAnsi="Arial" w:cs="Arial"/>
                <w:sz w:val="16"/>
                <w:szCs w:val="16"/>
                <w:highlight w:val="yellow"/>
              </w:rPr>
              <w:t>Revised.</w:t>
            </w:r>
          </w:p>
          <w:p w14:paraId="4C961B56" w14:textId="77777777"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Change "... at transmission of any individually addressed MPDU to responder..." </w:t>
            </w:r>
          </w:p>
          <w:p w14:paraId="05E98979" w14:textId="35A38125"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to </w:t>
            </w:r>
          </w:p>
          <w:p w14:paraId="5C9E262E" w14:textId="77777777" w:rsidR="00A2269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at transmission of any individually addressed MPDU, MMPDU or A-MPDU to the responder..."</w:t>
            </w:r>
          </w:p>
          <w:p w14:paraId="3A2BA653" w14:textId="77777777" w:rsidR="00D94785" w:rsidRPr="00D94785" w:rsidRDefault="00D94785" w:rsidP="00D94785">
            <w:pPr>
              <w:rPr>
                <w:rFonts w:ascii="Arial" w:hAnsi="Arial" w:cs="Arial"/>
                <w:sz w:val="16"/>
                <w:szCs w:val="16"/>
                <w:highlight w:val="yellow"/>
              </w:rPr>
            </w:pPr>
          </w:p>
          <w:p w14:paraId="7A0C989E" w14:textId="3798A268" w:rsidR="00D94785" w:rsidRPr="00D94785" w:rsidRDefault="00D94785" w:rsidP="00D94785">
            <w:pPr>
              <w:rPr>
                <w:rFonts w:ascii="Arial" w:hAnsi="Arial" w:cs="Arial"/>
                <w:sz w:val="16"/>
                <w:szCs w:val="16"/>
                <w:highlight w:val="yellow"/>
              </w:rPr>
            </w:pPr>
            <w:r w:rsidRPr="00D94785">
              <w:rPr>
                <w:rFonts w:ascii="Arial" w:hAnsi="Arial" w:cs="Arial"/>
                <w:sz w:val="16"/>
                <w:szCs w:val="16"/>
                <w:highlight w:val="yellow"/>
              </w:rPr>
              <w:t>Note to the editor to clean up the grammer for this revised text.</w:t>
            </w:r>
          </w:p>
        </w:tc>
      </w:tr>
      <w:tr w:rsidR="00037FD0" w:rsidRPr="00D94785" w14:paraId="700869C0" w14:textId="5047DBB6" w:rsidTr="008A13D8">
        <w:trPr>
          <w:trHeight w:val="2640"/>
        </w:trPr>
        <w:tc>
          <w:tcPr>
            <w:tcW w:w="360" w:type="pct"/>
            <w:hideMark/>
          </w:tcPr>
          <w:p w14:paraId="58A07766" w14:textId="29867E42"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3283</w:t>
            </w:r>
          </w:p>
        </w:tc>
        <w:tc>
          <w:tcPr>
            <w:tcW w:w="511" w:type="pct"/>
            <w:hideMark/>
          </w:tcPr>
          <w:p w14:paraId="1F11738D"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Guido Hiertz</w:t>
            </w:r>
          </w:p>
        </w:tc>
        <w:tc>
          <w:tcPr>
            <w:tcW w:w="444" w:type="pct"/>
            <w:hideMark/>
          </w:tcPr>
          <w:p w14:paraId="7B8AA67C"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1527.22</w:t>
            </w:r>
          </w:p>
        </w:tc>
        <w:tc>
          <w:tcPr>
            <w:tcW w:w="518" w:type="pct"/>
            <w:hideMark/>
          </w:tcPr>
          <w:p w14:paraId="1121E114"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10.1.4.3.5</w:t>
            </w:r>
          </w:p>
        </w:tc>
        <w:tc>
          <w:tcPr>
            <w:tcW w:w="1038" w:type="pct"/>
            <w:hideMark/>
          </w:tcPr>
          <w:p w14:paraId="5BC483D2"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Last sentence reads "If no measurement result</w:t>
            </w:r>
            <w:r w:rsidRPr="00D94785">
              <w:rPr>
                <w:rFonts w:ascii="Arial" w:hAnsi="Arial" w:cs="Arial"/>
                <w:sz w:val="16"/>
                <w:szCs w:val="16"/>
                <w:highlight w:val="yellow"/>
              </w:rPr>
              <w:br/>
            </w:r>
            <w:r w:rsidRPr="00D94785">
              <w:rPr>
                <w:rFonts w:ascii="Arial" w:hAnsi="Arial" w:cs="Arial"/>
                <w:sz w:val="16"/>
                <w:szCs w:val="16"/>
                <w:highlight w:val="yellow"/>
              </w:rPr>
              <w:br/>
              <w:t>is available, the RCPI value shall be set to indicate that a measurement is not available." The reader is left to find out which Integer value represents "Measurement not available." This is documented in Table 16-9--RCPI values.</w:t>
            </w:r>
          </w:p>
        </w:tc>
        <w:tc>
          <w:tcPr>
            <w:tcW w:w="1182" w:type="pct"/>
            <w:hideMark/>
          </w:tcPr>
          <w:p w14:paraId="1D01FB0A"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note to hint the reader to Table 16-9--RCPI values.</w:t>
            </w:r>
          </w:p>
        </w:tc>
        <w:tc>
          <w:tcPr>
            <w:tcW w:w="947" w:type="pct"/>
          </w:tcPr>
          <w:p w14:paraId="09D30A0A" w14:textId="77777777" w:rsidR="00F70059" w:rsidRPr="00D94785" w:rsidRDefault="00A90759">
            <w:pPr>
              <w:rPr>
                <w:rFonts w:ascii="Arial" w:hAnsi="Arial" w:cs="Arial"/>
                <w:sz w:val="16"/>
                <w:szCs w:val="16"/>
                <w:highlight w:val="yellow"/>
              </w:rPr>
            </w:pPr>
            <w:r w:rsidRPr="00D94785">
              <w:rPr>
                <w:rFonts w:ascii="Arial" w:hAnsi="Arial" w:cs="Arial"/>
                <w:sz w:val="16"/>
                <w:szCs w:val="16"/>
                <w:highlight w:val="yellow"/>
              </w:rPr>
              <w:t>Revised.</w:t>
            </w:r>
          </w:p>
          <w:p w14:paraId="20FC0BCC" w14:textId="78FF7C87" w:rsidR="00A90759" w:rsidRPr="00D94785" w:rsidRDefault="00D94785" w:rsidP="00A90759">
            <w:pPr>
              <w:rPr>
                <w:rFonts w:ascii="Arial" w:hAnsi="Arial" w:cs="Arial"/>
                <w:sz w:val="16"/>
                <w:szCs w:val="16"/>
                <w:highlight w:val="yellow"/>
              </w:rPr>
            </w:pPr>
            <w:r w:rsidRPr="00D94785">
              <w:rPr>
                <w:rFonts w:ascii="Arial" w:hAnsi="Arial" w:cs="Arial"/>
                <w:sz w:val="16"/>
                <w:szCs w:val="16"/>
                <w:highlight w:val="yellow"/>
              </w:rPr>
              <w:t>Add “</w:t>
            </w:r>
            <w:r w:rsidR="00A90759" w:rsidRPr="00D94785">
              <w:rPr>
                <w:rFonts w:ascii="Arial" w:hAnsi="Arial" w:cs="Arial"/>
                <w:sz w:val="16"/>
                <w:szCs w:val="16"/>
                <w:highlight w:val="yellow"/>
              </w:rPr>
              <w:t>(see Table 16-9 RCPI values)."</w:t>
            </w:r>
            <w:r w:rsidRPr="00D94785">
              <w:rPr>
                <w:rFonts w:ascii="Arial" w:hAnsi="Arial" w:cs="Arial"/>
                <w:sz w:val="16"/>
                <w:szCs w:val="16"/>
                <w:highlight w:val="yellow"/>
              </w:rPr>
              <w:t xml:space="preserve"> At the end of the sentence at the cited location.</w:t>
            </w:r>
          </w:p>
          <w:p w14:paraId="6FC4A7C3" w14:textId="3771BA12" w:rsidR="00A90759" w:rsidRPr="00D94785" w:rsidRDefault="00A90759">
            <w:pPr>
              <w:rPr>
                <w:rFonts w:ascii="Arial" w:hAnsi="Arial" w:cs="Arial"/>
                <w:sz w:val="16"/>
                <w:szCs w:val="16"/>
                <w:highlight w:val="yellow"/>
              </w:rPr>
            </w:pPr>
          </w:p>
        </w:tc>
      </w:tr>
      <w:tr w:rsidR="00037FD0" w:rsidRPr="00580449" w14:paraId="1325C3DD" w14:textId="6664CB17" w:rsidTr="008A13D8">
        <w:trPr>
          <w:trHeight w:val="2160"/>
        </w:trPr>
        <w:tc>
          <w:tcPr>
            <w:tcW w:w="360" w:type="pct"/>
            <w:hideMark/>
          </w:tcPr>
          <w:p w14:paraId="0DCDD0A8" w14:textId="0034C53A"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3308</w:t>
            </w:r>
          </w:p>
        </w:tc>
        <w:tc>
          <w:tcPr>
            <w:tcW w:w="511" w:type="pct"/>
            <w:hideMark/>
          </w:tcPr>
          <w:p w14:paraId="2BCA71B5"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Peter Ecclesine</w:t>
            </w:r>
          </w:p>
        </w:tc>
        <w:tc>
          <w:tcPr>
            <w:tcW w:w="444" w:type="pct"/>
            <w:hideMark/>
          </w:tcPr>
          <w:p w14:paraId="1078FAD5" w14:textId="77777777"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1570.42</w:t>
            </w:r>
          </w:p>
        </w:tc>
        <w:tc>
          <w:tcPr>
            <w:tcW w:w="518" w:type="pct"/>
            <w:hideMark/>
          </w:tcPr>
          <w:p w14:paraId="0C3B7B33"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10.3.2</w:t>
            </w:r>
          </w:p>
        </w:tc>
        <w:tc>
          <w:tcPr>
            <w:tcW w:w="1038" w:type="pct"/>
            <w:hideMark/>
          </w:tcPr>
          <w:p w14:paraId="60F20162"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182" w:type="pct"/>
            <w:hideMark/>
          </w:tcPr>
          <w:p w14:paraId="3F2BECBC"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In Figure 10-12, add a second condition to each of the Deauthentication arrows leading to State 1 - Master STA not heard from.</w:t>
            </w:r>
          </w:p>
        </w:tc>
        <w:tc>
          <w:tcPr>
            <w:tcW w:w="947" w:type="pct"/>
          </w:tcPr>
          <w:p w14:paraId="0FA7838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Revised. At 1571.2 add the following text:</w:t>
            </w:r>
          </w:p>
          <w:p w14:paraId="286E6BE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“NOTE--- A transition to State 1 might occur for other reasons such as no frames received from a STA for a period of time.”</w:t>
            </w:r>
          </w:p>
          <w:p w14:paraId="43D016E2" w14:textId="45E39ECD" w:rsidR="00A90759" w:rsidRPr="00580449" w:rsidRDefault="00A90759" w:rsidP="00801E9F">
            <w:pPr>
              <w:rPr>
                <w:rFonts w:ascii="Arial" w:hAnsi="Arial" w:cs="Arial"/>
                <w:sz w:val="16"/>
                <w:szCs w:val="16"/>
                <w:highlight w:val="yellow"/>
              </w:rPr>
            </w:pPr>
          </w:p>
        </w:tc>
      </w:tr>
      <w:tr w:rsidR="00037FD0" w:rsidRPr="007B7F8D" w14:paraId="7DDA7081" w14:textId="210ABAAA" w:rsidTr="008A13D8">
        <w:trPr>
          <w:trHeight w:val="1680"/>
        </w:trPr>
        <w:tc>
          <w:tcPr>
            <w:tcW w:w="360" w:type="pct"/>
            <w:hideMark/>
          </w:tcPr>
          <w:p w14:paraId="2AD7A76A" w14:textId="27318DBF" w:rsidR="00F70059" w:rsidRPr="007B7F8D" w:rsidRDefault="00F70059">
            <w:pPr>
              <w:jc w:val="right"/>
              <w:rPr>
                <w:rFonts w:ascii="Arial" w:hAnsi="Arial" w:cs="Arial"/>
                <w:sz w:val="16"/>
                <w:szCs w:val="16"/>
              </w:rPr>
            </w:pPr>
            <w:r w:rsidRPr="007B7F8D">
              <w:rPr>
                <w:rFonts w:ascii="Arial" w:hAnsi="Arial" w:cs="Arial"/>
                <w:sz w:val="16"/>
                <w:szCs w:val="16"/>
              </w:rPr>
              <w:t>3322</w:t>
            </w:r>
          </w:p>
        </w:tc>
        <w:tc>
          <w:tcPr>
            <w:tcW w:w="511" w:type="pct"/>
            <w:hideMark/>
          </w:tcPr>
          <w:p w14:paraId="2E3E54D7"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284992F3" w14:textId="77777777" w:rsidR="00F70059" w:rsidRPr="007B7F8D" w:rsidRDefault="00F70059">
            <w:pPr>
              <w:jc w:val="right"/>
              <w:rPr>
                <w:rFonts w:ascii="Arial" w:hAnsi="Arial" w:cs="Arial"/>
                <w:sz w:val="16"/>
                <w:szCs w:val="16"/>
              </w:rPr>
            </w:pPr>
            <w:r w:rsidRPr="007B7F8D">
              <w:rPr>
                <w:rFonts w:ascii="Arial" w:hAnsi="Arial" w:cs="Arial"/>
                <w:sz w:val="16"/>
                <w:szCs w:val="16"/>
              </w:rPr>
              <w:t>1678.16</w:t>
            </w:r>
          </w:p>
        </w:tc>
        <w:tc>
          <w:tcPr>
            <w:tcW w:w="518" w:type="pct"/>
            <w:hideMark/>
          </w:tcPr>
          <w:p w14:paraId="29973BC3" w14:textId="77777777" w:rsidR="00F70059" w:rsidRPr="007B7F8D" w:rsidRDefault="00F70059">
            <w:pPr>
              <w:rPr>
                <w:rFonts w:ascii="Arial" w:hAnsi="Arial" w:cs="Arial"/>
                <w:sz w:val="16"/>
                <w:szCs w:val="16"/>
              </w:rPr>
            </w:pPr>
            <w:r w:rsidRPr="007B7F8D">
              <w:rPr>
                <w:rFonts w:ascii="Arial" w:hAnsi="Arial" w:cs="Arial"/>
                <w:sz w:val="16"/>
                <w:szCs w:val="16"/>
              </w:rPr>
              <w:t>10.16.4.3</w:t>
            </w:r>
          </w:p>
        </w:tc>
        <w:tc>
          <w:tcPr>
            <w:tcW w:w="1038" w:type="pct"/>
            <w:hideMark/>
          </w:tcPr>
          <w:p w14:paraId="29DC6642" w14:textId="77777777" w:rsidR="00F70059" w:rsidRPr="007B7F8D" w:rsidRDefault="00F70059">
            <w:pPr>
              <w:rPr>
                <w:rFonts w:ascii="Arial" w:hAnsi="Arial" w:cs="Arial"/>
                <w:sz w:val="16"/>
                <w:szCs w:val="16"/>
              </w:rPr>
            </w:pPr>
            <w:r w:rsidRPr="007B7F8D">
              <w:rPr>
                <w:rFonts w:ascii="Arial" w:hAnsi="Arial" w:cs="Arial"/>
                <w:sz w:val="16"/>
                <w:szCs w:val="16"/>
              </w:rPr>
              <w:t>10.16.4.3 on 40 MHz AP restrictions appears to allow an AP to transmit a 40 MHz group PPDU even if some STAs are not 40 MHz-capable</w:t>
            </w:r>
          </w:p>
        </w:tc>
        <w:tc>
          <w:tcPr>
            <w:tcW w:w="1182" w:type="pct"/>
            <w:hideMark/>
          </w:tcPr>
          <w:p w14:paraId="074BB138" w14:textId="77777777" w:rsidR="00F70059" w:rsidRPr="007B7F8D" w:rsidRDefault="00F70059">
            <w:pPr>
              <w:rPr>
                <w:rFonts w:ascii="Arial" w:hAnsi="Arial" w:cs="Arial"/>
                <w:sz w:val="16"/>
                <w:szCs w:val="16"/>
              </w:rPr>
            </w:pPr>
            <w:r w:rsidRPr="007B7F8D">
              <w:rPr>
                <w:rFonts w:ascii="Arial" w:hAnsi="Arial" w:cs="Arial"/>
                <w:sz w:val="16"/>
                <w:szCs w:val="16"/>
              </w:rPr>
              <w:t>Add "and all of the STAs associated with the AP" to the first bullet of the second triplet of bullets.  Also fix the fourth para to cover the case where no NCW has been sent (cf. second para)</w:t>
            </w:r>
          </w:p>
        </w:tc>
        <w:tc>
          <w:tcPr>
            <w:tcW w:w="947" w:type="pct"/>
          </w:tcPr>
          <w:p w14:paraId="33A7C813" w14:textId="77777777" w:rsidR="00F70059" w:rsidRPr="007B7F8D" w:rsidRDefault="00F70059">
            <w:pPr>
              <w:rPr>
                <w:rFonts w:ascii="Arial" w:hAnsi="Arial" w:cs="Arial"/>
                <w:sz w:val="16"/>
                <w:szCs w:val="16"/>
              </w:rPr>
            </w:pPr>
          </w:p>
        </w:tc>
      </w:tr>
      <w:tr w:rsidR="00037FD0" w:rsidRPr="007B7F8D" w14:paraId="6B512672" w14:textId="46B36335" w:rsidTr="008A13D8">
        <w:trPr>
          <w:trHeight w:val="1200"/>
        </w:trPr>
        <w:tc>
          <w:tcPr>
            <w:tcW w:w="360" w:type="pct"/>
            <w:hideMark/>
          </w:tcPr>
          <w:p w14:paraId="401B09C9" w14:textId="77777777" w:rsidR="00F70059" w:rsidRPr="007B7F8D" w:rsidRDefault="00F70059">
            <w:pPr>
              <w:jc w:val="right"/>
              <w:rPr>
                <w:rFonts w:ascii="Arial" w:hAnsi="Arial" w:cs="Arial"/>
                <w:sz w:val="16"/>
                <w:szCs w:val="16"/>
              </w:rPr>
            </w:pPr>
            <w:r w:rsidRPr="007B7F8D">
              <w:rPr>
                <w:rFonts w:ascii="Arial" w:hAnsi="Arial" w:cs="Arial"/>
                <w:sz w:val="16"/>
                <w:szCs w:val="16"/>
              </w:rPr>
              <w:t>3345</w:t>
            </w:r>
          </w:p>
        </w:tc>
        <w:tc>
          <w:tcPr>
            <w:tcW w:w="511" w:type="pct"/>
            <w:hideMark/>
          </w:tcPr>
          <w:p w14:paraId="685346D9"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DD1E313" w14:textId="77777777" w:rsidR="00F70059" w:rsidRPr="007B7F8D" w:rsidRDefault="00F70059">
            <w:pPr>
              <w:jc w:val="right"/>
              <w:rPr>
                <w:rFonts w:ascii="Arial" w:hAnsi="Arial" w:cs="Arial"/>
                <w:sz w:val="16"/>
                <w:szCs w:val="16"/>
              </w:rPr>
            </w:pPr>
            <w:r w:rsidRPr="007B7F8D">
              <w:rPr>
                <w:rFonts w:ascii="Arial" w:hAnsi="Arial" w:cs="Arial"/>
                <w:sz w:val="16"/>
                <w:szCs w:val="16"/>
              </w:rPr>
              <w:t>1521.50</w:t>
            </w:r>
          </w:p>
        </w:tc>
        <w:tc>
          <w:tcPr>
            <w:tcW w:w="518" w:type="pct"/>
            <w:hideMark/>
          </w:tcPr>
          <w:p w14:paraId="58012D7D"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403AE93B" w14:textId="77777777" w:rsidR="00F70059" w:rsidRPr="007B7F8D" w:rsidRDefault="00F70059">
            <w:pPr>
              <w:rPr>
                <w:rFonts w:ascii="Arial" w:hAnsi="Arial" w:cs="Arial"/>
                <w:sz w:val="16"/>
                <w:szCs w:val="16"/>
              </w:rPr>
            </w:pPr>
            <w:r w:rsidRPr="007B7F8D">
              <w:rPr>
                <w:rFonts w:ascii="Arial" w:hAnsi="Arial" w:cs="Arial"/>
                <w:sz w:val="16"/>
                <w:szCs w:val="16"/>
              </w:rPr>
              <w:t>What is the required TSF accuracy for an AP?  The position of the current 0.01% requirement suggests it's only on non-AP STAs</w:t>
            </w:r>
          </w:p>
        </w:tc>
        <w:tc>
          <w:tcPr>
            <w:tcW w:w="1182" w:type="pct"/>
            <w:hideMark/>
          </w:tcPr>
          <w:p w14:paraId="2F124797" w14:textId="77777777" w:rsidR="00F70059" w:rsidRPr="007B7F8D" w:rsidRDefault="00F70059">
            <w:pPr>
              <w:rPr>
                <w:rFonts w:ascii="Arial" w:hAnsi="Arial" w:cs="Arial"/>
                <w:sz w:val="16"/>
                <w:szCs w:val="16"/>
              </w:rPr>
            </w:pPr>
            <w:r w:rsidRPr="007B7F8D">
              <w:rPr>
                <w:rFonts w:ascii="Arial" w:hAnsi="Arial" w:cs="Arial"/>
                <w:sz w:val="16"/>
                <w:szCs w:val="16"/>
              </w:rPr>
              <w:t>Promote the 0.01% requirement to the top of the subclause so it applies to all STAs</w:t>
            </w:r>
          </w:p>
        </w:tc>
        <w:tc>
          <w:tcPr>
            <w:tcW w:w="947" w:type="pct"/>
          </w:tcPr>
          <w:p w14:paraId="6AF1CE14" w14:textId="77777777" w:rsidR="00F70059" w:rsidRPr="007B7F8D" w:rsidRDefault="00F70059">
            <w:pPr>
              <w:rPr>
                <w:rFonts w:ascii="Arial" w:hAnsi="Arial" w:cs="Arial"/>
                <w:sz w:val="16"/>
                <w:szCs w:val="16"/>
              </w:rPr>
            </w:pPr>
          </w:p>
        </w:tc>
      </w:tr>
      <w:tr w:rsidR="00037FD0" w:rsidRPr="007B7F8D" w14:paraId="1AFA68FB" w14:textId="597BCFB2" w:rsidTr="008A13D8">
        <w:trPr>
          <w:trHeight w:val="1440"/>
        </w:trPr>
        <w:tc>
          <w:tcPr>
            <w:tcW w:w="360" w:type="pct"/>
            <w:hideMark/>
          </w:tcPr>
          <w:p w14:paraId="233CE544" w14:textId="77777777" w:rsidR="00F70059" w:rsidRPr="007B7F8D" w:rsidRDefault="00F70059">
            <w:pPr>
              <w:jc w:val="right"/>
              <w:rPr>
                <w:rFonts w:ascii="Arial" w:hAnsi="Arial" w:cs="Arial"/>
                <w:sz w:val="16"/>
                <w:szCs w:val="16"/>
              </w:rPr>
            </w:pPr>
            <w:r w:rsidRPr="007B7F8D">
              <w:rPr>
                <w:rFonts w:ascii="Arial" w:hAnsi="Arial" w:cs="Arial"/>
                <w:sz w:val="16"/>
                <w:szCs w:val="16"/>
              </w:rPr>
              <w:t>3355</w:t>
            </w:r>
          </w:p>
        </w:tc>
        <w:tc>
          <w:tcPr>
            <w:tcW w:w="511" w:type="pct"/>
            <w:hideMark/>
          </w:tcPr>
          <w:p w14:paraId="7234334C"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57A0E365" w14:textId="77777777" w:rsidR="00F70059" w:rsidRPr="007B7F8D" w:rsidRDefault="00F70059">
            <w:pPr>
              <w:jc w:val="right"/>
              <w:rPr>
                <w:rFonts w:ascii="Arial" w:hAnsi="Arial" w:cs="Arial"/>
                <w:sz w:val="16"/>
                <w:szCs w:val="16"/>
              </w:rPr>
            </w:pPr>
            <w:r w:rsidRPr="007B7F8D">
              <w:rPr>
                <w:rFonts w:ascii="Arial" w:hAnsi="Arial" w:cs="Arial"/>
                <w:sz w:val="16"/>
                <w:szCs w:val="16"/>
              </w:rPr>
              <w:t>1527.16</w:t>
            </w:r>
          </w:p>
        </w:tc>
        <w:tc>
          <w:tcPr>
            <w:tcW w:w="518" w:type="pct"/>
            <w:hideMark/>
          </w:tcPr>
          <w:p w14:paraId="52406C09" w14:textId="77777777" w:rsidR="00F70059" w:rsidRPr="007B7F8D" w:rsidRDefault="00F70059">
            <w:pPr>
              <w:rPr>
                <w:rFonts w:ascii="Arial" w:hAnsi="Arial" w:cs="Arial"/>
                <w:sz w:val="16"/>
                <w:szCs w:val="16"/>
              </w:rPr>
            </w:pPr>
            <w:r w:rsidRPr="007B7F8D">
              <w:rPr>
                <w:rFonts w:ascii="Arial" w:hAnsi="Arial" w:cs="Arial"/>
                <w:sz w:val="16"/>
                <w:szCs w:val="16"/>
              </w:rPr>
              <w:t>10.1.4.3.5</w:t>
            </w:r>
          </w:p>
        </w:tc>
        <w:tc>
          <w:tcPr>
            <w:tcW w:w="1038" w:type="pct"/>
            <w:hideMark/>
          </w:tcPr>
          <w:p w14:paraId="0C7D8704" w14:textId="77777777" w:rsidR="00F70059" w:rsidRPr="007B7F8D" w:rsidRDefault="00F70059">
            <w:pPr>
              <w:rPr>
                <w:rFonts w:ascii="Arial" w:hAnsi="Arial" w:cs="Arial"/>
                <w:sz w:val="16"/>
                <w:szCs w:val="16"/>
              </w:rPr>
            </w:pPr>
            <w:r w:rsidRPr="007B7F8D">
              <w:rPr>
                <w:rFonts w:ascii="Arial" w:hAnsi="Arial" w:cs="Arial"/>
                <w:sz w:val="16"/>
                <w:szCs w:val="16"/>
              </w:rPr>
              <w:t>If a Request element includes something which would anyway be included in a Probe Response, does the element still get included at the end (i.e. twice)?</w:t>
            </w:r>
          </w:p>
        </w:tc>
        <w:tc>
          <w:tcPr>
            <w:tcW w:w="1182" w:type="pct"/>
            <w:hideMark/>
          </w:tcPr>
          <w:p w14:paraId="46B14D97" w14:textId="77777777" w:rsidR="00F70059" w:rsidRPr="007B7F8D" w:rsidRDefault="00F70059">
            <w:pPr>
              <w:rPr>
                <w:rFonts w:ascii="Arial" w:hAnsi="Arial" w:cs="Arial"/>
                <w:sz w:val="16"/>
                <w:szCs w:val="16"/>
              </w:rPr>
            </w:pPr>
            <w:r w:rsidRPr="007B7F8D">
              <w:rPr>
                <w:rFonts w:ascii="Arial" w:hAnsi="Arial" w:cs="Arial"/>
                <w:sz w:val="16"/>
                <w:szCs w:val="16"/>
              </w:rPr>
              <w:t>Suggest saying may choose not to include at the end, to make text most likely to be compatible with existing devices</w:t>
            </w:r>
          </w:p>
        </w:tc>
        <w:tc>
          <w:tcPr>
            <w:tcW w:w="947" w:type="pct"/>
          </w:tcPr>
          <w:p w14:paraId="7DDBD85F" w14:textId="77777777" w:rsidR="00F70059" w:rsidRPr="007B7F8D" w:rsidRDefault="00F70059">
            <w:pPr>
              <w:rPr>
                <w:rFonts w:ascii="Arial" w:hAnsi="Arial" w:cs="Arial"/>
                <w:sz w:val="16"/>
                <w:szCs w:val="16"/>
              </w:rPr>
            </w:pPr>
          </w:p>
        </w:tc>
      </w:tr>
      <w:tr w:rsidR="00037FD0" w:rsidRPr="007B7F8D" w14:paraId="476E0101" w14:textId="7608A640" w:rsidTr="008A13D8">
        <w:trPr>
          <w:trHeight w:val="720"/>
        </w:trPr>
        <w:tc>
          <w:tcPr>
            <w:tcW w:w="360" w:type="pct"/>
            <w:hideMark/>
          </w:tcPr>
          <w:p w14:paraId="139A37D5" w14:textId="77777777" w:rsidR="00F70059" w:rsidRPr="007B7F8D" w:rsidRDefault="00F70059">
            <w:pPr>
              <w:jc w:val="right"/>
              <w:rPr>
                <w:rFonts w:ascii="Arial" w:hAnsi="Arial" w:cs="Arial"/>
                <w:sz w:val="16"/>
                <w:szCs w:val="16"/>
              </w:rPr>
            </w:pPr>
            <w:r w:rsidRPr="007B7F8D">
              <w:rPr>
                <w:rFonts w:ascii="Arial" w:hAnsi="Arial" w:cs="Arial"/>
                <w:sz w:val="16"/>
                <w:szCs w:val="16"/>
              </w:rPr>
              <w:t>3374</w:t>
            </w:r>
          </w:p>
        </w:tc>
        <w:tc>
          <w:tcPr>
            <w:tcW w:w="511" w:type="pct"/>
            <w:hideMark/>
          </w:tcPr>
          <w:p w14:paraId="1E5CA745" w14:textId="77777777" w:rsidR="00F70059" w:rsidRPr="007B7F8D" w:rsidRDefault="00F70059">
            <w:pPr>
              <w:rPr>
                <w:rFonts w:ascii="Arial" w:hAnsi="Arial" w:cs="Arial"/>
                <w:sz w:val="16"/>
                <w:szCs w:val="16"/>
              </w:rPr>
            </w:pPr>
            <w:r w:rsidRPr="007B7F8D">
              <w:rPr>
                <w:rFonts w:ascii="Arial" w:hAnsi="Arial" w:cs="Arial"/>
                <w:sz w:val="16"/>
                <w:szCs w:val="16"/>
              </w:rPr>
              <w:t>Mark RISON</w:t>
            </w:r>
          </w:p>
        </w:tc>
        <w:tc>
          <w:tcPr>
            <w:tcW w:w="444" w:type="pct"/>
            <w:hideMark/>
          </w:tcPr>
          <w:p w14:paraId="6389C114" w14:textId="77777777" w:rsidR="00F70059" w:rsidRPr="007B7F8D" w:rsidRDefault="00F70059">
            <w:pPr>
              <w:jc w:val="right"/>
              <w:rPr>
                <w:rFonts w:ascii="Arial" w:hAnsi="Arial" w:cs="Arial"/>
                <w:sz w:val="16"/>
                <w:szCs w:val="16"/>
              </w:rPr>
            </w:pPr>
            <w:r w:rsidRPr="007B7F8D">
              <w:rPr>
                <w:rFonts w:ascii="Arial" w:hAnsi="Arial" w:cs="Arial"/>
                <w:sz w:val="16"/>
                <w:szCs w:val="16"/>
              </w:rPr>
              <w:t>1521.30</w:t>
            </w:r>
          </w:p>
        </w:tc>
        <w:tc>
          <w:tcPr>
            <w:tcW w:w="518" w:type="pct"/>
            <w:hideMark/>
          </w:tcPr>
          <w:p w14:paraId="36C11341" w14:textId="77777777" w:rsidR="00F70059" w:rsidRPr="007B7F8D" w:rsidRDefault="00F70059">
            <w:pPr>
              <w:rPr>
                <w:rFonts w:ascii="Arial" w:hAnsi="Arial" w:cs="Arial"/>
                <w:sz w:val="16"/>
                <w:szCs w:val="16"/>
              </w:rPr>
            </w:pPr>
            <w:r w:rsidRPr="007B7F8D">
              <w:rPr>
                <w:rFonts w:ascii="Arial" w:hAnsi="Arial" w:cs="Arial"/>
                <w:sz w:val="16"/>
                <w:szCs w:val="16"/>
              </w:rPr>
              <w:t>10.1.3.9</w:t>
            </w:r>
          </w:p>
        </w:tc>
        <w:tc>
          <w:tcPr>
            <w:tcW w:w="1038" w:type="pct"/>
            <w:hideMark/>
          </w:tcPr>
          <w:p w14:paraId="280C692D" w14:textId="77777777" w:rsidR="00F70059" w:rsidRPr="007B7F8D" w:rsidRDefault="00F70059">
            <w:pPr>
              <w:rPr>
                <w:rFonts w:ascii="Arial" w:hAnsi="Arial" w:cs="Arial"/>
                <w:sz w:val="16"/>
                <w:szCs w:val="16"/>
              </w:rPr>
            </w:pPr>
            <w:r w:rsidRPr="007B7F8D">
              <w:rPr>
                <w:rFonts w:ascii="Arial" w:hAnsi="Arial" w:cs="Arial"/>
                <w:sz w:val="16"/>
                <w:szCs w:val="16"/>
              </w:rPr>
              <w:t>Need to specify whether the worst-case TSF drift between two devices is 0.01% or 0.02%</w:t>
            </w:r>
          </w:p>
        </w:tc>
        <w:tc>
          <w:tcPr>
            <w:tcW w:w="1182" w:type="pct"/>
            <w:hideMark/>
          </w:tcPr>
          <w:p w14:paraId="7F2B9E8A" w14:textId="77777777" w:rsidR="00F70059" w:rsidRPr="007B7F8D" w:rsidRDefault="00F70059">
            <w:pPr>
              <w:rPr>
                <w:rFonts w:ascii="Arial" w:hAnsi="Arial" w:cs="Arial"/>
                <w:sz w:val="16"/>
                <w:szCs w:val="16"/>
              </w:rPr>
            </w:pPr>
            <w:r w:rsidRPr="007B7F8D">
              <w:rPr>
                <w:rFonts w:ascii="Arial" w:hAnsi="Arial" w:cs="Arial"/>
                <w:sz w:val="16"/>
                <w:szCs w:val="16"/>
              </w:rPr>
              <w:t>Add a NOTE to confirm it's 0.02%</w:t>
            </w:r>
          </w:p>
        </w:tc>
        <w:tc>
          <w:tcPr>
            <w:tcW w:w="947" w:type="pct"/>
          </w:tcPr>
          <w:p w14:paraId="44DEDB43" w14:textId="77777777" w:rsidR="00F70059" w:rsidRPr="007B7F8D" w:rsidRDefault="00F70059">
            <w:pPr>
              <w:rPr>
                <w:rFonts w:ascii="Arial" w:hAnsi="Arial" w:cs="Arial"/>
                <w:sz w:val="16"/>
                <w:szCs w:val="16"/>
              </w:rPr>
            </w:pPr>
          </w:p>
        </w:tc>
      </w:tr>
      <w:tr w:rsidR="00037FD0" w:rsidRPr="007B7F8D" w14:paraId="7486DC74" w14:textId="348E767A" w:rsidTr="008A13D8">
        <w:trPr>
          <w:trHeight w:val="960"/>
        </w:trPr>
        <w:tc>
          <w:tcPr>
            <w:tcW w:w="360" w:type="pct"/>
            <w:hideMark/>
          </w:tcPr>
          <w:p w14:paraId="62295A5A" w14:textId="77777777" w:rsidR="00F70059" w:rsidRPr="007B7F8D" w:rsidRDefault="00F70059">
            <w:pPr>
              <w:jc w:val="right"/>
              <w:rPr>
                <w:rFonts w:ascii="Arial" w:hAnsi="Arial" w:cs="Arial"/>
                <w:sz w:val="16"/>
                <w:szCs w:val="16"/>
              </w:rPr>
            </w:pPr>
            <w:r w:rsidRPr="007B7F8D">
              <w:rPr>
                <w:rFonts w:ascii="Arial" w:hAnsi="Arial" w:cs="Arial"/>
                <w:sz w:val="16"/>
                <w:szCs w:val="16"/>
              </w:rPr>
              <w:t>3504</w:t>
            </w:r>
          </w:p>
        </w:tc>
        <w:tc>
          <w:tcPr>
            <w:tcW w:w="511" w:type="pct"/>
            <w:hideMark/>
          </w:tcPr>
          <w:p w14:paraId="677C2A7A" w14:textId="77777777" w:rsidR="00F70059" w:rsidRPr="007B7F8D" w:rsidRDefault="00F70059">
            <w:pPr>
              <w:rPr>
                <w:rFonts w:ascii="Arial" w:hAnsi="Arial" w:cs="Arial"/>
                <w:sz w:val="16"/>
                <w:szCs w:val="16"/>
              </w:rPr>
            </w:pPr>
            <w:r w:rsidRPr="007B7F8D">
              <w:rPr>
                <w:rFonts w:ascii="Arial" w:hAnsi="Arial" w:cs="Arial"/>
                <w:sz w:val="16"/>
                <w:szCs w:val="16"/>
              </w:rPr>
              <w:t>Mark Hamilton</w:t>
            </w:r>
          </w:p>
        </w:tc>
        <w:tc>
          <w:tcPr>
            <w:tcW w:w="444" w:type="pct"/>
            <w:hideMark/>
          </w:tcPr>
          <w:p w14:paraId="217666DC" w14:textId="77777777" w:rsidR="00F70059" w:rsidRPr="007B7F8D" w:rsidRDefault="00F70059">
            <w:pPr>
              <w:jc w:val="right"/>
              <w:rPr>
                <w:rFonts w:ascii="Arial" w:hAnsi="Arial" w:cs="Arial"/>
                <w:sz w:val="16"/>
                <w:szCs w:val="16"/>
              </w:rPr>
            </w:pPr>
            <w:r w:rsidRPr="007B7F8D">
              <w:rPr>
                <w:rFonts w:ascii="Arial" w:hAnsi="Arial" w:cs="Arial"/>
                <w:sz w:val="16"/>
                <w:szCs w:val="16"/>
              </w:rPr>
              <w:t>1666.42</w:t>
            </w:r>
          </w:p>
        </w:tc>
        <w:tc>
          <w:tcPr>
            <w:tcW w:w="518" w:type="pct"/>
            <w:hideMark/>
          </w:tcPr>
          <w:p w14:paraId="5654C5E9" w14:textId="77777777" w:rsidR="00F70059" w:rsidRPr="007B7F8D" w:rsidRDefault="00F70059">
            <w:pPr>
              <w:rPr>
                <w:rFonts w:ascii="Arial" w:hAnsi="Arial" w:cs="Arial"/>
                <w:sz w:val="16"/>
                <w:szCs w:val="16"/>
              </w:rPr>
            </w:pPr>
            <w:r w:rsidRPr="007B7F8D">
              <w:rPr>
                <w:rFonts w:ascii="Arial" w:hAnsi="Arial" w:cs="Arial"/>
                <w:sz w:val="16"/>
                <w:szCs w:val="16"/>
              </w:rPr>
              <w:t>10.12.2.2</w:t>
            </w:r>
          </w:p>
        </w:tc>
        <w:tc>
          <w:tcPr>
            <w:tcW w:w="1038" w:type="pct"/>
            <w:hideMark/>
          </w:tcPr>
          <w:p w14:paraId="0D395A22" w14:textId="77777777" w:rsidR="00F70059" w:rsidRPr="007B7F8D" w:rsidRDefault="00F70059">
            <w:pPr>
              <w:rPr>
                <w:rFonts w:ascii="Arial" w:hAnsi="Arial" w:cs="Arial"/>
                <w:sz w:val="16"/>
                <w:szCs w:val="16"/>
              </w:rPr>
            </w:pPr>
            <w:r w:rsidRPr="007B7F8D">
              <w:rPr>
                <w:rFonts w:ascii="Arial" w:hAnsi="Arial" w:cs="Arial"/>
                <w:sz w:val="16"/>
                <w:szCs w:val="16"/>
              </w:rPr>
              <w:t>"issue an MLME-ENABLEMENT.confirm primitive with ResultCode set to provide."  To provide what?</w:t>
            </w:r>
          </w:p>
        </w:tc>
        <w:tc>
          <w:tcPr>
            <w:tcW w:w="1182" w:type="pct"/>
            <w:hideMark/>
          </w:tcPr>
          <w:p w14:paraId="6C437FB3" w14:textId="77777777" w:rsidR="00F70059" w:rsidRPr="007B7F8D" w:rsidRDefault="00F70059">
            <w:pPr>
              <w:rPr>
                <w:rFonts w:ascii="Arial" w:hAnsi="Arial" w:cs="Arial"/>
                <w:sz w:val="16"/>
                <w:szCs w:val="16"/>
              </w:rPr>
            </w:pPr>
            <w:r w:rsidRPr="007B7F8D">
              <w:rPr>
                <w:rFonts w:ascii="Arial" w:hAnsi="Arial" w:cs="Arial"/>
                <w:sz w:val="16"/>
                <w:szCs w:val="16"/>
              </w:rPr>
              <w:t>Finish the sentence</w:t>
            </w:r>
          </w:p>
        </w:tc>
        <w:tc>
          <w:tcPr>
            <w:tcW w:w="947" w:type="pct"/>
          </w:tcPr>
          <w:p w14:paraId="5863F7B1" w14:textId="148F804A" w:rsidR="00F70059" w:rsidRPr="007B7F8D" w:rsidRDefault="00BA01FD" w:rsidP="00D42D25">
            <w:pPr>
              <w:rPr>
                <w:rFonts w:ascii="Arial" w:hAnsi="Arial" w:cs="Arial"/>
                <w:sz w:val="16"/>
                <w:szCs w:val="16"/>
              </w:rPr>
            </w:pPr>
            <w:r>
              <w:rPr>
                <w:rFonts w:ascii="Arial" w:hAnsi="Arial" w:cs="Arial"/>
                <w:sz w:val="16"/>
                <w:szCs w:val="16"/>
              </w:rPr>
              <w:t xml:space="preserve">Revised. </w:t>
            </w:r>
            <w:r w:rsidR="00D42D25">
              <w:rPr>
                <w:rFonts w:ascii="Arial" w:hAnsi="Arial" w:cs="Arial"/>
                <w:sz w:val="16"/>
                <w:szCs w:val="16"/>
              </w:rPr>
              <w:t xml:space="preserve">The Enablement Requester STA never receives a frame. Therefore remove “d)” at 1666.40. </w:t>
            </w: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2569ED69"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726572">
        <w:rPr>
          <w:sz w:val="20"/>
          <w:szCs w:val="20"/>
          <w:lang w:val="en-US"/>
        </w:rPr>
        <w:t xml:space="preserve"> not set to the b</w:t>
      </w:r>
      <w:r w:rsidR="00977630">
        <w:rPr>
          <w:sz w:val="20"/>
          <w:szCs w:val="20"/>
          <w:lang w:val="en-US"/>
        </w:rPr>
        <w:t>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w:t>
      </w:r>
      <w:r w:rsidR="00726572">
        <w:rPr>
          <w:sz w:val="20"/>
          <w:szCs w:val="20"/>
          <w:lang w:val="en-US"/>
        </w:rPr>
        <w:t>e frame request was set to the b</w:t>
      </w:r>
      <w:r w:rsidR="004D71E5">
        <w:rPr>
          <w:sz w:val="20"/>
          <w:szCs w:val="20"/>
          <w:lang w:val="en-US"/>
        </w:rPr>
        <w:t>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6DD7B81B"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w:t>
      </w:r>
      <w:r w:rsidR="00726572">
        <w:rPr>
          <w:sz w:val="20"/>
          <w:szCs w:val="20"/>
          <w:lang w:val="en-US"/>
        </w:rPr>
        <w:t>he broadcast address, then all Data or M</w:t>
      </w:r>
      <w:r>
        <w:rPr>
          <w:sz w:val="20"/>
          <w:szCs w:val="20"/>
          <w:lang w:val="en-US"/>
        </w:rPr>
        <w:t>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7F2C8E45" w14:textId="77777777" w:rsidR="00BE3CB4" w:rsidRDefault="00BE3CB4" w:rsidP="00A91B77">
      <w:pPr>
        <w:rPr>
          <w:rFonts w:ascii="Calibri" w:hAnsi="Calibri"/>
          <w:color w:val="1F497D"/>
          <w:sz w:val="28"/>
          <w:szCs w:val="28"/>
        </w:rPr>
      </w:pPr>
    </w:p>
    <w:p w14:paraId="6B5ADFA1" w14:textId="768242B0" w:rsidR="00BE3CB4" w:rsidRDefault="00BE3CB4" w:rsidP="00A91B77">
      <w:pPr>
        <w:rPr>
          <w:rFonts w:ascii="Calibri" w:hAnsi="Calibri"/>
          <w:color w:val="1F497D"/>
          <w:sz w:val="28"/>
          <w:szCs w:val="28"/>
        </w:rPr>
      </w:pPr>
      <w:r>
        <w:rPr>
          <w:rFonts w:ascii="Calibri" w:hAnsi="Calibri"/>
          <w:color w:val="1F497D"/>
          <w:sz w:val="28"/>
          <w:szCs w:val="28"/>
        </w:rPr>
        <w:t xml:space="preserve">TGmc call 08/29: Add a note to state that “n” is an implementation value. </w:t>
      </w:r>
    </w:p>
    <w:p w14:paraId="645BC6EB" w14:textId="77777777" w:rsidR="009368E0" w:rsidRDefault="009368E0" w:rsidP="00A91B77">
      <w:pPr>
        <w:rPr>
          <w:rFonts w:ascii="Calibri" w:hAnsi="Calibri"/>
          <w:color w:val="1F497D"/>
          <w:sz w:val="28"/>
          <w:szCs w:val="28"/>
        </w:rPr>
      </w:pP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3EB9E03E" w:rsidR="00D24C2D" w:rsidRDefault="00D24C2D" w:rsidP="00A91B77">
      <w:pPr>
        <w:rPr>
          <w:sz w:val="24"/>
        </w:rPr>
      </w:pPr>
      <w:r>
        <w:rPr>
          <w:sz w:val="24"/>
        </w:rPr>
        <w:t xml:space="preserve">“NOTE--- A transition to State 1 </w:t>
      </w:r>
      <w:r w:rsidR="00580449">
        <w:rPr>
          <w:sz w:val="24"/>
        </w:rPr>
        <w:t>might</w:t>
      </w:r>
      <w:r>
        <w:rPr>
          <w:sz w:val="24"/>
        </w:rPr>
        <w:t xml:space="preserve"> occur for other reasons such as no frames received from a STA for a period of time</w:t>
      </w:r>
      <w:r w:rsidR="0037550E">
        <w:rPr>
          <w:sz w:val="24"/>
        </w:rPr>
        <w:t>.</w:t>
      </w:r>
      <w:r>
        <w:rPr>
          <w:sz w:val="24"/>
        </w:rPr>
        <w:t>”</w:t>
      </w:r>
    </w:p>
    <w:p w14:paraId="2EFAA09D" w14:textId="77777777" w:rsidR="00D24C2D" w:rsidRDefault="00D24C2D" w:rsidP="00A91B77">
      <w:pPr>
        <w:rPr>
          <w:sz w:val="24"/>
        </w:rPr>
      </w:pPr>
    </w:p>
    <w:p w14:paraId="3A67B5B6" w14:textId="6AE2E6B1" w:rsidR="00BA01FD" w:rsidRDefault="00BA01FD" w:rsidP="00A91B77">
      <w:pPr>
        <w:rPr>
          <w:sz w:val="24"/>
        </w:rPr>
      </w:pPr>
      <w:r>
        <w:rPr>
          <w:sz w:val="24"/>
        </w:rPr>
        <w:t>CID 3504 –</w:t>
      </w:r>
      <w:r w:rsidR="00D42D25">
        <w:rPr>
          <w:sz w:val="24"/>
        </w:rPr>
        <w:t xml:space="preserve"> After consulation with PeterE, the recommendation is to remove “d)” at the cited location.</w:t>
      </w:r>
    </w:p>
    <w:p w14:paraId="5FAF7C7C" w14:textId="77777777" w:rsidR="00093FDF" w:rsidRDefault="00093FDF" w:rsidP="00A91B77">
      <w:pPr>
        <w:rPr>
          <w:sz w:val="24"/>
        </w:rPr>
      </w:pPr>
    </w:p>
    <w:p w14:paraId="5834D94C" w14:textId="77777777" w:rsidR="00093FDF" w:rsidRDefault="00093FDF" w:rsidP="00093FDF">
      <w:pPr>
        <w:rPr>
          <w:sz w:val="24"/>
        </w:rPr>
      </w:pPr>
      <w:r>
        <w:rPr>
          <w:sz w:val="24"/>
        </w:rPr>
        <w:t>Mark Rison’s comments on the proposed resolution:</w:t>
      </w:r>
    </w:p>
    <w:p w14:paraId="3BE69255" w14:textId="77777777" w:rsidR="00093FDF" w:rsidRDefault="00093FDF" w:rsidP="00093FDF">
      <w:pPr>
        <w:rPr>
          <w:sz w:val="24"/>
        </w:rPr>
      </w:pPr>
    </w:p>
    <w:p w14:paraId="283D197F" w14:textId="7E8127F3" w:rsidR="00093FDF" w:rsidRPr="00093FDF" w:rsidRDefault="00093FDF" w:rsidP="00093FDF">
      <w:pPr>
        <w:rPr>
          <w:sz w:val="24"/>
          <w:lang w:val="en-US"/>
        </w:rPr>
      </w:pPr>
      <w:r>
        <w:rPr>
          <w:sz w:val="24"/>
        </w:rPr>
        <w:t xml:space="preserve"> “</w:t>
      </w:r>
      <w:r w:rsidRPr="00093FDF">
        <w:rPr>
          <w:sz w:val="24"/>
          <w:lang w:val="en-US"/>
        </w:rPr>
        <w:t>- For 3504, surely you have to issue something, else the SME will just</w:t>
      </w:r>
    </w:p>
    <w:p w14:paraId="4B07D5A2" w14:textId="77777777" w:rsidR="00093FDF" w:rsidRPr="00093FDF" w:rsidRDefault="00093FDF" w:rsidP="00093FDF">
      <w:pPr>
        <w:rPr>
          <w:sz w:val="24"/>
          <w:lang w:val="en-US"/>
        </w:rPr>
      </w:pPr>
      <w:r w:rsidRPr="00093FDF">
        <w:rPr>
          <w:sz w:val="24"/>
          <w:lang w:val="en-US"/>
        </w:rPr>
        <w:t>be sitting there forever (per 281.26).  Isn't the answer to change "set</w:t>
      </w:r>
    </w:p>
    <w:p w14:paraId="069B800C" w14:textId="77777777" w:rsidR="00093FDF" w:rsidRPr="00093FDF" w:rsidRDefault="00093FDF" w:rsidP="00093FDF">
      <w:pPr>
        <w:rPr>
          <w:sz w:val="24"/>
          <w:lang w:val="en-US"/>
        </w:rPr>
      </w:pPr>
      <w:r w:rsidRPr="00093FDF">
        <w:rPr>
          <w:sz w:val="24"/>
          <w:lang w:val="en-US"/>
        </w:rPr>
        <w:t>to provide" to "set to TIMEOUT" and add TIMEOUT to the list at 282.4?</w:t>
      </w:r>
    </w:p>
    <w:p w14:paraId="168BF7D2" w14:textId="77777777" w:rsidR="00093FDF" w:rsidRPr="00093FDF" w:rsidRDefault="00093FDF" w:rsidP="00093FDF">
      <w:pPr>
        <w:rPr>
          <w:sz w:val="24"/>
          <w:lang w:val="en-US"/>
        </w:rPr>
      </w:pPr>
      <w:r w:rsidRPr="00093FDF">
        <w:rPr>
          <w:sz w:val="24"/>
          <w:lang w:val="en-US"/>
        </w:rPr>
        <w:t>BTW, "ReasResultCode" at 1666.13 should be "ResultCode".</w:t>
      </w:r>
    </w:p>
    <w:p w14:paraId="12AEF441" w14:textId="77777777" w:rsidR="00093FDF" w:rsidRPr="00093FDF" w:rsidRDefault="00093FDF" w:rsidP="00093FDF">
      <w:pPr>
        <w:rPr>
          <w:sz w:val="24"/>
          <w:lang w:val="en-US"/>
        </w:rPr>
      </w:pPr>
      <w:r w:rsidRPr="00093FDF">
        <w:rPr>
          <w:sz w:val="24"/>
          <w:lang w:val="en-US"/>
        </w:rPr>
        <w:t> </w:t>
      </w:r>
    </w:p>
    <w:p w14:paraId="6A4795EF" w14:textId="02988062" w:rsidR="00093FDF" w:rsidRDefault="00093FDF" w:rsidP="00093FDF">
      <w:pPr>
        <w:rPr>
          <w:sz w:val="24"/>
          <w:lang w:val="en-US"/>
        </w:rPr>
      </w:pPr>
      <w:r w:rsidRPr="00093FDF">
        <w:rPr>
          <w:sz w:val="24"/>
          <w:lang w:val="en-US"/>
        </w:rPr>
        <w:t>- There are three other "set to provide"s (1603.1, 1609.54, 1617.5)...</w:t>
      </w:r>
      <w:r>
        <w:rPr>
          <w:sz w:val="24"/>
          <w:lang w:val="en-US"/>
        </w:rPr>
        <w:t>”</w:t>
      </w:r>
    </w:p>
    <w:p w14:paraId="6289E670" w14:textId="77777777" w:rsidR="00580449" w:rsidRDefault="00580449" w:rsidP="00093FDF">
      <w:pPr>
        <w:rPr>
          <w:sz w:val="24"/>
          <w:lang w:val="en-US"/>
        </w:rPr>
      </w:pPr>
    </w:p>
    <w:p w14:paraId="5F5A3D30" w14:textId="6DAD3964" w:rsidR="00580449" w:rsidRDefault="00580449" w:rsidP="00093FDF">
      <w:pPr>
        <w:rPr>
          <w:sz w:val="24"/>
          <w:lang w:val="en-US"/>
        </w:rPr>
      </w:pPr>
      <w:r>
        <w:rPr>
          <w:sz w:val="24"/>
          <w:lang w:val="en-US"/>
        </w:rPr>
        <w:t>Proposed Resolution:</w:t>
      </w:r>
    </w:p>
    <w:p w14:paraId="297F9882" w14:textId="5458AA10" w:rsidR="00580449" w:rsidRPr="00707353" w:rsidRDefault="00580449" w:rsidP="00093FDF">
      <w:pPr>
        <w:rPr>
          <w:sz w:val="24"/>
        </w:rPr>
      </w:pPr>
      <w:r>
        <w:rPr>
          <w:sz w:val="24"/>
          <w:lang w:val="en-US"/>
        </w:rPr>
        <w:t>Revised. Remove “d)” at cited location. At 281.26, insert at start of second sentence. “In the case that a response is received from the responder STA”</w:t>
      </w:r>
    </w:p>
    <w:p w14:paraId="5D5AACF4" w14:textId="77777777" w:rsidR="00D42D25" w:rsidRDefault="00D42D25">
      <w:pPr>
        <w:rPr>
          <w:rFonts w:ascii="Arial" w:hAnsi="Arial"/>
          <w:b/>
          <w:sz w:val="32"/>
          <w:u w:val="single"/>
        </w:rPr>
      </w:pPr>
      <w:r>
        <w:br w:type="page"/>
      </w:r>
    </w:p>
    <w:p w14:paraId="3C95E105" w14:textId="1DB900A6" w:rsidR="00C41C2A" w:rsidRDefault="00C41C2A" w:rsidP="00C41C2A">
      <w:pPr>
        <w:pStyle w:val="Heading1"/>
      </w:pPr>
      <w:r>
        <w:t>Power Saving</w:t>
      </w:r>
    </w:p>
    <w:p w14:paraId="5CE63EAD" w14:textId="77777777" w:rsidR="00C41C2A" w:rsidRDefault="00C41C2A" w:rsidP="00C41C2A"/>
    <w:p w14:paraId="07FF6617" w14:textId="77777777" w:rsidR="00C41C2A" w:rsidRPr="00A91B77" w:rsidRDefault="00C41C2A" w:rsidP="00C41C2A"/>
    <w:p w14:paraId="099FFAF5" w14:textId="14C66B1E" w:rsidR="00C41C2A" w:rsidRPr="00707353" w:rsidRDefault="00C41C2A" w:rsidP="0048279C">
      <w:pPr>
        <w:pStyle w:val="Heading3"/>
      </w:pPr>
    </w:p>
    <w:tbl>
      <w:tblPr>
        <w:tblStyle w:val="TableGrid"/>
        <w:tblpPr w:leftFromText="180" w:rightFromText="180" w:vertAnchor="page" w:horzAnchor="page" w:tblpX="1270" w:tblpY="7385"/>
        <w:tblW w:w="9576" w:type="dxa"/>
        <w:tblLook w:val="04A0" w:firstRow="1" w:lastRow="0" w:firstColumn="1" w:lastColumn="0" w:noHBand="0" w:noVBand="1"/>
      </w:tblPr>
      <w:tblGrid>
        <w:gridCol w:w="572"/>
        <w:gridCol w:w="1106"/>
        <w:gridCol w:w="818"/>
        <w:gridCol w:w="928"/>
        <w:gridCol w:w="1393"/>
        <w:gridCol w:w="2585"/>
        <w:gridCol w:w="2174"/>
      </w:tblGrid>
      <w:tr w:rsidR="0037550E" w:rsidRPr="003A6145" w14:paraId="073D0D1C" w14:textId="77777777" w:rsidTr="0037550E">
        <w:trPr>
          <w:trHeight w:val="254"/>
        </w:trPr>
        <w:tc>
          <w:tcPr>
            <w:tcW w:w="572" w:type="dxa"/>
            <w:hideMark/>
          </w:tcPr>
          <w:p w14:paraId="74534BD8"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CID</w:t>
            </w:r>
          </w:p>
        </w:tc>
        <w:tc>
          <w:tcPr>
            <w:tcW w:w="1106" w:type="dxa"/>
            <w:hideMark/>
          </w:tcPr>
          <w:p w14:paraId="3A919B93"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Commenter</w:t>
            </w:r>
          </w:p>
        </w:tc>
        <w:tc>
          <w:tcPr>
            <w:tcW w:w="818" w:type="dxa"/>
            <w:hideMark/>
          </w:tcPr>
          <w:p w14:paraId="7F0A24D9"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Page</w:t>
            </w:r>
          </w:p>
        </w:tc>
        <w:tc>
          <w:tcPr>
            <w:tcW w:w="928" w:type="dxa"/>
            <w:hideMark/>
          </w:tcPr>
          <w:p w14:paraId="43349FDA"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Clause</w:t>
            </w:r>
          </w:p>
        </w:tc>
        <w:tc>
          <w:tcPr>
            <w:tcW w:w="1393" w:type="dxa"/>
            <w:hideMark/>
          </w:tcPr>
          <w:p w14:paraId="54E55452"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Comment</w:t>
            </w:r>
          </w:p>
        </w:tc>
        <w:tc>
          <w:tcPr>
            <w:tcW w:w="2585" w:type="dxa"/>
            <w:hideMark/>
          </w:tcPr>
          <w:p w14:paraId="7CE0BDBB" w14:textId="77777777" w:rsidR="0037550E" w:rsidRPr="003A6145" w:rsidRDefault="0037550E" w:rsidP="0037550E">
            <w:pPr>
              <w:rPr>
                <w:rFonts w:ascii="Arial" w:hAnsi="Arial" w:cs="Arial"/>
                <w:b/>
                <w:bCs/>
                <w:sz w:val="16"/>
                <w:szCs w:val="16"/>
                <w:lang w:val="en-CA"/>
              </w:rPr>
            </w:pPr>
            <w:r w:rsidRPr="003A6145">
              <w:rPr>
                <w:rFonts w:ascii="Arial" w:hAnsi="Arial" w:cs="Arial"/>
                <w:b/>
                <w:bCs/>
                <w:sz w:val="16"/>
                <w:szCs w:val="16"/>
                <w:lang w:val="en-CA"/>
              </w:rPr>
              <w:t>Proposed Change</w:t>
            </w:r>
          </w:p>
        </w:tc>
        <w:tc>
          <w:tcPr>
            <w:tcW w:w="2174" w:type="dxa"/>
          </w:tcPr>
          <w:p w14:paraId="54DB9702" w14:textId="77777777" w:rsidR="0037550E" w:rsidRPr="003A6145" w:rsidRDefault="0037550E" w:rsidP="0037550E">
            <w:pPr>
              <w:rPr>
                <w:rFonts w:ascii="Arial" w:hAnsi="Arial" w:cs="Arial"/>
                <w:b/>
                <w:bCs/>
                <w:sz w:val="16"/>
                <w:szCs w:val="16"/>
                <w:lang w:val="en-CA"/>
              </w:rPr>
            </w:pPr>
            <w:r>
              <w:rPr>
                <w:rFonts w:ascii="Arial" w:hAnsi="Arial" w:cs="Arial"/>
                <w:b/>
                <w:bCs/>
                <w:sz w:val="16"/>
                <w:szCs w:val="16"/>
                <w:lang w:val="en-CA"/>
              </w:rPr>
              <w:t>Resolution</w:t>
            </w:r>
          </w:p>
        </w:tc>
      </w:tr>
      <w:tr w:rsidR="0037550E" w:rsidRPr="003A6145" w14:paraId="090A31C5" w14:textId="77777777" w:rsidTr="0037550E">
        <w:trPr>
          <w:trHeight w:val="1200"/>
        </w:trPr>
        <w:tc>
          <w:tcPr>
            <w:tcW w:w="572" w:type="dxa"/>
            <w:hideMark/>
          </w:tcPr>
          <w:p w14:paraId="4C2C956E"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3119</w:t>
            </w:r>
          </w:p>
        </w:tc>
        <w:tc>
          <w:tcPr>
            <w:tcW w:w="1106" w:type="dxa"/>
            <w:hideMark/>
          </w:tcPr>
          <w:p w14:paraId="656D87E2"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3602CAA9"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1533.12</w:t>
            </w:r>
          </w:p>
        </w:tc>
        <w:tc>
          <w:tcPr>
            <w:tcW w:w="928" w:type="dxa"/>
            <w:hideMark/>
          </w:tcPr>
          <w:p w14:paraId="24257BE7" w14:textId="77777777" w:rsidR="0037550E" w:rsidRPr="003A6145" w:rsidRDefault="0037550E" w:rsidP="0037550E">
            <w:pPr>
              <w:rPr>
                <w:rFonts w:ascii="Arial" w:hAnsi="Arial" w:cs="Arial"/>
                <w:sz w:val="16"/>
                <w:szCs w:val="16"/>
              </w:rPr>
            </w:pPr>
            <w:r w:rsidRPr="003A6145">
              <w:rPr>
                <w:rFonts w:ascii="Arial" w:hAnsi="Arial" w:cs="Arial"/>
                <w:sz w:val="16"/>
                <w:szCs w:val="16"/>
              </w:rPr>
              <w:t>10.2.2.2</w:t>
            </w:r>
          </w:p>
        </w:tc>
        <w:tc>
          <w:tcPr>
            <w:tcW w:w="1393" w:type="dxa"/>
            <w:hideMark/>
          </w:tcPr>
          <w:p w14:paraId="4D0F23D6"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8DE9731"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E5B1375" w14:textId="77777777" w:rsidR="0037550E" w:rsidRDefault="0037550E" w:rsidP="0037550E">
            <w:pPr>
              <w:rPr>
                <w:rFonts w:ascii="Arial" w:hAnsi="Arial" w:cs="Arial"/>
                <w:sz w:val="16"/>
                <w:szCs w:val="16"/>
              </w:rPr>
            </w:pPr>
            <w:r>
              <w:rPr>
                <w:rFonts w:ascii="Arial" w:hAnsi="Arial" w:cs="Arial"/>
                <w:sz w:val="16"/>
                <w:szCs w:val="16"/>
              </w:rPr>
              <w:t>Revised.</w:t>
            </w:r>
          </w:p>
          <w:p w14:paraId="3706557B" w14:textId="77777777" w:rsidR="0037550E" w:rsidRPr="003A6145" w:rsidRDefault="0037550E" w:rsidP="0037550E">
            <w:pPr>
              <w:rPr>
                <w:rFonts w:ascii="Arial" w:hAnsi="Arial" w:cs="Arial"/>
                <w:sz w:val="16"/>
                <w:szCs w:val="16"/>
              </w:rPr>
            </w:pPr>
            <w:r w:rsidRPr="003A6145">
              <w:rPr>
                <w:rFonts w:ascii="Arial" w:hAnsi="Arial" w:cs="Arial"/>
                <w:sz w:val="16"/>
                <w:szCs w:val="16"/>
              </w:rPr>
              <w:t>Table 10-2: Add headings "Mode", "Summary".   Replace "PS" with "Power Save or PS</w:t>
            </w:r>
            <w:r>
              <w:rPr>
                <w:rFonts w:ascii="Arial" w:hAnsi="Arial" w:cs="Arial"/>
                <w:sz w:val="16"/>
                <w:szCs w:val="16"/>
              </w:rPr>
              <w:t xml:space="preserve"> mode</w:t>
            </w:r>
            <w:r w:rsidRPr="003A6145">
              <w:rPr>
                <w:rFonts w:ascii="Arial" w:hAnsi="Arial" w:cs="Arial"/>
                <w:sz w:val="16"/>
                <w:szCs w:val="16"/>
              </w:rPr>
              <w:t>".  Replace "The AP shall transmit buffered individually addressed BUs to a PS STA only in response to a PS-Poll from that STA,..." with "Unless using APSD (see 10.2.2.5) the AP shall transmit buffered individually addressed BUs to a PS STA in response to a PS-Poll from that STA,...".</w:t>
            </w:r>
          </w:p>
        </w:tc>
      </w:tr>
      <w:tr w:rsidR="0037550E" w:rsidRPr="003A6145" w14:paraId="4C700766" w14:textId="77777777" w:rsidTr="0037550E">
        <w:trPr>
          <w:trHeight w:val="1546"/>
        </w:trPr>
        <w:tc>
          <w:tcPr>
            <w:tcW w:w="572" w:type="dxa"/>
            <w:hideMark/>
          </w:tcPr>
          <w:p w14:paraId="6723FD20"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3120</w:t>
            </w:r>
          </w:p>
        </w:tc>
        <w:tc>
          <w:tcPr>
            <w:tcW w:w="1106" w:type="dxa"/>
            <w:hideMark/>
          </w:tcPr>
          <w:p w14:paraId="6AB2950E" w14:textId="77777777" w:rsidR="0037550E" w:rsidRPr="003A6145" w:rsidRDefault="0037550E" w:rsidP="0037550E">
            <w:pPr>
              <w:rPr>
                <w:rFonts w:ascii="Arial" w:hAnsi="Arial" w:cs="Arial"/>
                <w:sz w:val="16"/>
                <w:szCs w:val="16"/>
              </w:rPr>
            </w:pPr>
            <w:r w:rsidRPr="003A6145">
              <w:rPr>
                <w:rFonts w:ascii="Arial" w:hAnsi="Arial" w:cs="Arial"/>
                <w:sz w:val="16"/>
                <w:szCs w:val="16"/>
              </w:rPr>
              <w:t>Graham Smith</w:t>
            </w:r>
          </w:p>
        </w:tc>
        <w:tc>
          <w:tcPr>
            <w:tcW w:w="818" w:type="dxa"/>
            <w:hideMark/>
          </w:tcPr>
          <w:p w14:paraId="600D3185" w14:textId="77777777" w:rsidR="0037550E" w:rsidRPr="003A6145" w:rsidRDefault="0037550E" w:rsidP="0037550E">
            <w:pPr>
              <w:jc w:val="right"/>
              <w:rPr>
                <w:rFonts w:ascii="Arial" w:hAnsi="Arial" w:cs="Arial"/>
                <w:sz w:val="16"/>
                <w:szCs w:val="16"/>
              </w:rPr>
            </w:pPr>
            <w:r w:rsidRPr="003A6145">
              <w:rPr>
                <w:rFonts w:ascii="Arial" w:hAnsi="Arial" w:cs="Arial"/>
                <w:sz w:val="16"/>
                <w:szCs w:val="16"/>
              </w:rPr>
              <w:t>1535.44</w:t>
            </w:r>
          </w:p>
        </w:tc>
        <w:tc>
          <w:tcPr>
            <w:tcW w:w="928" w:type="dxa"/>
            <w:hideMark/>
          </w:tcPr>
          <w:p w14:paraId="7531A9AF" w14:textId="77777777" w:rsidR="0037550E" w:rsidRPr="003A6145" w:rsidRDefault="0037550E" w:rsidP="0037550E">
            <w:pPr>
              <w:rPr>
                <w:rFonts w:ascii="Arial" w:hAnsi="Arial" w:cs="Arial"/>
                <w:sz w:val="16"/>
                <w:szCs w:val="16"/>
              </w:rPr>
            </w:pPr>
            <w:r w:rsidRPr="003A6145">
              <w:rPr>
                <w:rFonts w:ascii="Arial" w:hAnsi="Arial" w:cs="Arial"/>
                <w:sz w:val="16"/>
                <w:szCs w:val="16"/>
              </w:rPr>
              <w:t>10.2.2.5.1</w:t>
            </w:r>
          </w:p>
        </w:tc>
        <w:tc>
          <w:tcPr>
            <w:tcW w:w="1393" w:type="dxa"/>
            <w:hideMark/>
          </w:tcPr>
          <w:p w14:paraId="0D478DC5" w14:textId="77777777" w:rsidR="0037550E" w:rsidRPr="003A6145" w:rsidRDefault="0037550E" w:rsidP="0037550E">
            <w:pPr>
              <w:rPr>
                <w:rFonts w:ascii="Arial" w:hAnsi="Arial" w:cs="Arial"/>
                <w:sz w:val="16"/>
                <w:szCs w:val="16"/>
              </w:rPr>
            </w:pPr>
            <w:r w:rsidRPr="003A6145">
              <w:rPr>
                <w:rFonts w:ascii="Arial" w:hAnsi="Arial" w:cs="Arial"/>
                <w:sz w:val="16"/>
                <w:szCs w:val="16"/>
              </w:rPr>
              <w:t>"NOTE--Bufferable MMPDUs are transmitted using AC_VO. Thus the AC of an MMPDU is, by definition, AC_VO."  Is this true now after</w:t>
            </w:r>
            <w:r>
              <w:rPr>
                <w:rFonts w:ascii="Arial" w:hAnsi="Arial" w:cs="Arial"/>
                <w:sz w:val="16"/>
                <w:szCs w:val="16"/>
              </w:rPr>
              <w:t xml:space="preserve"> </w:t>
            </w:r>
            <w:r w:rsidRPr="003A6145">
              <w:rPr>
                <w:rFonts w:ascii="Arial" w:hAnsi="Arial" w:cs="Arial"/>
                <w:sz w:val="16"/>
                <w:szCs w:val="16"/>
              </w:rPr>
              <w:t>11ae?  Maybe best to remove Note?</w:t>
            </w:r>
          </w:p>
        </w:tc>
        <w:tc>
          <w:tcPr>
            <w:tcW w:w="2585" w:type="dxa"/>
            <w:hideMark/>
          </w:tcPr>
          <w:p w14:paraId="0D168753" w14:textId="77777777" w:rsidR="0037550E" w:rsidRPr="003A6145" w:rsidRDefault="0037550E" w:rsidP="0037550E">
            <w:pPr>
              <w:rPr>
                <w:rFonts w:ascii="Arial" w:hAnsi="Arial" w:cs="Arial"/>
                <w:sz w:val="16"/>
                <w:szCs w:val="16"/>
              </w:rPr>
            </w:pPr>
            <w:r w:rsidRPr="003A6145">
              <w:rPr>
                <w:rFonts w:ascii="Arial" w:hAnsi="Arial" w:cs="Arial"/>
                <w:sz w:val="16"/>
                <w:szCs w:val="16"/>
              </w:rPr>
              <w:t>Remove Note</w:t>
            </w:r>
          </w:p>
        </w:tc>
        <w:tc>
          <w:tcPr>
            <w:tcW w:w="2174" w:type="dxa"/>
          </w:tcPr>
          <w:p w14:paraId="34523CF1" w14:textId="77777777" w:rsidR="0037550E" w:rsidRDefault="0037550E" w:rsidP="0037550E">
            <w:pPr>
              <w:rPr>
                <w:rFonts w:ascii="Arial" w:hAnsi="Arial" w:cs="Arial"/>
                <w:sz w:val="16"/>
                <w:szCs w:val="16"/>
              </w:rPr>
            </w:pPr>
            <w:r>
              <w:rPr>
                <w:rFonts w:ascii="Arial" w:hAnsi="Arial" w:cs="Arial"/>
                <w:sz w:val="16"/>
                <w:szCs w:val="16"/>
              </w:rPr>
              <w:t xml:space="preserve">Reject. </w:t>
            </w:r>
          </w:p>
          <w:p w14:paraId="51F8AF75" w14:textId="77777777" w:rsidR="0037550E" w:rsidRPr="003A6145" w:rsidRDefault="0037550E" w:rsidP="0037550E">
            <w:pPr>
              <w:rPr>
                <w:rFonts w:ascii="Arial" w:hAnsi="Arial" w:cs="Arial"/>
                <w:sz w:val="16"/>
                <w:szCs w:val="16"/>
              </w:rPr>
            </w:pPr>
            <w:r>
              <w:rPr>
                <w:rFonts w:ascii="Arial" w:hAnsi="Arial" w:cs="Arial"/>
                <w:sz w:val="16"/>
                <w:szCs w:val="16"/>
              </w:rPr>
              <w:t>P802.11ae does not change medium access rules for buffered MMPDUs.</w:t>
            </w:r>
          </w:p>
        </w:tc>
      </w:tr>
    </w:tbl>
    <w:p w14:paraId="0F6F04FF" w14:textId="16CFD69F" w:rsidR="0037550E" w:rsidRDefault="0037550E" w:rsidP="0037550E">
      <w:pPr>
        <w:rPr>
          <w:sz w:val="24"/>
        </w:rPr>
      </w:pPr>
      <w:r>
        <w:rPr>
          <w:sz w:val="24"/>
        </w:rPr>
        <w:t xml:space="preserve">CID 3119 – See resolution. </w:t>
      </w:r>
    </w:p>
    <w:p w14:paraId="767E7C3F" w14:textId="77777777" w:rsidR="0037550E" w:rsidRPr="0037550E" w:rsidRDefault="0037550E" w:rsidP="0037550E">
      <w:pPr>
        <w:rPr>
          <w:sz w:val="24"/>
          <w:lang w:val="en-US"/>
        </w:rPr>
      </w:pPr>
      <w:r>
        <w:rPr>
          <w:sz w:val="24"/>
        </w:rPr>
        <w:t>Mark Rison’s comment “</w:t>
      </w:r>
      <w:r w:rsidRPr="0037550E">
        <w:rPr>
          <w:sz w:val="24"/>
          <w:lang w:val="en-US"/>
        </w:rPr>
        <w:t>For 3319, I think that for consistency with the row above it should be</w:t>
      </w:r>
    </w:p>
    <w:p w14:paraId="6D718015" w14:textId="77777777" w:rsidR="0037550E" w:rsidRPr="0037550E" w:rsidRDefault="0037550E" w:rsidP="0037550E">
      <w:pPr>
        <w:rPr>
          <w:sz w:val="24"/>
          <w:lang w:val="en-US"/>
        </w:rPr>
      </w:pPr>
      <w:r w:rsidRPr="0037550E">
        <w:rPr>
          <w:sz w:val="24"/>
          <w:lang w:val="en-US"/>
        </w:rPr>
        <w:t>"Power save mode or PS".  However I've spotted a wrinkle, which is</w:t>
      </w:r>
    </w:p>
    <w:p w14:paraId="364BA7EE" w14:textId="77777777" w:rsidR="0037550E" w:rsidRPr="0037550E" w:rsidRDefault="0037550E" w:rsidP="0037550E">
      <w:pPr>
        <w:rPr>
          <w:sz w:val="24"/>
          <w:lang w:val="en-US"/>
        </w:rPr>
      </w:pPr>
      <w:r w:rsidRPr="0037550E">
        <w:rPr>
          <w:sz w:val="24"/>
          <w:lang w:val="en-US"/>
        </w:rPr>
        <w:t>that "active mode" is defined at 24.34 only as a mesh power mode...</w:t>
      </w:r>
    </w:p>
    <w:p w14:paraId="0F762A82" w14:textId="77777777" w:rsidR="0037550E" w:rsidRPr="0037550E" w:rsidRDefault="0037550E" w:rsidP="0037550E">
      <w:pPr>
        <w:rPr>
          <w:sz w:val="24"/>
          <w:lang w:val="en-US"/>
        </w:rPr>
      </w:pPr>
      <w:r w:rsidRPr="0037550E">
        <w:rPr>
          <w:sz w:val="24"/>
          <w:lang w:val="en-US"/>
        </w:rPr>
        <w:t>Note also that the capitalisation of "Active mode" is inconsistent</w:t>
      </w:r>
    </w:p>
    <w:p w14:paraId="00D8C37A" w14:textId="1D9DA741" w:rsidR="0037550E" w:rsidRDefault="0037550E" w:rsidP="0037550E">
      <w:pPr>
        <w:rPr>
          <w:sz w:val="24"/>
          <w:lang w:val="en-US"/>
        </w:rPr>
      </w:pPr>
      <w:r w:rsidRPr="0037550E">
        <w:rPr>
          <w:sz w:val="24"/>
          <w:lang w:val="en-US"/>
        </w:rPr>
        <w:t>(I can't remember what is the preferred style -- Adrian would).</w:t>
      </w:r>
      <w:r>
        <w:rPr>
          <w:sz w:val="24"/>
          <w:lang w:val="en-US"/>
        </w:rPr>
        <w:t>”</w:t>
      </w:r>
    </w:p>
    <w:p w14:paraId="442636C3" w14:textId="77777777" w:rsidR="0037550E" w:rsidRDefault="0037550E" w:rsidP="0037550E">
      <w:pPr>
        <w:rPr>
          <w:sz w:val="24"/>
          <w:lang w:val="en-US"/>
        </w:rPr>
      </w:pPr>
    </w:p>
    <w:p w14:paraId="0E1BE4FE" w14:textId="2B0EE7A2" w:rsidR="0037550E" w:rsidRDefault="0037550E" w:rsidP="0037550E">
      <w:pPr>
        <w:rPr>
          <w:sz w:val="24"/>
        </w:rPr>
      </w:pPr>
      <w:r>
        <w:rPr>
          <w:sz w:val="24"/>
        </w:rPr>
        <w:t xml:space="preserve">CID 3120 – See resolution. </w:t>
      </w:r>
    </w:p>
    <w:p w14:paraId="01D2567A" w14:textId="77777777" w:rsidR="0037550E" w:rsidRPr="0037550E" w:rsidRDefault="0037550E" w:rsidP="0037550E">
      <w:pPr>
        <w:rPr>
          <w:sz w:val="24"/>
          <w:lang w:val="en-US"/>
        </w:rPr>
      </w:pPr>
      <w:r>
        <w:rPr>
          <w:sz w:val="24"/>
        </w:rPr>
        <w:t>Mark Rison’s comment “</w:t>
      </w:r>
      <w:r w:rsidRPr="0037550E">
        <w:rPr>
          <w:sz w:val="24"/>
          <w:lang w:val="en-US"/>
        </w:rPr>
        <w:t>For 3120, there is a difference between bufferable MMPDUs and</w:t>
      </w:r>
    </w:p>
    <w:p w14:paraId="7D4C397E" w14:textId="77777777" w:rsidR="0037550E" w:rsidRPr="0037550E" w:rsidRDefault="0037550E" w:rsidP="0037550E">
      <w:pPr>
        <w:rPr>
          <w:sz w:val="24"/>
          <w:lang w:val="en-US"/>
        </w:rPr>
      </w:pPr>
      <w:r w:rsidRPr="0037550E">
        <w:rPr>
          <w:sz w:val="24"/>
          <w:lang w:val="en-US"/>
        </w:rPr>
        <w:t>buffered MMPDUs, I think.  The NOTE might be better with "bufferable"</w:t>
      </w:r>
    </w:p>
    <w:p w14:paraId="7046994C" w14:textId="77777777" w:rsidR="0037550E" w:rsidRPr="0037550E" w:rsidRDefault="0037550E" w:rsidP="0037550E">
      <w:pPr>
        <w:rPr>
          <w:sz w:val="24"/>
          <w:lang w:val="en-US"/>
        </w:rPr>
      </w:pPr>
      <w:r w:rsidRPr="0037550E">
        <w:rPr>
          <w:sz w:val="24"/>
          <w:lang w:val="en-US"/>
        </w:rPr>
        <w:t>changed to "buffered", with the second sentence deleted.  But where</w:t>
      </w:r>
    </w:p>
    <w:p w14:paraId="5F73F98F" w14:textId="77777777" w:rsidR="0037550E" w:rsidRPr="0037550E" w:rsidRDefault="0037550E" w:rsidP="0037550E">
      <w:pPr>
        <w:rPr>
          <w:sz w:val="24"/>
          <w:lang w:val="en-US"/>
        </w:rPr>
      </w:pPr>
      <w:r w:rsidRPr="0037550E">
        <w:rPr>
          <w:sz w:val="24"/>
          <w:lang w:val="en-US"/>
        </w:rPr>
        <w:t>actually is the normative statement of the use of AC_VO for buffered</w:t>
      </w:r>
    </w:p>
    <w:p w14:paraId="090FC1FE" w14:textId="44A984FE" w:rsidR="0037550E" w:rsidRDefault="0037550E" w:rsidP="0037550E">
      <w:pPr>
        <w:rPr>
          <w:sz w:val="24"/>
        </w:rPr>
      </w:pPr>
      <w:r w:rsidRPr="0037550E">
        <w:rPr>
          <w:sz w:val="24"/>
          <w:lang w:val="en-US"/>
        </w:rPr>
        <w:t>MMPDUs?  Should this not be a NOTE at all (i.e. should it be normative)?</w:t>
      </w:r>
      <w:r>
        <w:rPr>
          <w:sz w:val="24"/>
          <w:lang w:val="en-US"/>
        </w:rPr>
        <w:t>”</w:t>
      </w:r>
    </w:p>
    <w:p w14:paraId="4CF42236" w14:textId="77777777" w:rsidR="0048279C" w:rsidRDefault="0048279C" w:rsidP="00C41C2A">
      <w:pPr>
        <w:pStyle w:val="Heading3"/>
      </w:pPr>
    </w:p>
    <w:p w14:paraId="4CD14A55" w14:textId="77777777" w:rsidR="0048279C" w:rsidRDefault="0048279C" w:rsidP="00C41C2A">
      <w:pPr>
        <w:pStyle w:val="Heading3"/>
      </w:pPr>
    </w:p>
    <w:p w14:paraId="141D7B1E" w14:textId="77777777" w:rsidR="0048279C" w:rsidRDefault="0048279C" w:rsidP="00C41C2A">
      <w:pPr>
        <w:pStyle w:val="Heading3"/>
      </w:pPr>
    </w:p>
    <w:p w14:paraId="4A08F860" w14:textId="77777777" w:rsidR="0048279C" w:rsidRDefault="0048279C" w:rsidP="00C41C2A">
      <w:pPr>
        <w:pStyle w:val="Heading3"/>
      </w:pPr>
    </w:p>
    <w:p w14:paraId="3DD40AAC" w14:textId="4BA148D9" w:rsidR="008A13D8" w:rsidRDefault="008A13D8">
      <w:pPr>
        <w:rPr>
          <w:rFonts w:ascii="Arial" w:hAnsi="Arial"/>
          <w:b/>
          <w:sz w:val="24"/>
        </w:rPr>
      </w:pPr>
    </w:p>
    <w:p w14:paraId="057491D7" w14:textId="77777777" w:rsidR="0037550E" w:rsidRDefault="0037550E">
      <w:pPr>
        <w:rPr>
          <w:rFonts w:ascii="Arial" w:hAnsi="Arial"/>
          <w:b/>
          <w:sz w:val="32"/>
          <w:u w:val="single"/>
        </w:rPr>
      </w:pPr>
    </w:p>
    <w:p w14:paraId="2437E9F5" w14:textId="22EECA4F" w:rsidR="00C41C2A" w:rsidRDefault="00C41C2A" w:rsidP="00C41C2A">
      <w:pPr>
        <w:pStyle w:val="Heading1"/>
      </w:pPr>
      <w:r>
        <w:t>TXOP</w:t>
      </w:r>
    </w:p>
    <w:p w14:paraId="10171361" w14:textId="77777777" w:rsidR="00C41C2A" w:rsidRDefault="00C41C2A" w:rsidP="00C41C2A">
      <w:pPr>
        <w:rPr>
          <w:sz w:val="24"/>
        </w:rPr>
      </w:pPr>
    </w:p>
    <w:p w14:paraId="1A935D54" w14:textId="77777777" w:rsidR="0048279C" w:rsidRDefault="0048279C" w:rsidP="00C41C2A">
      <w:pPr>
        <w:rPr>
          <w:sz w:val="24"/>
        </w:rPr>
      </w:pPr>
    </w:p>
    <w:tbl>
      <w:tblPr>
        <w:tblStyle w:val="TableGrid"/>
        <w:tblpPr w:leftFromText="180" w:rightFromText="180" w:vertAnchor="text" w:horzAnchor="page" w:tblpX="1090" w:tblpY="105"/>
        <w:tblW w:w="5312" w:type="pct"/>
        <w:tblLayout w:type="fixed"/>
        <w:tblLook w:val="04A0" w:firstRow="1" w:lastRow="0" w:firstColumn="1" w:lastColumn="0" w:noHBand="0" w:noVBand="1"/>
      </w:tblPr>
      <w:tblGrid>
        <w:gridCol w:w="712"/>
        <w:gridCol w:w="1146"/>
        <w:gridCol w:w="802"/>
        <w:gridCol w:w="851"/>
        <w:gridCol w:w="2126"/>
        <w:gridCol w:w="2126"/>
        <w:gridCol w:w="2411"/>
      </w:tblGrid>
      <w:tr w:rsidR="0048279C" w:rsidRPr="00091AA5" w14:paraId="11FF36FE" w14:textId="77777777" w:rsidTr="0048279C">
        <w:trPr>
          <w:trHeight w:val="1920"/>
        </w:trPr>
        <w:tc>
          <w:tcPr>
            <w:tcW w:w="350" w:type="pct"/>
            <w:hideMark/>
          </w:tcPr>
          <w:p w14:paraId="4289957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3018</w:t>
            </w:r>
          </w:p>
        </w:tc>
        <w:tc>
          <w:tcPr>
            <w:tcW w:w="563" w:type="pct"/>
            <w:hideMark/>
          </w:tcPr>
          <w:p w14:paraId="3336F548"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5E6C8DD7"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1274.12</w:t>
            </w:r>
          </w:p>
        </w:tc>
        <w:tc>
          <w:tcPr>
            <w:tcW w:w="418" w:type="pct"/>
            <w:hideMark/>
          </w:tcPr>
          <w:p w14:paraId="058A6446"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9358BE0" w14:textId="77777777" w:rsidR="0048279C" w:rsidRPr="00091AA5" w:rsidRDefault="0048279C" w:rsidP="0048279C">
            <w:pPr>
              <w:rPr>
                <w:rFonts w:ascii="Arial" w:hAnsi="Arial" w:cs="Arial"/>
                <w:sz w:val="16"/>
                <w:szCs w:val="16"/>
              </w:rPr>
            </w:pPr>
            <w:r w:rsidRPr="00091AA5">
              <w:rPr>
                <w:rFonts w:ascii="Arial" w:hAnsi="Arial" w:cs="Arial"/>
                <w:sz w:val="16"/>
                <w:szCs w:val="16"/>
              </w:rPr>
              <w:t>"Mesh STAs should adopt the mandatory PHY rates as the default BSSBasicRateSet" -- What is "adopt"? Which entity "adopts"? How is this adopting any different from obeying the parameters in the MLME-START.request?</w:t>
            </w:r>
          </w:p>
        </w:tc>
        <w:tc>
          <w:tcPr>
            <w:tcW w:w="1045" w:type="pct"/>
            <w:hideMark/>
          </w:tcPr>
          <w:p w14:paraId="0643DDEE" w14:textId="77777777" w:rsidR="0048279C" w:rsidRPr="00091AA5" w:rsidRDefault="0048279C" w:rsidP="0048279C">
            <w:pPr>
              <w:rPr>
                <w:rFonts w:ascii="Arial" w:hAnsi="Arial" w:cs="Arial"/>
                <w:sz w:val="16"/>
                <w:szCs w:val="16"/>
              </w:rPr>
            </w:pPr>
            <w:r w:rsidRPr="00091AA5">
              <w:rPr>
                <w:rFonts w:ascii="Arial" w:hAnsi="Arial" w:cs="Arial"/>
                <w:sz w:val="16"/>
                <w:szCs w:val="16"/>
              </w:rPr>
              <w:t>At least specify that the SME of a mesh STA uses the mandatory PHY rates as its BSSBasicRateSet.   Consider moving this requirement to 6.3.11.</w:t>
            </w:r>
          </w:p>
        </w:tc>
        <w:tc>
          <w:tcPr>
            <w:tcW w:w="1185" w:type="pct"/>
          </w:tcPr>
          <w:p w14:paraId="1C13EAA1" w14:textId="77777777" w:rsidR="0048279C" w:rsidRDefault="00F63936" w:rsidP="0048279C">
            <w:pPr>
              <w:rPr>
                <w:rFonts w:ascii="Arial" w:hAnsi="Arial" w:cs="Arial"/>
                <w:sz w:val="16"/>
                <w:szCs w:val="16"/>
              </w:rPr>
            </w:pPr>
            <w:r>
              <w:rPr>
                <w:rFonts w:ascii="Arial" w:hAnsi="Arial" w:cs="Arial"/>
                <w:sz w:val="16"/>
                <w:szCs w:val="16"/>
              </w:rPr>
              <w:t>Revised:</w:t>
            </w:r>
          </w:p>
          <w:p w14:paraId="3580FC89" w14:textId="77777777" w:rsidR="00F63936" w:rsidRPr="00F63936" w:rsidRDefault="00F63936" w:rsidP="00F63936">
            <w:pPr>
              <w:rPr>
                <w:rFonts w:ascii="Arial" w:hAnsi="Arial" w:cs="Arial"/>
                <w:sz w:val="16"/>
                <w:szCs w:val="16"/>
                <w:lang w:val="en-US"/>
              </w:rPr>
            </w:pPr>
            <w:r>
              <w:rPr>
                <w:rFonts w:ascii="Arial" w:hAnsi="Arial" w:cs="Arial"/>
                <w:sz w:val="16"/>
                <w:szCs w:val="16"/>
              </w:rPr>
              <w:t>Change “</w:t>
            </w:r>
            <w:r w:rsidRPr="00F63936">
              <w:rPr>
                <w:rFonts w:ascii="Arial" w:hAnsi="Arial" w:cs="Arial"/>
                <w:sz w:val="16"/>
                <w:szCs w:val="16"/>
                <w:lang w:val="en-US"/>
              </w:rPr>
              <w:t xml:space="preserve"> Mesh STAs should adopt the mandatory PHY rates as the default BSSBasicRateSet to reduce the risk that a</w:t>
            </w:r>
          </w:p>
          <w:p w14:paraId="58506643" w14:textId="77777777" w:rsidR="00F63936" w:rsidRDefault="00F63936" w:rsidP="00F63936">
            <w:pPr>
              <w:rPr>
                <w:rFonts w:ascii="Arial" w:hAnsi="Arial" w:cs="Arial"/>
                <w:sz w:val="16"/>
                <w:szCs w:val="16"/>
                <w:lang w:val="en-US"/>
              </w:rPr>
            </w:pP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p w14:paraId="1EF3345D" w14:textId="77777777" w:rsidR="00F63936" w:rsidRDefault="00F63936" w:rsidP="00F63936">
            <w:pPr>
              <w:rPr>
                <w:rFonts w:ascii="Arial" w:hAnsi="Arial" w:cs="Arial"/>
                <w:sz w:val="16"/>
                <w:szCs w:val="16"/>
                <w:lang w:val="en-US"/>
              </w:rPr>
            </w:pPr>
            <w:r>
              <w:rPr>
                <w:rFonts w:ascii="Arial" w:hAnsi="Arial" w:cs="Arial"/>
                <w:sz w:val="16"/>
                <w:szCs w:val="16"/>
                <w:lang w:val="en-US"/>
              </w:rPr>
              <w:t xml:space="preserve"> </w:t>
            </w:r>
          </w:p>
          <w:p w14:paraId="732C95F2" w14:textId="06645F65" w:rsidR="00F63936" w:rsidRDefault="00F63936" w:rsidP="00F63936">
            <w:pPr>
              <w:rPr>
                <w:rFonts w:ascii="Arial" w:hAnsi="Arial" w:cs="Arial"/>
                <w:sz w:val="16"/>
                <w:szCs w:val="16"/>
                <w:lang w:val="en-US"/>
              </w:rPr>
            </w:pPr>
            <w:r>
              <w:rPr>
                <w:rFonts w:ascii="Arial" w:hAnsi="Arial" w:cs="Arial"/>
                <w:sz w:val="16"/>
                <w:szCs w:val="16"/>
                <w:lang w:val="en-US"/>
              </w:rPr>
              <w:t>To</w:t>
            </w:r>
          </w:p>
          <w:p w14:paraId="74A5A6DC" w14:textId="1C097072" w:rsidR="00F63936" w:rsidRPr="00F63936" w:rsidRDefault="00F63936" w:rsidP="00F63936">
            <w:pPr>
              <w:rPr>
                <w:rFonts w:ascii="Arial" w:hAnsi="Arial" w:cs="Arial"/>
                <w:sz w:val="16"/>
                <w:szCs w:val="16"/>
                <w:lang w:val="en-US"/>
              </w:rPr>
            </w:pPr>
            <w:r>
              <w:rPr>
                <w:rFonts w:ascii="Arial" w:hAnsi="Arial" w:cs="Arial"/>
                <w:sz w:val="16"/>
                <w:szCs w:val="16"/>
                <w:lang w:val="en-US"/>
              </w:rPr>
              <w:t>“</w:t>
            </w:r>
            <w:r w:rsidRPr="00F63936">
              <w:rPr>
                <w:rFonts w:ascii="Arial" w:hAnsi="Arial" w:cs="Arial"/>
                <w:sz w:val="16"/>
                <w:szCs w:val="16"/>
                <w:lang w:val="en-US"/>
              </w:rPr>
              <w:t xml:space="preserve"> </w:t>
            </w:r>
            <w:r>
              <w:rPr>
                <w:rFonts w:ascii="Arial" w:hAnsi="Arial" w:cs="Arial"/>
                <w:sz w:val="16"/>
                <w:szCs w:val="16"/>
                <w:lang w:val="en-US"/>
              </w:rPr>
              <w:t>The SME of a Mesh STAs should use the mandatory PHY rates</w:t>
            </w:r>
            <w:r w:rsidRPr="00F63936">
              <w:rPr>
                <w:rFonts w:ascii="Arial" w:hAnsi="Arial" w:cs="Arial"/>
                <w:sz w:val="16"/>
                <w:szCs w:val="16"/>
                <w:lang w:val="en-US"/>
              </w:rPr>
              <w:t xml:space="preserve"> as the default BSSBasicRateSet </w:t>
            </w:r>
            <w:r>
              <w:rPr>
                <w:rFonts w:ascii="Arial" w:hAnsi="Arial" w:cs="Arial"/>
                <w:sz w:val="16"/>
                <w:szCs w:val="16"/>
                <w:lang w:val="en-US"/>
              </w:rPr>
              <w:t xml:space="preserve">in the MLME-START.request primitive </w:t>
            </w:r>
            <w:r w:rsidRPr="00F63936">
              <w:rPr>
                <w:rFonts w:ascii="Arial" w:hAnsi="Arial" w:cs="Arial"/>
                <w:sz w:val="16"/>
                <w:szCs w:val="16"/>
                <w:lang w:val="en-US"/>
              </w:rPr>
              <w:t>to reduce the risk that a</w:t>
            </w:r>
            <w:r>
              <w:rPr>
                <w:rFonts w:ascii="Arial" w:hAnsi="Arial" w:cs="Arial"/>
                <w:sz w:val="16"/>
                <w:szCs w:val="16"/>
                <w:lang w:val="en-US"/>
              </w:rPr>
              <w:t xml:space="preserve"> </w:t>
            </w:r>
            <w:r w:rsidRPr="00F63936">
              <w:rPr>
                <w:rFonts w:ascii="Arial" w:hAnsi="Arial" w:cs="Arial"/>
                <w:sz w:val="16"/>
                <w:szCs w:val="16"/>
                <w:lang w:val="en-US"/>
              </w:rPr>
              <w:t>candidate peer mesh STA utilizes a different BSSBasicRateSet.</w:t>
            </w:r>
            <w:r>
              <w:rPr>
                <w:rFonts w:ascii="Arial" w:hAnsi="Arial" w:cs="Arial"/>
                <w:sz w:val="16"/>
                <w:szCs w:val="16"/>
                <w:lang w:val="en-US"/>
              </w:rPr>
              <w:t>”</w:t>
            </w:r>
          </w:p>
        </w:tc>
      </w:tr>
      <w:tr w:rsidR="0048279C" w:rsidRPr="00091AA5" w14:paraId="75A33862" w14:textId="77777777" w:rsidTr="0048279C">
        <w:trPr>
          <w:trHeight w:val="2160"/>
        </w:trPr>
        <w:tc>
          <w:tcPr>
            <w:tcW w:w="350" w:type="pct"/>
            <w:hideMark/>
          </w:tcPr>
          <w:p w14:paraId="06ED6580" w14:textId="10814DAB" w:rsidR="0048279C" w:rsidRPr="00091AA5" w:rsidRDefault="0048279C" w:rsidP="0048279C">
            <w:pPr>
              <w:jc w:val="right"/>
              <w:rPr>
                <w:rFonts w:ascii="Arial" w:hAnsi="Arial" w:cs="Arial"/>
                <w:sz w:val="16"/>
                <w:szCs w:val="16"/>
              </w:rPr>
            </w:pPr>
            <w:r w:rsidRPr="00091AA5">
              <w:rPr>
                <w:rFonts w:ascii="Arial" w:hAnsi="Arial" w:cs="Arial"/>
                <w:sz w:val="16"/>
                <w:szCs w:val="16"/>
              </w:rPr>
              <w:t>3019</w:t>
            </w:r>
          </w:p>
        </w:tc>
        <w:tc>
          <w:tcPr>
            <w:tcW w:w="563" w:type="pct"/>
            <w:hideMark/>
          </w:tcPr>
          <w:p w14:paraId="5C5B8DF4"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3F61BB28"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1274.19</w:t>
            </w:r>
          </w:p>
        </w:tc>
        <w:tc>
          <w:tcPr>
            <w:tcW w:w="418" w:type="pct"/>
            <w:hideMark/>
          </w:tcPr>
          <w:p w14:paraId="2355CE7E" w14:textId="77777777" w:rsidR="0048279C" w:rsidRPr="00091AA5" w:rsidRDefault="0048279C" w:rsidP="0048279C">
            <w:pPr>
              <w:rPr>
                <w:rFonts w:ascii="Arial" w:hAnsi="Arial" w:cs="Arial"/>
                <w:sz w:val="16"/>
                <w:szCs w:val="16"/>
              </w:rPr>
            </w:pPr>
            <w:r w:rsidRPr="00091AA5">
              <w:rPr>
                <w:rFonts w:ascii="Arial" w:hAnsi="Arial" w:cs="Arial"/>
                <w:sz w:val="16"/>
                <w:szCs w:val="16"/>
              </w:rPr>
              <w:t>9.7.4</w:t>
            </w:r>
          </w:p>
        </w:tc>
        <w:tc>
          <w:tcPr>
            <w:tcW w:w="1045" w:type="pct"/>
            <w:hideMark/>
          </w:tcPr>
          <w:p w14:paraId="2DDF6CE6" w14:textId="77777777" w:rsidR="0048279C" w:rsidRPr="00091AA5" w:rsidRDefault="0048279C" w:rsidP="0048279C">
            <w:pPr>
              <w:rPr>
                <w:rFonts w:ascii="Arial" w:hAnsi="Arial" w:cs="Arial"/>
                <w:sz w:val="16"/>
                <w:szCs w:val="16"/>
              </w:rPr>
            </w:pPr>
            <w:r w:rsidRPr="00091AA5">
              <w:rPr>
                <w:rFonts w:ascii="Arial" w:hAnsi="Arial" w:cs="Arial"/>
                <w:sz w:val="16"/>
                <w:szCs w:val="16"/>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F618513" w14:textId="77777777" w:rsidR="0048279C" w:rsidRPr="00091AA5" w:rsidRDefault="0048279C" w:rsidP="0048279C">
            <w:pPr>
              <w:rPr>
                <w:rFonts w:ascii="Arial" w:hAnsi="Arial" w:cs="Arial"/>
                <w:sz w:val="16"/>
                <w:szCs w:val="16"/>
              </w:rPr>
            </w:pPr>
            <w:r w:rsidRPr="00091AA5">
              <w:rPr>
                <w:rFonts w:ascii="Arial" w:hAnsi="Arial" w:cs="Arial"/>
                <w:sz w:val="16"/>
                <w:szCs w:val="16"/>
              </w:rPr>
              <w:t>Remove ", or BSSBasicMCSSet," from the cited location.</w:t>
            </w:r>
          </w:p>
        </w:tc>
        <w:tc>
          <w:tcPr>
            <w:tcW w:w="1185" w:type="pct"/>
          </w:tcPr>
          <w:p w14:paraId="0B3B1BB9" w14:textId="312B8EB2" w:rsidR="0048279C" w:rsidRPr="00091AA5" w:rsidRDefault="00F63936" w:rsidP="0048279C">
            <w:pPr>
              <w:rPr>
                <w:rFonts w:ascii="Arial" w:hAnsi="Arial" w:cs="Arial"/>
                <w:sz w:val="16"/>
                <w:szCs w:val="16"/>
              </w:rPr>
            </w:pPr>
            <w:r>
              <w:rPr>
                <w:rFonts w:ascii="Arial" w:hAnsi="Arial" w:cs="Arial"/>
                <w:sz w:val="16"/>
                <w:szCs w:val="16"/>
              </w:rPr>
              <w:t>Accept.</w:t>
            </w:r>
          </w:p>
        </w:tc>
      </w:tr>
      <w:tr w:rsidR="0048279C" w:rsidRPr="00091AA5" w14:paraId="5E6446E3" w14:textId="77777777" w:rsidTr="0048279C">
        <w:trPr>
          <w:trHeight w:val="1680"/>
        </w:trPr>
        <w:tc>
          <w:tcPr>
            <w:tcW w:w="350" w:type="pct"/>
            <w:hideMark/>
          </w:tcPr>
          <w:p w14:paraId="11B6FFF1"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3042</w:t>
            </w:r>
          </w:p>
        </w:tc>
        <w:tc>
          <w:tcPr>
            <w:tcW w:w="563" w:type="pct"/>
            <w:hideMark/>
          </w:tcPr>
          <w:p w14:paraId="3485693D" w14:textId="77777777" w:rsidR="0048279C" w:rsidRPr="00091AA5" w:rsidRDefault="0048279C" w:rsidP="0048279C">
            <w:pPr>
              <w:rPr>
                <w:rFonts w:ascii="Arial" w:hAnsi="Arial" w:cs="Arial"/>
                <w:sz w:val="16"/>
                <w:szCs w:val="16"/>
              </w:rPr>
            </w:pPr>
            <w:r w:rsidRPr="00091AA5">
              <w:rPr>
                <w:rFonts w:ascii="Arial" w:hAnsi="Arial" w:cs="Arial"/>
                <w:sz w:val="16"/>
                <w:szCs w:val="16"/>
              </w:rPr>
              <w:t>Adrian Stephens</w:t>
            </w:r>
          </w:p>
        </w:tc>
        <w:tc>
          <w:tcPr>
            <w:tcW w:w="394" w:type="pct"/>
            <w:hideMark/>
          </w:tcPr>
          <w:p w14:paraId="7D2314D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2057.48</w:t>
            </w:r>
          </w:p>
        </w:tc>
        <w:tc>
          <w:tcPr>
            <w:tcW w:w="418" w:type="pct"/>
            <w:hideMark/>
          </w:tcPr>
          <w:p w14:paraId="45E3411D" w14:textId="77777777" w:rsidR="0048279C" w:rsidRPr="00091AA5" w:rsidRDefault="0048279C" w:rsidP="0048279C">
            <w:pPr>
              <w:rPr>
                <w:rFonts w:ascii="Arial" w:hAnsi="Arial" w:cs="Arial"/>
                <w:sz w:val="16"/>
                <w:szCs w:val="16"/>
              </w:rPr>
            </w:pPr>
            <w:r w:rsidRPr="00091AA5">
              <w:rPr>
                <w:rFonts w:ascii="Arial" w:hAnsi="Arial" w:cs="Arial"/>
                <w:sz w:val="16"/>
                <w:szCs w:val="16"/>
              </w:rPr>
              <w:t>13.2.4</w:t>
            </w:r>
          </w:p>
        </w:tc>
        <w:tc>
          <w:tcPr>
            <w:tcW w:w="1045" w:type="pct"/>
            <w:hideMark/>
          </w:tcPr>
          <w:p w14:paraId="3A45DA9D" w14:textId="77777777" w:rsidR="0048279C" w:rsidRPr="00091AA5" w:rsidRDefault="0048279C" w:rsidP="0048279C">
            <w:pPr>
              <w:rPr>
                <w:rFonts w:ascii="Arial" w:hAnsi="Arial" w:cs="Arial"/>
                <w:sz w:val="16"/>
                <w:szCs w:val="16"/>
              </w:rPr>
            </w:pPr>
            <w:r w:rsidRPr="00091AA5">
              <w:rPr>
                <w:rFonts w:ascii="Arial" w:hAnsi="Arial" w:cs="Arial"/>
                <w:sz w:val="16"/>
                <w:szCs w:val="16"/>
              </w:rPr>
              <w:t>"For HT mesh STAs, the Basic MCS Set field of the HT Operation parameter of the MLMESTART.request are identical." -- the value of a parameter in a SAP is not observable to its peer STA.</w:t>
            </w:r>
          </w:p>
        </w:tc>
        <w:tc>
          <w:tcPr>
            <w:tcW w:w="1045" w:type="pct"/>
            <w:hideMark/>
          </w:tcPr>
          <w:p w14:paraId="24E09426" w14:textId="77777777" w:rsidR="0048279C" w:rsidRPr="00091AA5" w:rsidRDefault="0048279C" w:rsidP="0048279C">
            <w:pPr>
              <w:rPr>
                <w:rFonts w:ascii="Arial" w:hAnsi="Arial" w:cs="Arial"/>
                <w:sz w:val="16"/>
                <w:szCs w:val="16"/>
              </w:rPr>
            </w:pPr>
            <w:r w:rsidRPr="00091AA5">
              <w:rPr>
                <w:rFonts w:ascii="Arial" w:hAnsi="Arial" w:cs="Arial"/>
                <w:sz w:val="16"/>
                <w:szCs w:val="16"/>
              </w:rPr>
              <w:t>Relate to OTA signalling.</w:t>
            </w:r>
          </w:p>
        </w:tc>
        <w:tc>
          <w:tcPr>
            <w:tcW w:w="1185" w:type="pct"/>
          </w:tcPr>
          <w:p w14:paraId="56A04AD9" w14:textId="77777777" w:rsidR="0048279C" w:rsidRPr="00091AA5" w:rsidRDefault="0048279C" w:rsidP="0048279C">
            <w:pPr>
              <w:rPr>
                <w:rFonts w:ascii="Arial" w:hAnsi="Arial" w:cs="Arial"/>
                <w:sz w:val="16"/>
                <w:szCs w:val="16"/>
              </w:rPr>
            </w:pPr>
          </w:p>
        </w:tc>
      </w:tr>
      <w:tr w:rsidR="0048279C" w:rsidRPr="00091AA5" w14:paraId="1E3171F7" w14:textId="77777777" w:rsidTr="0048279C">
        <w:trPr>
          <w:trHeight w:val="3120"/>
        </w:trPr>
        <w:tc>
          <w:tcPr>
            <w:tcW w:w="350" w:type="pct"/>
            <w:hideMark/>
          </w:tcPr>
          <w:p w14:paraId="48006D6C"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3142</w:t>
            </w:r>
          </w:p>
        </w:tc>
        <w:tc>
          <w:tcPr>
            <w:tcW w:w="563" w:type="pct"/>
            <w:hideMark/>
          </w:tcPr>
          <w:p w14:paraId="5372A4D8"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702ADF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606.27</w:t>
            </w:r>
          </w:p>
        </w:tc>
        <w:tc>
          <w:tcPr>
            <w:tcW w:w="418" w:type="pct"/>
            <w:hideMark/>
          </w:tcPr>
          <w:p w14:paraId="37D822BF" w14:textId="77777777" w:rsidR="0048279C" w:rsidRPr="00091AA5" w:rsidRDefault="0048279C" w:rsidP="0048279C">
            <w:pPr>
              <w:rPr>
                <w:rFonts w:ascii="Arial" w:hAnsi="Arial" w:cs="Arial"/>
                <w:sz w:val="16"/>
                <w:szCs w:val="16"/>
              </w:rPr>
            </w:pPr>
            <w:r w:rsidRPr="00091AA5">
              <w:rPr>
                <w:rFonts w:ascii="Arial" w:hAnsi="Arial" w:cs="Arial"/>
                <w:sz w:val="16"/>
                <w:szCs w:val="16"/>
              </w:rPr>
              <w:t>8.3.2.1</w:t>
            </w:r>
          </w:p>
        </w:tc>
        <w:tc>
          <w:tcPr>
            <w:tcW w:w="1045" w:type="pct"/>
            <w:hideMark/>
          </w:tcPr>
          <w:p w14:paraId="79B9D59F" w14:textId="77777777" w:rsidR="0048279C" w:rsidRPr="00091AA5" w:rsidRDefault="0048279C" w:rsidP="0048279C">
            <w:pPr>
              <w:rPr>
                <w:rFonts w:ascii="Arial" w:hAnsi="Arial" w:cs="Arial"/>
                <w:sz w:val="16"/>
                <w:szCs w:val="16"/>
              </w:rPr>
            </w:pPr>
            <w:r w:rsidRPr="00091AA5">
              <w:rPr>
                <w:rFonts w:ascii="Arial" w:hAnsi="Arial" w:cs="Arial"/>
                <w:sz w:val="16"/>
                <w:szCs w:val="16"/>
              </w:rPr>
              <w:t>Table 8-34 is not applicable to Mesh Data frames. Table 9-17 (Valid address field usage for Mesh Data and Multihop Action frames) is applied.</w:t>
            </w:r>
          </w:p>
        </w:tc>
        <w:tc>
          <w:tcPr>
            <w:tcW w:w="1045" w:type="pct"/>
            <w:hideMark/>
          </w:tcPr>
          <w:p w14:paraId="6945259A"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2nd sentence of the 4th paragraph of 8.3.2.1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the address fields is defined in Table  9-17 (Valid address field usage for Mesh Data and Multihop Action frames) for Mesh Data frames and in Table 8-34 (Address field contents) otherwise.</w:t>
            </w:r>
          </w:p>
        </w:tc>
        <w:tc>
          <w:tcPr>
            <w:tcW w:w="1185" w:type="pct"/>
          </w:tcPr>
          <w:p w14:paraId="1CC07411" w14:textId="77777777" w:rsidR="0048279C" w:rsidRPr="00091AA5" w:rsidRDefault="0048279C" w:rsidP="0048279C">
            <w:pPr>
              <w:rPr>
                <w:rFonts w:ascii="Arial" w:hAnsi="Arial" w:cs="Arial"/>
                <w:sz w:val="16"/>
                <w:szCs w:val="16"/>
              </w:rPr>
            </w:pPr>
          </w:p>
        </w:tc>
      </w:tr>
      <w:tr w:rsidR="0048279C" w:rsidRPr="00091AA5" w14:paraId="29266C52" w14:textId="77777777" w:rsidTr="0048279C">
        <w:trPr>
          <w:trHeight w:val="2880"/>
        </w:trPr>
        <w:tc>
          <w:tcPr>
            <w:tcW w:w="350" w:type="pct"/>
            <w:hideMark/>
          </w:tcPr>
          <w:p w14:paraId="69EDD6A3"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3143</w:t>
            </w:r>
          </w:p>
        </w:tc>
        <w:tc>
          <w:tcPr>
            <w:tcW w:w="563" w:type="pct"/>
            <w:hideMark/>
          </w:tcPr>
          <w:p w14:paraId="6450171C" w14:textId="77777777" w:rsidR="0048279C" w:rsidRPr="00091AA5" w:rsidRDefault="0048279C" w:rsidP="0048279C">
            <w:pPr>
              <w:rPr>
                <w:rFonts w:ascii="Arial" w:hAnsi="Arial" w:cs="Arial"/>
                <w:sz w:val="16"/>
                <w:szCs w:val="16"/>
              </w:rPr>
            </w:pPr>
            <w:r w:rsidRPr="00091AA5">
              <w:rPr>
                <w:rFonts w:ascii="Arial" w:hAnsi="Arial" w:cs="Arial"/>
                <w:sz w:val="16"/>
                <w:szCs w:val="16"/>
              </w:rPr>
              <w:t>Mitsuru Iwaoka</w:t>
            </w:r>
          </w:p>
        </w:tc>
        <w:tc>
          <w:tcPr>
            <w:tcW w:w="394" w:type="pct"/>
            <w:hideMark/>
          </w:tcPr>
          <w:p w14:paraId="6F937C96"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611.52</w:t>
            </w:r>
          </w:p>
        </w:tc>
        <w:tc>
          <w:tcPr>
            <w:tcW w:w="418" w:type="pct"/>
            <w:hideMark/>
          </w:tcPr>
          <w:p w14:paraId="081F8A85" w14:textId="77777777" w:rsidR="0048279C" w:rsidRPr="00091AA5" w:rsidRDefault="0048279C" w:rsidP="0048279C">
            <w:pPr>
              <w:rPr>
                <w:rFonts w:ascii="Arial" w:hAnsi="Arial" w:cs="Arial"/>
                <w:sz w:val="16"/>
                <w:szCs w:val="16"/>
              </w:rPr>
            </w:pPr>
            <w:r w:rsidRPr="00091AA5">
              <w:rPr>
                <w:rFonts w:ascii="Arial" w:hAnsi="Arial" w:cs="Arial"/>
                <w:sz w:val="16"/>
                <w:szCs w:val="16"/>
              </w:rPr>
              <w:t>8.3.3.1</w:t>
            </w:r>
          </w:p>
        </w:tc>
        <w:tc>
          <w:tcPr>
            <w:tcW w:w="1045" w:type="pct"/>
            <w:hideMark/>
          </w:tcPr>
          <w:p w14:paraId="3D11C5E4" w14:textId="77777777" w:rsidR="0048279C" w:rsidRPr="00091AA5" w:rsidRDefault="0048279C" w:rsidP="0048279C">
            <w:pPr>
              <w:rPr>
                <w:rFonts w:ascii="Arial" w:hAnsi="Arial" w:cs="Arial"/>
                <w:sz w:val="16"/>
                <w:szCs w:val="16"/>
              </w:rPr>
            </w:pPr>
            <w:r w:rsidRPr="00091AA5">
              <w:rPr>
                <w:rFonts w:ascii="Arial" w:hAnsi="Arial" w:cs="Arial"/>
                <w:sz w:val="16"/>
                <w:szCs w:val="16"/>
              </w:rPr>
              <w:t>The address field usage specified in the subclause 8.3.3.1 is slightly different from Table 9-17 (Valid address field usage for Mesh Data and Multihop Action frames).</w:t>
            </w:r>
          </w:p>
        </w:tc>
        <w:tc>
          <w:tcPr>
            <w:tcW w:w="1045" w:type="pct"/>
            <w:hideMark/>
          </w:tcPr>
          <w:p w14:paraId="6DE190CB" w14:textId="77777777" w:rsidR="0048279C" w:rsidRPr="00091AA5" w:rsidRDefault="0048279C" w:rsidP="0048279C">
            <w:pPr>
              <w:rPr>
                <w:rFonts w:ascii="Arial" w:hAnsi="Arial" w:cs="Arial"/>
                <w:sz w:val="16"/>
                <w:szCs w:val="16"/>
              </w:rPr>
            </w:pPr>
            <w:r w:rsidRPr="00091AA5">
              <w:rPr>
                <w:rFonts w:ascii="Arial" w:hAnsi="Arial" w:cs="Arial"/>
                <w:sz w:val="16"/>
                <w:szCs w:val="16"/>
              </w:rPr>
              <w:t>Modify the 4th paragraph and NOTE 2 (P611L52 to P611L60) as follows;</w:t>
            </w:r>
            <w:r w:rsidRPr="00091AA5">
              <w:rPr>
                <w:rFonts w:ascii="Arial" w:hAnsi="Arial" w:cs="Arial"/>
                <w:sz w:val="16"/>
                <w:szCs w:val="16"/>
              </w:rPr>
              <w:br/>
            </w:r>
            <w:r w:rsidRPr="00091AA5">
              <w:rPr>
                <w:rFonts w:ascii="Arial" w:hAnsi="Arial" w:cs="Arial"/>
                <w:sz w:val="16"/>
                <w:szCs w:val="16"/>
              </w:rPr>
              <w:br/>
              <w:t>---</w:t>
            </w:r>
            <w:r w:rsidRPr="00091AA5">
              <w:rPr>
                <w:rFonts w:ascii="Arial" w:hAnsi="Arial" w:cs="Arial"/>
                <w:sz w:val="16"/>
                <w:szCs w:val="16"/>
              </w:rPr>
              <w:br/>
            </w:r>
            <w:r w:rsidRPr="00091AA5">
              <w:rPr>
                <w:rFonts w:ascii="Arial" w:hAnsi="Arial" w:cs="Arial"/>
                <w:sz w:val="16"/>
                <w:szCs w:val="16"/>
              </w:rPr>
              <w:br/>
              <w:t>The content of address fields for the Multihop Action frame is defined in Table 9-17 (Valid address field usage for Mesh Data and Multihop Action frames).</w:t>
            </w:r>
          </w:p>
        </w:tc>
        <w:tc>
          <w:tcPr>
            <w:tcW w:w="1185" w:type="pct"/>
          </w:tcPr>
          <w:p w14:paraId="017CBB34" w14:textId="77777777" w:rsidR="0048279C" w:rsidRPr="00091AA5" w:rsidRDefault="0048279C" w:rsidP="0048279C">
            <w:pPr>
              <w:rPr>
                <w:rFonts w:ascii="Arial" w:hAnsi="Arial" w:cs="Arial"/>
                <w:sz w:val="16"/>
                <w:szCs w:val="16"/>
              </w:rPr>
            </w:pPr>
          </w:p>
        </w:tc>
      </w:tr>
      <w:tr w:rsidR="0048279C" w:rsidRPr="00091AA5" w14:paraId="4C7C5346" w14:textId="77777777" w:rsidTr="0048279C">
        <w:trPr>
          <w:trHeight w:val="1920"/>
        </w:trPr>
        <w:tc>
          <w:tcPr>
            <w:tcW w:w="350" w:type="pct"/>
            <w:hideMark/>
          </w:tcPr>
          <w:p w14:paraId="421642A2"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3351</w:t>
            </w:r>
          </w:p>
        </w:tc>
        <w:tc>
          <w:tcPr>
            <w:tcW w:w="563" w:type="pct"/>
            <w:hideMark/>
          </w:tcPr>
          <w:p w14:paraId="6B0712B5" w14:textId="77777777" w:rsidR="0048279C" w:rsidRPr="00091AA5" w:rsidRDefault="0048279C" w:rsidP="0048279C">
            <w:pPr>
              <w:rPr>
                <w:rFonts w:ascii="Arial" w:hAnsi="Arial" w:cs="Arial"/>
                <w:sz w:val="16"/>
                <w:szCs w:val="16"/>
              </w:rPr>
            </w:pPr>
            <w:r w:rsidRPr="00091AA5">
              <w:rPr>
                <w:rFonts w:ascii="Arial" w:hAnsi="Arial" w:cs="Arial"/>
                <w:sz w:val="16"/>
                <w:szCs w:val="16"/>
              </w:rPr>
              <w:t>Mark RISON</w:t>
            </w:r>
          </w:p>
        </w:tc>
        <w:tc>
          <w:tcPr>
            <w:tcW w:w="394" w:type="pct"/>
            <w:hideMark/>
          </w:tcPr>
          <w:p w14:paraId="0965A7C9" w14:textId="77777777" w:rsidR="0048279C" w:rsidRPr="00091AA5" w:rsidRDefault="0048279C" w:rsidP="0048279C">
            <w:pPr>
              <w:jc w:val="right"/>
              <w:rPr>
                <w:rFonts w:ascii="Arial" w:hAnsi="Arial" w:cs="Arial"/>
                <w:sz w:val="16"/>
                <w:szCs w:val="16"/>
              </w:rPr>
            </w:pPr>
            <w:r w:rsidRPr="00091AA5">
              <w:rPr>
                <w:rFonts w:ascii="Arial" w:hAnsi="Arial" w:cs="Arial"/>
                <w:sz w:val="16"/>
                <w:szCs w:val="16"/>
              </w:rPr>
              <w:t>1324.17</w:t>
            </w:r>
          </w:p>
        </w:tc>
        <w:tc>
          <w:tcPr>
            <w:tcW w:w="418" w:type="pct"/>
            <w:hideMark/>
          </w:tcPr>
          <w:p w14:paraId="1BE29194" w14:textId="77777777" w:rsidR="0048279C" w:rsidRPr="00091AA5" w:rsidRDefault="0048279C" w:rsidP="0048279C">
            <w:pPr>
              <w:rPr>
                <w:rFonts w:ascii="Arial" w:hAnsi="Arial" w:cs="Arial"/>
                <w:sz w:val="16"/>
                <w:szCs w:val="16"/>
              </w:rPr>
            </w:pPr>
            <w:r w:rsidRPr="00091AA5">
              <w:rPr>
                <w:rFonts w:ascii="Arial" w:hAnsi="Arial" w:cs="Arial"/>
                <w:sz w:val="16"/>
                <w:szCs w:val="16"/>
              </w:rPr>
              <w:t>9.22.3.3</w:t>
            </w:r>
          </w:p>
        </w:tc>
        <w:tc>
          <w:tcPr>
            <w:tcW w:w="1045" w:type="pct"/>
            <w:hideMark/>
          </w:tcPr>
          <w:p w14:paraId="5DF7A026" w14:textId="77777777" w:rsidR="0048279C" w:rsidRPr="00091AA5" w:rsidRDefault="0048279C" w:rsidP="0048279C">
            <w:pPr>
              <w:rPr>
                <w:rFonts w:ascii="Arial" w:hAnsi="Arial" w:cs="Arial"/>
                <w:sz w:val="16"/>
                <w:szCs w:val="16"/>
              </w:rPr>
            </w:pPr>
            <w:r w:rsidRPr="00091AA5">
              <w:rPr>
                <w:rFonts w:ascii="Arial" w:hAnsi="Arial" w:cs="Arial"/>
                <w:sz w:val="16"/>
                <w:szCs w:val="16"/>
              </w:rPr>
              <w:t>Can a transmission extend across TBTT, if CFPs are not being used (and the device is not in a mesh)?  9.22.3.3 suggests no, but this is in a section on HCCA so maybe it doesn't apply to EDCA-only operation?</w:t>
            </w:r>
          </w:p>
        </w:tc>
        <w:tc>
          <w:tcPr>
            <w:tcW w:w="1045" w:type="pct"/>
            <w:hideMark/>
          </w:tcPr>
          <w:p w14:paraId="7FC7B348" w14:textId="77777777" w:rsidR="0048279C" w:rsidRPr="00091AA5" w:rsidRDefault="0048279C" w:rsidP="0048279C">
            <w:pPr>
              <w:rPr>
                <w:rFonts w:ascii="Arial" w:hAnsi="Arial" w:cs="Arial"/>
                <w:sz w:val="16"/>
                <w:szCs w:val="16"/>
              </w:rPr>
            </w:pPr>
            <w:r w:rsidRPr="00091AA5">
              <w:rPr>
                <w:rFonts w:ascii="Arial" w:hAnsi="Arial" w:cs="Arial"/>
                <w:sz w:val="16"/>
                <w:szCs w:val="16"/>
              </w:rPr>
              <w:t>State that transmissions may extend across TBTT in other cases</w:t>
            </w:r>
          </w:p>
        </w:tc>
        <w:tc>
          <w:tcPr>
            <w:tcW w:w="1185" w:type="pct"/>
          </w:tcPr>
          <w:p w14:paraId="2B35DD6C" w14:textId="77777777" w:rsidR="0048279C" w:rsidRPr="00091AA5" w:rsidRDefault="0048279C" w:rsidP="0048279C">
            <w:pPr>
              <w:rPr>
                <w:rFonts w:ascii="Arial" w:hAnsi="Arial" w:cs="Arial"/>
                <w:sz w:val="16"/>
                <w:szCs w:val="16"/>
              </w:rPr>
            </w:pPr>
          </w:p>
        </w:tc>
      </w:tr>
    </w:tbl>
    <w:p w14:paraId="6E67A2B5" w14:textId="77777777" w:rsidR="00A967AF" w:rsidRDefault="00A967AF"/>
    <w:p w14:paraId="18D9F8D6" w14:textId="77777777" w:rsidR="00A967AF" w:rsidRDefault="00A967AF"/>
    <w:p w14:paraId="172E7AE1" w14:textId="77777777" w:rsidR="00A967AF" w:rsidRDefault="00A967AF" w:rsidP="00A967AF">
      <w:r>
        <w:t>CID 3042:</w:t>
      </w:r>
    </w:p>
    <w:p w14:paraId="59D8F985" w14:textId="77777777" w:rsidR="00A967AF" w:rsidRDefault="00A967AF" w:rsidP="00A967AF">
      <w:pPr>
        <w:widowControl w:val="0"/>
        <w:autoSpaceDE w:val="0"/>
        <w:autoSpaceDN w:val="0"/>
        <w:adjustRightInd w:val="0"/>
        <w:rPr>
          <w:sz w:val="20"/>
          <w:szCs w:val="20"/>
          <w:lang w:val="en-US"/>
        </w:rPr>
      </w:pPr>
      <w:r>
        <w:rPr>
          <w:sz w:val="20"/>
          <w:szCs w:val="20"/>
          <w:lang w:val="en-US"/>
        </w:rPr>
        <w:t>After a discussion with Adrian, recommend changing:</w:t>
      </w:r>
    </w:p>
    <w:p w14:paraId="635A8A0C" w14:textId="73E93FA0"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236EC8A6" w14:textId="34558DC4" w:rsidR="00A967AF" w:rsidRDefault="00A967AF" w:rsidP="00A967AF">
      <w:pPr>
        <w:widowControl w:val="0"/>
        <w:autoSpaceDE w:val="0"/>
        <w:autoSpaceDN w:val="0"/>
        <w:adjustRightInd w:val="0"/>
        <w:rPr>
          <w:sz w:val="20"/>
          <w:szCs w:val="20"/>
          <w:lang w:val="en-US"/>
        </w:rPr>
      </w:pPr>
      <w:r>
        <w:rPr>
          <w:sz w:val="20"/>
          <w:szCs w:val="20"/>
          <w:lang w:val="en-US"/>
        </w:rPr>
        <w:t>request are identical.”</w:t>
      </w:r>
    </w:p>
    <w:p w14:paraId="563AD4EF" w14:textId="06DDE328" w:rsidR="00A967AF" w:rsidRDefault="00A967AF" w:rsidP="00A967AF">
      <w:pPr>
        <w:widowControl w:val="0"/>
        <w:autoSpaceDE w:val="0"/>
        <w:autoSpaceDN w:val="0"/>
        <w:adjustRightInd w:val="0"/>
        <w:rPr>
          <w:sz w:val="20"/>
          <w:szCs w:val="20"/>
          <w:lang w:val="en-US"/>
        </w:rPr>
      </w:pPr>
      <w:r>
        <w:rPr>
          <w:sz w:val="20"/>
          <w:szCs w:val="20"/>
          <w:lang w:val="en-US"/>
        </w:rPr>
        <w:t>To</w:t>
      </w:r>
    </w:p>
    <w:p w14:paraId="094091F8" w14:textId="7EA7CD69" w:rsidR="00A967AF" w:rsidRDefault="00A967AF" w:rsidP="00A967AF">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0D2C7C43" w14:textId="41771797" w:rsidR="00A967AF" w:rsidRDefault="00A967AF" w:rsidP="00A967AF">
      <w:pPr>
        <w:widowControl w:val="0"/>
        <w:autoSpaceDE w:val="0"/>
        <w:autoSpaceDN w:val="0"/>
        <w:adjustRightInd w:val="0"/>
        <w:rPr>
          <w:sz w:val="20"/>
          <w:szCs w:val="20"/>
          <w:lang w:val="en-US"/>
        </w:rPr>
      </w:pPr>
      <w:r>
        <w:rPr>
          <w:sz w:val="20"/>
          <w:szCs w:val="20"/>
          <w:lang w:val="en-US"/>
        </w:rPr>
        <w:t xml:space="preserve">request is identical to the HT Operation parameter received in the </w:t>
      </w:r>
      <w:r w:rsidR="00D72DBF" w:rsidRPr="00D72DBF">
        <w:rPr>
          <w:sz w:val="20"/>
          <w:szCs w:val="20"/>
          <w:lang w:val="en-US"/>
        </w:rPr>
        <w:t xml:space="preserve"> MLME-MESHPEERINGMANAGEMENT.indication</w:t>
      </w:r>
      <w:r>
        <w:rPr>
          <w:sz w:val="20"/>
          <w:szCs w:val="20"/>
          <w:lang w:val="en-US"/>
        </w:rPr>
        <w:t>.”</w:t>
      </w:r>
    </w:p>
    <w:p w14:paraId="2A07BFC0" w14:textId="594A5A10" w:rsidR="00A967AF" w:rsidRDefault="00A967AF" w:rsidP="00A967AF">
      <w:pPr>
        <w:widowControl w:val="0"/>
        <w:autoSpaceDE w:val="0"/>
        <w:autoSpaceDN w:val="0"/>
        <w:adjustRightInd w:val="0"/>
        <w:rPr>
          <w:sz w:val="20"/>
          <w:szCs w:val="20"/>
          <w:lang w:val="en-US"/>
        </w:rPr>
      </w:pPr>
    </w:p>
    <w:p w14:paraId="12677D35" w14:textId="77777777" w:rsidR="00A967AF" w:rsidRDefault="00A967AF" w:rsidP="00A967AF">
      <w:pPr>
        <w:widowControl w:val="0"/>
        <w:autoSpaceDE w:val="0"/>
        <w:autoSpaceDN w:val="0"/>
        <w:adjustRightInd w:val="0"/>
        <w:rPr>
          <w:sz w:val="20"/>
          <w:szCs w:val="20"/>
          <w:lang w:val="en-US"/>
        </w:rPr>
      </w:pPr>
    </w:p>
    <w:p w14:paraId="273B1B98" w14:textId="1CD61E9F" w:rsidR="00A967AF" w:rsidRDefault="00D72DBF" w:rsidP="00A967AF">
      <w:pPr>
        <w:widowControl w:val="0"/>
        <w:autoSpaceDE w:val="0"/>
        <w:autoSpaceDN w:val="0"/>
        <w:adjustRightInd w:val="0"/>
        <w:rPr>
          <w:sz w:val="20"/>
          <w:szCs w:val="20"/>
          <w:lang w:val="en-US"/>
        </w:rPr>
      </w:pPr>
      <w:r>
        <w:rPr>
          <w:sz w:val="20"/>
          <w:szCs w:val="20"/>
          <w:lang w:val="en-US"/>
        </w:rPr>
        <w:t>Should we fix the VHT as well at the same location by changing:</w:t>
      </w:r>
    </w:p>
    <w:p w14:paraId="6C145D6C" w14:textId="50F05A31" w:rsidR="00A967AF" w:rsidRDefault="00A967AF" w:rsidP="00A967AF">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5D6181EB" w14:textId="77777777" w:rsidR="00D72DBF" w:rsidRDefault="00A967AF" w:rsidP="00A967AF">
      <w:pPr>
        <w:rPr>
          <w:sz w:val="20"/>
          <w:szCs w:val="20"/>
          <w:lang w:val="en-US"/>
        </w:rPr>
      </w:pPr>
      <w:r>
        <w:rPr>
          <w:sz w:val="20"/>
          <w:szCs w:val="20"/>
          <w:lang w:val="en-US"/>
        </w:rPr>
        <w:t>identical.</w:t>
      </w:r>
      <w:r w:rsidR="00D72DBF">
        <w:rPr>
          <w:sz w:val="20"/>
          <w:szCs w:val="20"/>
          <w:lang w:val="en-US"/>
        </w:rPr>
        <w:t>”</w:t>
      </w:r>
    </w:p>
    <w:p w14:paraId="39F97DC2" w14:textId="77777777" w:rsidR="00D72DBF" w:rsidRDefault="00D72DBF" w:rsidP="00A967AF">
      <w:pPr>
        <w:rPr>
          <w:sz w:val="20"/>
          <w:szCs w:val="20"/>
          <w:lang w:val="en-US"/>
        </w:rPr>
      </w:pPr>
      <w:r>
        <w:rPr>
          <w:sz w:val="20"/>
          <w:szCs w:val="20"/>
          <w:lang w:val="en-US"/>
        </w:rPr>
        <w:t>To</w:t>
      </w:r>
    </w:p>
    <w:p w14:paraId="52A47C8A" w14:textId="2E2A6A51" w:rsidR="00CA09B2" w:rsidRPr="00D72DBF" w:rsidRDefault="00D72DBF" w:rsidP="00D72DBF">
      <w:pPr>
        <w:widowControl w:val="0"/>
        <w:autoSpaceDE w:val="0"/>
        <w:autoSpaceDN w:val="0"/>
        <w:adjustRightInd w:val="0"/>
        <w:rPr>
          <w:sz w:val="20"/>
          <w:szCs w:val="20"/>
          <w:lang w:val="en-US"/>
        </w:rPr>
      </w:pPr>
      <w:r>
        <w:rPr>
          <w:sz w:val="20"/>
          <w:szCs w:val="20"/>
          <w:lang w:val="en-US"/>
        </w:rPr>
        <w:t>“— For VHT mesh STAs, the Basic VHT-MCS and NSS fields in the VHT Operation parameter of the MLMESTART.request are identical to the Basic VHT-MCS and NSS fields in the VHT Operation parameter received in the MLME-MESHPEERINGMANAGEMENT.indication.”</w:t>
      </w:r>
      <w:r w:rsidR="00CA09B2">
        <w:br w:type="page"/>
      </w:r>
      <w:r w:rsidR="00CA09B2">
        <w:rPr>
          <w:b/>
          <w:sz w:val="24"/>
        </w:rPr>
        <w:t>References:</w:t>
      </w:r>
    </w:p>
    <w:p w14:paraId="0B4A8F08"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3B260B" w:rsidRDefault="003B260B">
      <w:r>
        <w:separator/>
      </w:r>
    </w:p>
  </w:endnote>
  <w:endnote w:type="continuationSeparator" w:id="0">
    <w:p w14:paraId="023275A0" w14:textId="77777777" w:rsidR="003B260B" w:rsidRDefault="003B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3B260B" w:rsidRDefault="003B26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67947">
      <w:rPr>
        <w:noProof/>
      </w:rPr>
      <w:t>1</w:t>
    </w:r>
    <w:r>
      <w:fldChar w:fldCharType="end"/>
    </w:r>
    <w:r>
      <w:tab/>
    </w:r>
    <w:fldSimple w:instr=" COMMENTS  \* MERGEFORMAT ">
      <w:r>
        <w:t>Michael Montemurro, BlackBerry</w:t>
      </w:r>
    </w:fldSimple>
  </w:p>
  <w:p w14:paraId="341FAAD4" w14:textId="77777777" w:rsidR="003B260B" w:rsidRDefault="003B26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3B260B" w:rsidRDefault="003B260B">
      <w:r>
        <w:separator/>
      </w:r>
    </w:p>
  </w:footnote>
  <w:footnote w:type="continuationSeparator" w:id="0">
    <w:p w14:paraId="37F28EB3" w14:textId="77777777" w:rsidR="003B260B" w:rsidRDefault="003B26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3B260B" w:rsidRDefault="003B260B">
    <w:pPr>
      <w:pStyle w:val="Header"/>
      <w:tabs>
        <w:tab w:val="clear" w:pos="6480"/>
        <w:tab w:val="center" w:pos="4680"/>
        <w:tab w:val="right" w:pos="9360"/>
      </w:tabs>
    </w:pPr>
    <w:fldSimple w:instr=" KEYWORDS  \* MERGEFORMAT ">
      <w:r>
        <w:t>August 2014</w:t>
      </w:r>
    </w:fldSimple>
    <w:r>
      <w:tab/>
    </w:r>
    <w:r>
      <w:tab/>
    </w:r>
    <w:fldSimple w:instr=" TITLE  \* MERGEFORMAT ">
      <w:r>
        <w:t>doc.: IEEE 802.11-14/0923r2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3359A"/>
    <w:rsid w:val="00034CC8"/>
    <w:rsid w:val="00034FC4"/>
    <w:rsid w:val="00037FD0"/>
    <w:rsid w:val="000401D3"/>
    <w:rsid w:val="00083F34"/>
    <w:rsid w:val="00091AA5"/>
    <w:rsid w:val="00093FDF"/>
    <w:rsid w:val="000A4DE9"/>
    <w:rsid w:val="000B6A9D"/>
    <w:rsid w:val="000B794D"/>
    <w:rsid w:val="000D082C"/>
    <w:rsid w:val="00121EC4"/>
    <w:rsid w:val="001C0196"/>
    <w:rsid w:val="001D723B"/>
    <w:rsid w:val="00217E96"/>
    <w:rsid w:val="002367EC"/>
    <w:rsid w:val="00246672"/>
    <w:rsid w:val="00255AA2"/>
    <w:rsid w:val="00261AFC"/>
    <w:rsid w:val="0029020B"/>
    <w:rsid w:val="002B760F"/>
    <w:rsid w:val="002D44BE"/>
    <w:rsid w:val="002D5401"/>
    <w:rsid w:val="00336A56"/>
    <w:rsid w:val="00367947"/>
    <w:rsid w:val="0037550E"/>
    <w:rsid w:val="003A6145"/>
    <w:rsid w:val="003B260B"/>
    <w:rsid w:val="003C5A13"/>
    <w:rsid w:val="003C630B"/>
    <w:rsid w:val="003D1164"/>
    <w:rsid w:val="003E4B85"/>
    <w:rsid w:val="00442037"/>
    <w:rsid w:val="004570C5"/>
    <w:rsid w:val="0046647B"/>
    <w:rsid w:val="00466DA9"/>
    <w:rsid w:val="0048279C"/>
    <w:rsid w:val="004D71E5"/>
    <w:rsid w:val="004E50B1"/>
    <w:rsid w:val="00534C0E"/>
    <w:rsid w:val="005602E8"/>
    <w:rsid w:val="00580449"/>
    <w:rsid w:val="0059488E"/>
    <w:rsid w:val="005A53EE"/>
    <w:rsid w:val="005D5623"/>
    <w:rsid w:val="0062440B"/>
    <w:rsid w:val="00694F28"/>
    <w:rsid w:val="006C0727"/>
    <w:rsid w:val="006C3210"/>
    <w:rsid w:val="006E145F"/>
    <w:rsid w:val="00707353"/>
    <w:rsid w:val="00721427"/>
    <w:rsid w:val="00726572"/>
    <w:rsid w:val="007507C2"/>
    <w:rsid w:val="00766A31"/>
    <w:rsid w:val="00770572"/>
    <w:rsid w:val="007732D8"/>
    <w:rsid w:val="007B7ED7"/>
    <w:rsid w:val="007B7F8D"/>
    <w:rsid w:val="007D0227"/>
    <w:rsid w:val="007E50ED"/>
    <w:rsid w:val="00801E9F"/>
    <w:rsid w:val="00803BD1"/>
    <w:rsid w:val="00883E82"/>
    <w:rsid w:val="008A13D8"/>
    <w:rsid w:val="008A1F6D"/>
    <w:rsid w:val="008B3724"/>
    <w:rsid w:val="00905C89"/>
    <w:rsid w:val="009368E0"/>
    <w:rsid w:val="00953225"/>
    <w:rsid w:val="00962FAD"/>
    <w:rsid w:val="00965B3E"/>
    <w:rsid w:val="00976824"/>
    <w:rsid w:val="00977630"/>
    <w:rsid w:val="009F18BC"/>
    <w:rsid w:val="00A10418"/>
    <w:rsid w:val="00A22695"/>
    <w:rsid w:val="00A242BC"/>
    <w:rsid w:val="00A243A3"/>
    <w:rsid w:val="00A90759"/>
    <w:rsid w:val="00A91B77"/>
    <w:rsid w:val="00A967AF"/>
    <w:rsid w:val="00AA427C"/>
    <w:rsid w:val="00B833AA"/>
    <w:rsid w:val="00BA01FD"/>
    <w:rsid w:val="00BA0BBF"/>
    <w:rsid w:val="00BE3CB4"/>
    <w:rsid w:val="00BE68C2"/>
    <w:rsid w:val="00C1395F"/>
    <w:rsid w:val="00C210C2"/>
    <w:rsid w:val="00C41C2A"/>
    <w:rsid w:val="00C515F4"/>
    <w:rsid w:val="00C758DA"/>
    <w:rsid w:val="00C77FFA"/>
    <w:rsid w:val="00C87ADB"/>
    <w:rsid w:val="00CA09B2"/>
    <w:rsid w:val="00CA3EC1"/>
    <w:rsid w:val="00D24C2D"/>
    <w:rsid w:val="00D33B55"/>
    <w:rsid w:val="00D42D25"/>
    <w:rsid w:val="00D52CD8"/>
    <w:rsid w:val="00D64F3B"/>
    <w:rsid w:val="00D71E5A"/>
    <w:rsid w:val="00D72DBF"/>
    <w:rsid w:val="00D94785"/>
    <w:rsid w:val="00DC5A7B"/>
    <w:rsid w:val="00DF43CD"/>
    <w:rsid w:val="00E26BAD"/>
    <w:rsid w:val="00E34F08"/>
    <w:rsid w:val="00E44458"/>
    <w:rsid w:val="00E45D40"/>
    <w:rsid w:val="00F039C7"/>
    <w:rsid w:val="00F43E74"/>
    <w:rsid w:val="00F63936"/>
    <w:rsid w:val="00F70059"/>
    <w:rsid w:val="00F75347"/>
    <w:rsid w:val="00F80317"/>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56</TotalTime>
  <Pages>16</Pages>
  <Words>4020</Words>
  <Characters>20141</Characters>
  <Application>Microsoft Macintosh Word</Application>
  <DocSecurity>0</DocSecurity>
  <Lines>1258</Lines>
  <Paragraphs>439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doc.: IEEE 802.11-14/0923r2</vt:lpstr>
      <vt:lpstr>BW Rules</vt:lpstr>
      <vt:lpstr>        Discussion:</vt:lpstr>
      <vt:lpstr>Frame Formats</vt:lpstr>
      <vt:lpstr>        Discussion:</vt:lpstr>
      <vt:lpstr>        Proposed changes:</vt:lpstr>
      <vt:lpstr>Management</vt:lpstr>
      <vt:lpstr>        Discussion:</vt:lpstr>
      <vt:lpstr>Power Saving</vt:lpstr>
      <vt:lpstr>        </vt:lpstr>
      <vt:lpstr>        </vt:lpstr>
      <vt:lpstr>        </vt:lpstr>
      <vt:lpstr>        </vt:lpstr>
      <vt:lpstr>        </vt:lpstr>
      <vt:lpstr>TXOP</vt:lpstr>
    </vt:vector>
  </TitlesOfParts>
  <Manager/>
  <Company>BlackBerry</Company>
  <LinksUpToDate>false</LinksUpToDate>
  <CharactersWithSpaces>23722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802.11-14/0923r2</dc:title>
  <dc:subject>Submission</dc:subject>
  <dc:creator>Michael Montemuro</dc:creator>
  <cp:keywords>August 2014</cp:keywords>
  <dc:description/>
  <cp:lastModifiedBy>Michael Montemurro</cp:lastModifiedBy>
  <cp:revision>4</cp:revision>
  <cp:lastPrinted>2014-07-05T01:43:00Z</cp:lastPrinted>
  <dcterms:created xsi:type="dcterms:W3CDTF">2014-08-29T14:26:00Z</dcterms:created>
  <dcterms:modified xsi:type="dcterms:W3CDTF">2014-09-12T19:51:00Z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