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72"/>
        <w:gridCol w:w="2814"/>
        <w:gridCol w:w="1094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973C1" w:rsidP="00E34F08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Clarifications on Beaon RSSI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2410" w:rsidRDefault="00CA09B2" w:rsidP="0003359A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7E2410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CE00D5">
              <w:rPr>
                <w:rFonts w:hint="eastAsia"/>
                <w:b w:val="0"/>
                <w:sz w:val="20"/>
                <w:lang w:eastAsia="ko-KR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A5F03">
        <w:trPr>
          <w:jc w:val="center"/>
        </w:trPr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A5F03">
        <w:trPr>
          <w:jc w:val="center"/>
        </w:trPr>
        <w:tc>
          <w:tcPr>
            <w:tcW w:w="1728" w:type="dxa"/>
            <w:vAlign w:val="center"/>
          </w:tcPr>
          <w:p w:rsidR="00CA09B2" w:rsidRDefault="007E241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672" w:type="dxa"/>
            <w:vAlign w:val="center"/>
          </w:tcPr>
          <w:p w:rsidR="00CA09B2" w:rsidRDefault="007E241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A09B2" w:rsidRDefault="0061009D" w:rsidP="007E24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E2410"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youhank@qca.qualcomm.com</w:t>
              </w:r>
            </w:hyperlink>
          </w:p>
        </w:tc>
      </w:tr>
      <w:tr w:rsidR="00CA09B2" w:rsidTr="00BA5F03">
        <w:trPr>
          <w:jc w:val="center"/>
        </w:trPr>
        <w:tc>
          <w:tcPr>
            <w:tcW w:w="1728" w:type="dxa"/>
            <w:vAlign w:val="center"/>
          </w:tcPr>
          <w:p w:rsidR="00CA09B2" w:rsidRDefault="009973C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Menzo Wentink</w:t>
            </w:r>
          </w:p>
        </w:tc>
        <w:tc>
          <w:tcPr>
            <w:tcW w:w="1672" w:type="dxa"/>
            <w:vAlign w:val="center"/>
          </w:tcPr>
          <w:p w:rsidR="00CA09B2" w:rsidRDefault="009973C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A09B2" w:rsidRDefault="0061009D" w:rsidP="003E359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9" w:history="1">
              <w:r w:rsidR="003E3595"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mwentink@qti.qualcomm.com</w:t>
              </w:r>
            </w:hyperlink>
          </w:p>
        </w:tc>
      </w:tr>
      <w:tr w:rsidR="003E3595" w:rsidTr="00BA5F03">
        <w:trPr>
          <w:jc w:val="center"/>
        </w:trPr>
        <w:tc>
          <w:tcPr>
            <w:tcW w:w="1728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Carlos Aldana</w:t>
            </w:r>
          </w:p>
        </w:tc>
        <w:tc>
          <w:tcPr>
            <w:tcW w:w="1672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3595" w:rsidRDefault="0061009D" w:rsidP="003E359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0" w:history="1">
              <w:r w:rsidR="003E3595"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caldana@qca.qualcomm.com</w:t>
              </w:r>
            </w:hyperlink>
            <w:r w:rsidR="003E3595">
              <w:rPr>
                <w:rFonts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973C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some clarifications for Beacon RSSI.  Please see </w:t>
                            </w:r>
                            <w:r w:rsidR="007F364B">
                              <w:rPr>
                                <w:rFonts w:hint="eastAsia"/>
                                <w:lang w:eastAsia="ko-KR"/>
                              </w:rPr>
                              <w:t>IEEE 802.11-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14/0890</w:t>
                            </w:r>
                            <w:r w:rsidR="007F364B">
                              <w:rPr>
                                <w:rFonts w:hint="eastAsia"/>
                                <w:lang w:eastAsia="ko-KR"/>
                              </w:rPr>
                              <w:t>r2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for further details on discussion.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973C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document proposes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some clarifications for Beacon RSSI.  Please see </w:t>
                      </w:r>
                      <w:r w:rsidR="007F364B">
                        <w:rPr>
                          <w:rFonts w:hint="eastAsia"/>
                          <w:lang w:eastAsia="ko-KR"/>
                        </w:rPr>
                        <w:t>IEEE 802.11-</w:t>
                      </w:r>
                      <w:r>
                        <w:rPr>
                          <w:rFonts w:hint="eastAsia"/>
                          <w:lang w:eastAsia="ko-KR"/>
                        </w:rPr>
                        <w:t>14/0890</w:t>
                      </w:r>
                      <w:r w:rsidR="007F364B">
                        <w:rPr>
                          <w:rFonts w:hint="eastAsia"/>
                          <w:lang w:eastAsia="ko-KR"/>
                        </w:rPr>
                        <w:t>r2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for further details on discussion.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AF69A7" w:rsidP="00707353">
      <w:pPr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R1: Clarified that the averaging of Beacon RSSI across multiple receive chains is done in linear domain.</w:t>
      </w:r>
    </w:p>
    <w:p w:rsidR="00F13171" w:rsidRDefault="00F13171" w:rsidP="00707353">
      <w:pPr>
        <w:rPr>
          <w:rFonts w:hint="eastAsia"/>
          <w:sz w:val="24"/>
          <w:lang w:eastAsia="ko-KR"/>
        </w:rPr>
      </w:pPr>
      <w:r>
        <w:rPr>
          <w:rFonts w:hint="eastAsia"/>
          <w:sz w:val="24"/>
          <w:lang w:eastAsia="ko-KR"/>
        </w:rPr>
        <w:t>R2: Moved Beacon RSSI definitions to Clause 10 and Annex C.</w:t>
      </w:r>
    </w:p>
    <w:p w:rsidR="0024437F" w:rsidRDefault="0024437F" w:rsidP="00707353">
      <w:pPr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R3: Minor updates to MIB.</w:t>
      </w:r>
    </w:p>
    <w:p w:rsidR="00707353" w:rsidRDefault="00707353" w:rsidP="00707353">
      <w:pPr>
        <w:rPr>
          <w:sz w:val="24"/>
          <w:lang w:eastAsia="ko-KR"/>
        </w:rPr>
      </w:pPr>
    </w:p>
    <w:p w:rsidR="00F43E74" w:rsidRPr="00F43E74" w:rsidRDefault="00F43E74">
      <w:pPr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:rsidR="00F43E74" w:rsidRPr="00707353" w:rsidRDefault="00F43E74">
      <w:pPr>
        <w:rPr>
          <w:sz w:val="24"/>
        </w:rPr>
      </w:pPr>
    </w:p>
    <w:p w:rsidR="007E2410" w:rsidRDefault="007E2410">
      <w:pPr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Please see </w:t>
      </w:r>
      <w:r w:rsidR="00AF69A7">
        <w:rPr>
          <w:rFonts w:hint="eastAsia"/>
          <w:sz w:val="24"/>
          <w:lang w:eastAsia="ko-KR"/>
        </w:rPr>
        <w:t>IEEE 802.11-</w:t>
      </w:r>
      <w:r>
        <w:rPr>
          <w:rFonts w:hint="eastAsia"/>
          <w:sz w:val="24"/>
          <w:lang w:eastAsia="ko-KR"/>
        </w:rPr>
        <w:t>14/0890</w:t>
      </w:r>
      <w:r w:rsidR="00065C50">
        <w:rPr>
          <w:rFonts w:hint="eastAsia"/>
          <w:sz w:val="24"/>
          <w:lang w:eastAsia="ko-KR"/>
        </w:rPr>
        <w:t>r</w:t>
      </w:r>
      <w:r w:rsidR="00F60696">
        <w:rPr>
          <w:rFonts w:hint="eastAsia"/>
          <w:sz w:val="24"/>
          <w:lang w:eastAsia="ko-KR"/>
        </w:rPr>
        <w:t>2</w:t>
      </w:r>
      <w:r>
        <w:rPr>
          <w:rFonts w:hint="eastAsia"/>
          <w:sz w:val="24"/>
          <w:lang w:eastAsia="ko-KR"/>
        </w:rPr>
        <w:t xml:space="preserve"> for discussions on this topic.</w:t>
      </w:r>
    </w:p>
    <w:p w:rsidR="007E2410" w:rsidRDefault="007E2410">
      <w:pPr>
        <w:rPr>
          <w:sz w:val="24"/>
          <w:lang w:eastAsia="ko-KR"/>
        </w:rPr>
      </w:pPr>
    </w:p>
    <w:p w:rsidR="00F43E74" w:rsidRPr="00707353" w:rsidRDefault="00F43E74" w:rsidP="00F43E74">
      <w:pPr>
        <w:rPr>
          <w:sz w:val="24"/>
        </w:rPr>
      </w:pPr>
    </w:p>
    <w:p w:rsidR="00707353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:rsidR="00F43E74" w:rsidRPr="00707353" w:rsidRDefault="00F43E74" w:rsidP="00F43E74">
      <w:pPr>
        <w:rPr>
          <w:sz w:val="24"/>
        </w:rPr>
      </w:pPr>
    </w:p>
    <w:p w:rsidR="00CE4DD1" w:rsidRPr="00CE4DD1" w:rsidRDefault="00CE4DD1" w:rsidP="0059488E">
      <w:pPr>
        <w:rPr>
          <w:rFonts w:ascii="TimesNewRomanPSMT" w:hAnsi="TimesNewRomanPSMT" w:cs="TimesNewRomanPSMT"/>
          <w:b/>
          <w:i/>
          <w:sz w:val="24"/>
          <w:szCs w:val="24"/>
          <w:lang w:val="en-US" w:eastAsia="ko-KR"/>
        </w:rPr>
      </w:pPr>
      <w:r>
        <w:rPr>
          <w:rFonts w:ascii="TimesNewRomanPSMT" w:hAnsi="TimesNewRomanPSMT" w:cs="TimesNewRomanPSMT" w:hint="eastAsia"/>
          <w:b/>
          <w:i/>
          <w:sz w:val="24"/>
          <w:szCs w:val="24"/>
          <w:lang w:val="en-US" w:eastAsia="ko-KR"/>
        </w:rPr>
        <w:t>Add the following new subclause:</w:t>
      </w:r>
    </w:p>
    <w:p w:rsidR="00F60696" w:rsidRPr="00C36E14" w:rsidRDefault="00F60696" w:rsidP="0059488E">
      <w:pPr>
        <w:rPr>
          <w:b/>
          <w:sz w:val="24"/>
          <w:szCs w:val="24"/>
          <w:lang w:val="en-US" w:eastAsia="ko-KR"/>
        </w:rPr>
      </w:pPr>
      <w:r w:rsidRPr="00C36E14">
        <w:rPr>
          <w:b/>
          <w:sz w:val="24"/>
          <w:szCs w:val="24"/>
          <w:lang w:val="en-US" w:eastAsia="ko-KR"/>
        </w:rPr>
        <w:t>10.4</w:t>
      </w:r>
      <w:r w:rsidR="00CE4DD1">
        <w:rPr>
          <w:rFonts w:hint="eastAsia"/>
          <w:b/>
          <w:sz w:val="24"/>
          <w:szCs w:val="24"/>
          <w:lang w:val="en-US" w:eastAsia="ko-KR"/>
        </w:rPr>
        <w:t>5</w:t>
      </w:r>
      <w:r w:rsidRPr="00C36E14">
        <w:rPr>
          <w:b/>
          <w:sz w:val="24"/>
          <w:szCs w:val="24"/>
          <w:lang w:val="en-US" w:eastAsia="ko-KR"/>
        </w:rPr>
        <w:t xml:space="preserve"> Beacon RSSI</w:t>
      </w:r>
    </w:p>
    <w:p w:rsidR="005C1D14" w:rsidRDefault="005C1D14" w:rsidP="0059488E">
      <w:pPr>
        <w:rPr>
          <w:rFonts w:ascii="TimesNewRomanPSMT" w:hAnsi="TimesNewRomanPSMT" w:cs="TimesNewRomanPSMT"/>
          <w:sz w:val="24"/>
          <w:szCs w:val="24"/>
          <w:lang w:val="en-US" w:eastAsia="ko-KR"/>
        </w:rPr>
      </w:pPr>
      <w:r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Upon receiving a Beacon frame, a STA measures the received signal strength of the Beacon frame (dot11BeaconRssi).  </w:t>
      </w:r>
      <w:r w:rsidR="008730CD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If the Beacon frame is received using multiple receive chains, t</w:t>
      </w:r>
      <w:r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he Beacon RSSI is averaged in linear domain over all active receive chains.  The Beacon RSSI is reported in dBm</w:t>
      </w:r>
      <w:r w:rsidR="008730CD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.  </w:t>
      </w:r>
      <w:r w:rsidR="00EC3564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When operating</w:t>
      </w:r>
      <w:r w:rsidR="008730CD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in frequency bands below 6 GHz, the Beacon RSSI has</w:t>
      </w:r>
      <w:r w:rsidR="0037778C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an</w:t>
      </w:r>
      <w:bookmarkStart w:id="0" w:name="_GoBack"/>
      <w:bookmarkEnd w:id="0"/>
      <w:r w:rsidRPr="005C1D14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accuracy of </w:t>
      </w:r>
      <w:r w:rsidRPr="005C1D14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±</w:t>
      </w:r>
      <w:r w:rsidRPr="005C1D14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5 dB (95% confidence interval) within the specified dynamic range of the receiver</w:t>
      </w:r>
      <w:r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>.  Beacon RSSI may be averaged over time using a vendor specific smoothing function.</w:t>
      </w:r>
    </w:p>
    <w:p w:rsidR="00F13171" w:rsidRDefault="00F13171" w:rsidP="0059488E">
      <w:pPr>
        <w:rPr>
          <w:rFonts w:ascii="TimesNewRomanPSMT" w:hAnsi="TimesNewRomanPSMT" w:cs="TimesNewRomanPSMT"/>
          <w:sz w:val="24"/>
          <w:szCs w:val="24"/>
          <w:lang w:val="en-US" w:eastAsia="ko-KR"/>
        </w:rPr>
      </w:pPr>
    </w:p>
    <w:p w:rsidR="00385DE0" w:rsidRDefault="00385DE0" w:rsidP="0059488E">
      <w:pPr>
        <w:rPr>
          <w:rFonts w:ascii="TimesNewRomanPSMT" w:hAnsi="TimesNewRomanPSMT" w:cs="TimesNewRomanPSMT"/>
          <w:sz w:val="24"/>
          <w:szCs w:val="24"/>
          <w:lang w:val="en-US" w:eastAsia="ko-KR"/>
        </w:rPr>
      </w:pPr>
    </w:p>
    <w:p w:rsidR="00C36E14" w:rsidRDefault="00C36E14" w:rsidP="00C36E14">
      <w:pPr>
        <w:autoSpaceDE w:val="0"/>
        <w:autoSpaceDN w:val="0"/>
        <w:adjustRightInd w:val="0"/>
        <w:rPr>
          <w:color w:val="000000"/>
          <w:lang w:eastAsia="ko-KR"/>
        </w:rPr>
      </w:pPr>
      <w:r w:rsidRPr="00C36E14">
        <w:rPr>
          <w:rFonts w:hint="eastAsia"/>
          <w:b/>
          <w:bCs/>
          <w:sz w:val="24"/>
          <w:szCs w:val="24"/>
          <w:lang w:val="en-US" w:eastAsia="ko-KR"/>
        </w:rPr>
        <w:t>C.3 MIB Detail</w:t>
      </w:r>
    </w:p>
    <w:p w:rsidR="00C36E14" w:rsidRDefault="00C36E14" w:rsidP="00C36E14">
      <w:pPr>
        <w:keepNext/>
        <w:rPr>
          <w:b/>
          <w:bCs/>
          <w:i/>
          <w:iCs/>
          <w:color w:val="000000"/>
          <w:lang w:eastAsia="ko-KR"/>
        </w:rPr>
      </w:pPr>
    </w:p>
    <w:p w:rsidR="00917F1E" w:rsidRDefault="00917F1E" w:rsidP="00917F1E">
      <w:pPr>
        <w:keepNext/>
        <w:rPr>
          <w:color w:val="000000"/>
        </w:rPr>
      </w:pPr>
      <w:r>
        <w:rPr>
          <w:b/>
          <w:bCs/>
          <w:i/>
          <w:iCs/>
          <w:color w:val="000000"/>
        </w:rPr>
        <w:t xml:space="preserve">Add </w:t>
      </w:r>
      <w:r w:rsidR="00855D2C">
        <w:rPr>
          <w:rFonts w:hint="eastAsia"/>
          <w:b/>
          <w:bCs/>
          <w:i/>
          <w:iCs/>
          <w:color w:val="000000"/>
          <w:lang w:eastAsia="ko-KR"/>
        </w:rPr>
        <w:t>the following MIBs</w:t>
      </w:r>
      <w:r>
        <w:rPr>
          <w:b/>
          <w:bCs/>
          <w:i/>
          <w:iCs/>
          <w:color w:val="000000"/>
        </w:rPr>
        <w:t>:</w:t>
      </w:r>
    </w:p>
    <w:p w:rsidR="00855D2C" w:rsidRDefault="00855D2C" w:rsidP="00855D2C">
      <w:pPr>
        <w:keepNext/>
        <w:rPr>
          <w:rFonts w:ascii="Courier" w:hAnsi="Courier"/>
          <w:color w:val="000000"/>
          <w:sz w:val="18"/>
          <w:szCs w:val="18"/>
          <w:lang w:eastAsia="ko-KR"/>
        </w:rPr>
      </w:pPr>
    </w:p>
    <w:p w:rsidR="00855D2C" w:rsidRDefault="00855D2C" w:rsidP="00855D2C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dot11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BeaconRssiEntry ::=</w:t>
      </w:r>
    </w:p>
    <w:p w:rsidR="00855D2C" w:rsidRDefault="00855D2C" w:rsidP="00855D2C">
      <w:pPr>
        <w:keepNext/>
        <w:rPr>
          <w:rFonts w:ascii="Courier" w:hAnsi="Courier"/>
          <w:color w:val="000000"/>
          <w:sz w:val="18"/>
          <w:szCs w:val="18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 xml:space="preserve">   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SEQUENCE {</w:t>
      </w:r>
    </w:p>
    <w:p w:rsidR="0081431B" w:rsidRDefault="0081431B" w:rsidP="00855D2C">
      <w:pPr>
        <w:keepNext/>
        <w:rPr>
          <w:rFonts w:ascii="Courier" w:hAnsi="Courier"/>
          <w:color w:val="000000"/>
          <w:sz w:val="18"/>
          <w:szCs w:val="18"/>
          <w:lang w:eastAsia="ko-KR"/>
        </w:rPr>
      </w:pPr>
      <w:r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      Dot11Beacon</w:t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>MACAddress</w:t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ab/>
        <w:t>MacAddress,</w:t>
      </w:r>
    </w:p>
    <w:p w:rsidR="00855D2C" w:rsidRDefault="00855D2C" w:rsidP="00855D2C">
      <w:pPr>
        <w:keepNext/>
        <w:rPr>
          <w:rFonts w:ascii="Courier" w:hAnsi="Courier"/>
          <w:color w:val="000000"/>
          <w:sz w:val="18"/>
          <w:szCs w:val="18"/>
          <w:lang w:eastAsia="ko-KR"/>
        </w:rPr>
      </w:pPr>
      <w:r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      </w:t>
      </w:r>
      <w:r>
        <w:rPr>
          <w:rFonts w:ascii="Courier" w:hAnsi="Courier"/>
          <w:color w:val="000000"/>
          <w:sz w:val="18"/>
          <w:szCs w:val="18"/>
          <w:lang w:eastAsia="ko-KR"/>
        </w:rPr>
        <w:t>D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ot11BeaconRssi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ab/>
        <w:t>Integer32 }</w:t>
      </w:r>
    </w:p>
    <w:p w:rsidR="00764F03" w:rsidRDefault="00764F03" w:rsidP="00764F03">
      <w:pPr>
        <w:keepNext/>
        <w:rPr>
          <w:rFonts w:ascii="Courier" w:hAnsi="Courier"/>
          <w:color w:val="000000"/>
          <w:sz w:val="18"/>
          <w:szCs w:val="18"/>
          <w:lang w:eastAsia="ko-KR"/>
        </w:rPr>
      </w:pPr>
    </w:p>
    <w:p w:rsidR="00764F03" w:rsidRDefault="00764F03" w:rsidP="00764F03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dot11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BeaconMACAddress</w:t>
      </w:r>
      <w:r>
        <w:rPr>
          <w:rFonts w:ascii="Courier" w:hAnsi="Courier"/>
          <w:color w:val="000000"/>
          <w:sz w:val="18"/>
          <w:szCs w:val="18"/>
        </w:rPr>
        <w:t xml:space="preserve"> OBJECT-TYPE</w:t>
      </w:r>
    </w:p>
    <w:p w:rsidR="00764F03" w:rsidRDefault="00764F03" w:rsidP="00764F03">
      <w:pPr>
        <w:keepNext/>
        <w:rPr>
          <w:color w:val="000000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 xml:space="preserve">   SYNTAX 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MacAddress</w:t>
      </w:r>
    </w:p>
    <w:p w:rsidR="00764F03" w:rsidRDefault="00764F03" w:rsidP="00764F03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MAX-ACCESS read-only</w:t>
      </w:r>
    </w:p>
    <w:p w:rsidR="00764F03" w:rsidRDefault="00764F03" w:rsidP="00764F03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STATUS current</w:t>
      </w:r>
    </w:p>
    <w:p w:rsidR="00764F03" w:rsidRDefault="00764F03" w:rsidP="00764F03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DESCRIPTION</w:t>
      </w:r>
    </w:p>
    <w:p w:rsidR="00296D49" w:rsidRDefault="00764F03" w:rsidP="00296D49">
      <w:pPr>
        <w:keepNext/>
        <w:ind w:left="720"/>
        <w:rPr>
          <w:rFonts w:ascii="Courier" w:hAnsi="Courier"/>
          <w:color w:val="000000"/>
          <w:sz w:val="18"/>
          <w:szCs w:val="18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>"</w:t>
      </w:r>
      <w:r w:rsidR="00296D49">
        <w:rPr>
          <w:rFonts w:ascii="Courier" w:hAnsi="Courier" w:hint="eastAsia"/>
          <w:color w:val="000000"/>
          <w:sz w:val="18"/>
          <w:szCs w:val="18"/>
          <w:lang w:eastAsia="ko-KR"/>
        </w:rPr>
        <w:t>This is a status variable.</w:t>
      </w:r>
    </w:p>
    <w:p w:rsidR="00296D49" w:rsidRDefault="00296D49" w:rsidP="00296D49">
      <w:pPr>
        <w:keepNext/>
        <w:ind w:left="720"/>
        <w:rPr>
          <w:rFonts w:ascii="Courier" w:hAnsi="Courier"/>
          <w:color w:val="000000"/>
          <w:sz w:val="18"/>
          <w:szCs w:val="18"/>
          <w:lang w:eastAsia="ko-KR"/>
        </w:rPr>
      </w:pPr>
      <w:r>
        <w:rPr>
          <w:rFonts w:ascii="Courier" w:hAnsi="Courier" w:hint="eastAsia"/>
          <w:color w:val="000000"/>
          <w:sz w:val="18"/>
          <w:szCs w:val="18"/>
          <w:lang w:eastAsia="ko-KR"/>
        </w:rPr>
        <w:t>It is written by MAC upon receiving a Beacon frame.</w:t>
      </w:r>
    </w:p>
    <w:p w:rsidR="00296D49" w:rsidRDefault="00296D49" w:rsidP="00296D49">
      <w:pPr>
        <w:keepNext/>
        <w:ind w:left="720"/>
        <w:rPr>
          <w:rFonts w:ascii="Courier" w:hAnsi="Courier"/>
          <w:color w:val="000000"/>
          <w:sz w:val="18"/>
          <w:szCs w:val="18"/>
          <w:lang w:eastAsia="ko-KR"/>
        </w:rPr>
      </w:pPr>
    </w:p>
    <w:p w:rsidR="00764F03" w:rsidRDefault="00764F03" w:rsidP="00764F03">
      <w:pPr>
        <w:keepNext/>
        <w:ind w:left="720"/>
        <w:rPr>
          <w:rFonts w:ascii="Courier" w:hAnsi="Courier"/>
          <w:color w:val="000000"/>
          <w:sz w:val="18"/>
          <w:szCs w:val="18"/>
          <w:lang w:eastAsia="ko-KR"/>
        </w:rPr>
      </w:pPr>
      <w:r>
        <w:rPr>
          <w:rFonts w:ascii="Courier" w:hAnsi="Courier" w:hint="eastAsia"/>
          <w:color w:val="000000"/>
          <w:sz w:val="18"/>
          <w:szCs w:val="18"/>
          <w:lang w:eastAsia="ko-KR"/>
        </w:rPr>
        <w:t>This attribute indicates the MAC address of the AP from which the beacon used for Beacon RSSI measurement was transmitted.</w:t>
      </w:r>
      <w:r>
        <w:rPr>
          <w:rFonts w:ascii="Courier" w:hAnsi="Courier"/>
          <w:color w:val="000000"/>
          <w:sz w:val="18"/>
          <w:szCs w:val="18"/>
        </w:rPr>
        <w:t>"</w:t>
      </w:r>
    </w:p>
    <w:p w:rsidR="00764F03" w:rsidRDefault="00764F03" w:rsidP="00764F03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::= { dot11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BeaconRssiEntry</w:t>
      </w:r>
      <w:r>
        <w:rPr>
          <w:rFonts w:ascii="Courier" w:hAnsi="Courier"/>
          <w:color w:val="000000"/>
          <w:sz w:val="18"/>
          <w:szCs w:val="18"/>
        </w:rPr>
        <w:t xml:space="preserve"> 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1</w:t>
      </w:r>
      <w:r>
        <w:rPr>
          <w:rFonts w:ascii="Courier" w:hAnsi="Courier"/>
          <w:color w:val="000000"/>
          <w:sz w:val="18"/>
          <w:szCs w:val="18"/>
        </w:rPr>
        <w:t>}</w:t>
      </w:r>
    </w:p>
    <w:p w:rsidR="00855D2C" w:rsidRDefault="00855D2C" w:rsidP="00917F1E">
      <w:pPr>
        <w:keepNext/>
        <w:rPr>
          <w:rFonts w:ascii="Courier" w:hAnsi="Courier"/>
          <w:color w:val="000000"/>
          <w:sz w:val="18"/>
          <w:szCs w:val="18"/>
          <w:lang w:eastAsia="ko-KR"/>
        </w:rPr>
      </w:pPr>
    </w:p>
    <w:p w:rsidR="00917F1E" w:rsidRDefault="00917F1E" w:rsidP="00917F1E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dot11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BeaconRssi</w:t>
      </w:r>
      <w:r>
        <w:rPr>
          <w:rFonts w:ascii="Courier" w:hAnsi="Courier"/>
          <w:color w:val="000000"/>
          <w:sz w:val="18"/>
          <w:szCs w:val="18"/>
        </w:rPr>
        <w:t xml:space="preserve"> OBJECT-TYPE</w:t>
      </w:r>
    </w:p>
    <w:p w:rsidR="00917F1E" w:rsidRDefault="00917F1E" w:rsidP="00917F1E">
      <w:pPr>
        <w:keepNext/>
        <w:rPr>
          <w:color w:val="000000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 xml:space="preserve">   SYNTAX 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Integer32</w:t>
      </w:r>
    </w:p>
    <w:p w:rsidR="00917F1E" w:rsidRDefault="00917F1E" w:rsidP="00917F1E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MAX-ACCESS read-only</w:t>
      </w:r>
    </w:p>
    <w:p w:rsidR="00917F1E" w:rsidRDefault="00917F1E" w:rsidP="00917F1E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STATUS current</w:t>
      </w:r>
    </w:p>
    <w:p w:rsidR="00917F1E" w:rsidRDefault="00917F1E" w:rsidP="00917F1E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DESCRIPTION</w:t>
      </w:r>
    </w:p>
    <w:p w:rsidR="00296D49" w:rsidRDefault="00917F1E" w:rsidP="00296D49">
      <w:pPr>
        <w:keepNext/>
        <w:ind w:left="720"/>
        <w:rPr>
          <w:rFonts w:ascii="Courier" w:hAnsi="Courier"/>
          <w:color w:val="000000"/>
          <w:sz w:val="18"/>
          <w:szCs w:val="18"/>
          <w:lang w:eastAsia="ko-KR"/>
        </w:rPr>
      </w:pPr>
      <w:r>
        <w:rPr>
          <w:rFonts w:ascii="Courier" w:hAnsi="Courier"/>
          <w:color w:val="000000"/>
          <w:sz w:val="18"/>
          <w:szCs w:val="18"/>
        </w:rPr>
        <w:t>"</w:t>
      </w:r>
      <w:r w:rsidR="00296D49">
        <w:rPr>
          <w:rFonts w:ascii="Courier" w:hAnsi="Courier" w:hint="eastAsia"/>
          <w:color w:val="000000"/>
          <w:sz w:val="18"/>
          <w:szCs w:val="18"/>
          <w:lang w:eastAsia="ko-KR"/>
        </w:rPr>
        <w:t>This is a status variable.</w:t>
      </w:r>
    </w:p>
    <w:p w:rsidR="00296D49" w:rsidRDefault="00296D49" w:rsidP="00296D49">
      <w:pPr>
        <w:keepNext/>
        <w:ind w:left="720"/>
        <w:rPr>
          <w:rFonts w:ascii="Courier" w:hAnsi="Courier"/>
          <w:color w:val="000000"/>
          <w:sz w:val="18"/>
          <w:szCs w:val="18"/>
          <w:lang w:eastAsia="ko-KR"/>
        </w:rPr>
      </w:pPr>
      <w:r>
        <w:rPr>
          <w:rFonts w:ascii="Courier" w:hAnsi="Courier" w:hint="eastAsia"/>
          <w:color w:val="000000"/>
          <w:sz w:val="18"/>
          <w:szCs w:val="18"/>
          <w:lang w:eastAsia="ko-KR"/>
        </w:rPr>
        <w:t>It is written by MAC upon receiving a Beacon frame.</w:t>
      </w:r>
    </w:p>
    <w:p w:rsidR="00296D49" w:rsidRDefault="00296D49" w:rsidP="00296D49">
      <w:pPr>
        <w:keepNext/>
        <w:ind w:left="720"/>
        <w:rPr>
          <w:rFonts w:ascii="Courier" w:hAnsi="Courier"/>
          <w:color w:val="000000"/>
          <w:sz w:val="18"/>
          <w:szCs w:val="18"/>
          <w:lang w:eastAsia="ko-KR"/>
        </w:rPr>
      </w:pPr>
    </w:p>
    <w:p w:rsidR="00917F1E" w:rsidRDefault="00917F1E" w:rsidP="00855D2C">
      <w:pPr>
        <w:keepNext/>
        <w:ind w:left="720"/>
        <w:rPr>
          <w:rFonts w:ascii="Courier" w:hAnsi="Courier"/>
          <w:color w:val="000000"/>
          <w:sz w:val="18"/>
          <w:szCs w:val="18"/>
          <w:lang w:eastAsia="ko-KR"/>
        </w:rPr>
      </w:pPr>
      <w:r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This attribute indicates the received signal strength </w:t>
      </w:r>
      <w:r w:rsidR="00855D2C">
        <w:rPr>
          <w:rFonts w:ascii="Courier" w:hAnsi="Courier" w:hint="eastAsia"/>
          <w:color w:val="000000"/>
          <w:sz w:val="18"/>
          <w:szCs w:val="18"/>
          <w:lang w:eastAsia="ko-KR"/>
        </w:rPr>
        <w:t>in dBm of B</w:t>
      </w:r>
      <w:r>
        <w:rPr>
          <w:rFonts w:ascii="Courier" w:hAnsi="Courier" w:hint="eastAsia"/>
          <w:color w:val="000000"/>
          <w:sz w:val="18"/>
          <w:szCs w:val="18"/>
          <w:lang w:eastAsia="ko-KR"/>
        </w:rPr>
        <w:t>eacon fr</w:t>
      </w:r>
      <w:r w:rsidR="00855D2C">
        <w:rPr>
          <w:rFonts w:ascii="Courier" w:hAnsi="Courier" w:hint="eastAsia"/>
          <w:color w:val="000000"/>
          <w:sz w:val="18"/>
          <w:szCs w:val="18"/>
          <w:lang w:eastAsia="ko-KR"/>
        </w:rPr>
        <w:t xml:space="preserve">ames received on the channel, averaged (in linear domain) over all active receive chains.  </w:t>
      </w:r>
      <w:r w:rsidR="00855D2C" w:rsidRPr="00855D2C">
        <w:rPr>
          <w:rFonts w:ascii="Courier" w:hAnsi="Courier"/>
          <w:color w:val="000000"/>
          <w:sz w:val="18"/>
          <w:szCs w:val="18"/>
          <w:lang w:eastAsia="ko-KR"/>
        </w:rPr>
        <w:t>This may be time-averaged over recent history by a vendor-specific smoothing function.</w:t>
      </w:r>
      <w:r w:rsidR="00855D2C">
        <w:rPr>
          <w:rFonts w:ascii="Courier" w:hAnsi="Courier"/>
          <w:color w:val="000000"/>
          <w:sz w:val="18"/>
          <w:szCs w:val="18"/>
        </w:rPr>
        <w:t>"</w:t>
      </w:r>
    </w:p>
    <w:p w:rsidR="00917F1E" w:rsidRDefault="00917F1E" w:rsidP="00917F1E">
      <w:pPr>
        <w:keepNext/>
        <w:rPr>
          <w:color w:val="000000"/>
        </w:rPr>
      </w:pPr>
      <w:r>
        <w:rPr>
          <w:rFonts w:ascii="Courier" w:hAnsi="Courier"/>
          <w:color w:val="000000"/>
          <w:sz w:val="18"/>
          <w:szCs w:val="18"/>
        </w:rPr>
        <w:t>   ::= { dot11</w:t>
      </w:r>
      <w:r w:rsidR="00855D2C">
        <w:rPr>
          <w:rFonts w:ascii="Courier" w:hAnsi="Courier" w:hint="eastAsia"/>
          <w:color w:val="000000"/>
          <w:sz w:val="18"/>
          <w:szCs w:val="18"/>
          <w:lang w:eastAsia="ko-KR"/>
        </w:rPr>
        <w:t>BeaconRssiEntry</w:t>
      </w:r>
      <w:r>
        <w:rPr>
          <w:rFonts w:ascii="Courier" w:hAnsi="Courier"/>
          <w:color w:val="000000"/>
          <w:sz w:val="18"/>
          <w:szCs w:val="18"/>
        </w:rPr>
        <w:t xml:space="preserve"> </w:t>
      </w:r>
      <w:r w:rsidR="00764F03">
        <w:rPr>
          <w:rFonts w:ascii="Courier" w:hAnsi="Courier" w:hint="eastAsia"/>
          <w:color w:val="000000"/>
          <w:sz w:val="18"/>
          <w:szCs w:val="18"/>
          <w:lang w:eastAsia="ko-KR"/>
        </w:rPr>
        <w:t>2</w:t>
      </w:r>
      <w:r>
        <w:rPr>
          <w:rFonts w:ascii="Courier" w:hAnsi="Courier"/>
          <w:color w:val="000000"/>
          <w:sz w:val="18"/>
          <w:szCs w:val="18"/>
        </w:rPr>
        <w:t>}</w:t>
      </w:r>
    </w:p>
    <w:p w:rsidR="00917F1E" w:rsidRPr="00F60696" w:rsidRDefault="00917F1E" w:rsidP="00917F1E">
      <w:pPr>
        <w:rPr>
          <w:rFonts w:ascii="TimesNewRomanPSMT" w:hAnsi="TimesNewRomanPSMT" w:cs="TimesNewRomanPSMT"/>
          <w:sz w:val="24"/>
          <w:szCs w:val="24"/>
          <w:lang w:val="en-US" w:eastAsia="ko-KR"/>
        </w:rPr>
      </w:pPr>
    </w:p>
    <w:p w:rsidR="00CA09B2" w:rsidRPr="00855D2C" w:rsidRDefault="00CA09B2">
      <w:pPr>
        <w:rPr>
          <w:lang w:eastAsia="ko-KR"/>
        </w:rPr>
      </w:pPr>
    </w:p>
    <w:sectPr w:rsidR="00CA09B2" w:rsidRPr="00855D2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9D" w:rsidRDefault="0061009D">
      <w:r>
        <w:separator/>
      </w:r>
    </w:p>
  </w:endnote>
  <w:endnote w:type="continuationSeparator" w:id="0">
    <w:p w:rsidR="0061009D" w:rsidRDefault="0061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1009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B21A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7778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D4C0C">
      <w:t>Youhan Kim, Qualcomm Inc.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9D" w:rsidRDefault="0061009D">
      <w:r>
        <w:separator/>
      </w:r>
    </w:p>
  </w:footnote>
  <w:footnote w:type="continuationSeparator" w:id="0">
    <w:p w:rsidR="0061009D" w:rsidRDefault="0061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1009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60696">
      <w:t>July 2014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FA4695">
      <w:t>doc.: IEEE 802.11-14/0921r3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1E4"/>
    <w:multiLevelType w:val="hybridMultilevel"/>
    <w:tmpl w:val="A8D48104"/>
    <w:lvl w:ilvl="0" w:tplc="F8B26D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02B09"/>
    <w:multiLevelType w:val="hybridMultilevel"/>
    <w:tmpl w:val="558C3412"/>
    <w:lvl w:ilvl="0" w:tplc="96E2E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3359A"/>
    <w:rsid w:val="00034FC4"/>
    <w:rsid w:val="00065C50"/>
    <w:rsid w:val="00083F34"/>
    <w:rsid w:val="000D0C6A"/>
    <w:rsid w:val="000E3912"/>
    <w:rsid w:val="00121EC4"/>
    <w:rsid w:val="001C0196"/>
    <w:rsid w:val="001D723B"/>
    <w:rsid w:val="0024437F"/>
    <w:rsid w:val="0029020B"/>
    <w:rsid w:val="00296D49"/>
    <w:rsid w:val="002D44BE"/>
    <w:rsid w:val="002D5401"/>
    <w:rsid w:val="00336A56"/>
    <w:rsid w:val="0037778C"/>
    <w:rsid w:val="0038313E"/>
    <w:rsid w:val="00385DE0"/>
    <w:rsid w:val="003C5A13"/>
    <w:rsid w:val="003D1164"/>
    <w:rsid w:val="003E3595"/>
    <w:rsid w:val="003E4B85"/>
    <w:rsid w:val="00410BF4"/>
    <w:rsid w:val="004323EA"/>
    <w:rsid w:val="00442037"/>
    <w:rsid w:val="0046647B"/>
    <w:rsid w:val="004852CF"/>
    <w:rsid w:val="004C15F8"/>
    <w:rsid w:val="004E3679"/>
    <w:rsid w:val="004E50B1"/>
    <w:rsid w:val="00532488"/>
    <w:rsid w:val="0059488E"/>
    <w:rsid w:val="005A53EE"/>
    <w:rsid w:val="005C1D14"/>
    <w:rsid w:val="00603695"/>
    <w:rsid w:val="0061009D"/>
    <w:rsid w:val="0062440B"/>
    <w:rsid w:val="0063711C"/>
    <w:rsid w:val="006C0727"/>
    <w:rsid w:val="006C3210"/>
    <w:rsid w:val="006E145F"/>
    <w:rsid w:val="00707353"/>
    <w:rsid w:val="00721427"/>
    <w:rsid w:val="007507C2"/>
    <w:rsid w:val="00764F03"/>
    <w:rsid w:val="00770572"/>
    <w:rsid w:val="007D0227"/>
    <w:rsid w:val="007E2410"/>
    <w:rsid w:val="007E50ED"/>
    <w:rsid w:val="007F364B"/>
    <w:rsid w:val="0081431B"/>
    <w:rsid w:val="00855D2C"/>
    <w:rsid w:val="008730CD"/>
    <w:rsid w:val="00883E82"/>
    <w:rsid w:val="008B3724"/>
    <w:rsid w:val="00917F1E"/>
    <w:rsid w:val="009213F1"/>
    <w:rsid w:val="00953225"/>
    <w:rsid w:val="00965B3E"/>
    <w:rsid w:val="009973C1"/>
    <w:rsid w:val="009F18BC"/>
    <w:rsid w:val="00A243A3"/>
    <w:rsid w:val="00A647EE"/>
    <w:rsid w:val="00AA427C"/>
    <w:rsid w:val="00AF69A7"/>
    <w:rsid w:val="00BA0BBF"/>
    <w:rsid w:val="00BA5F03"/>
    <w:rsid w:val="00BE68C2"/>
    <w:rsid w:val="00C1395F"/>
    <w:rsid w:val="00C36E14"/>
    <w:rsid w:val="00C515F4"/>
    <w:rsid w:val="00C77FFA"/>
    <w:rsid w:val="00CA09B2"/>
    <w:rsid w:val="00CE00D5"/>
    <w:rsid w:val="00CE4DD1"/>
    <w:rsid w:val="00D06EAA"/>
    <w:rsid w:val="00D64F3B"/>
    <w:rsid w:val="00D71E5A"/>
    <w:rsid w:val="00DC5A7B"/>
    <w:rsid w:val="00DD4C0C"/>
    <w:rsid w:val="00E26BAD"/>
    <w:rsid w:val="00E34F08"/>
    <w:rsid w:val="00E44458"/>
    <w:rsid w:val="00EC3564"/>
    <w:rsid w:val="00F13171"/>
    <w:rsid w:val="00F43E74"/>
    <w:rsid w:val="00F60696"/>
    <w:rsid w:val="00F80317"/>
    <w:rsid w:val="00FA4695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243A3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243A3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hank@qca.qualcomm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ldana@qca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entink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802.11-14/0921r2</vt:lpstr>
    </vt:vector>
  </TitlesOfParts>
  <Company>Some Company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802.11-14/0921r3</dc:title>
  <dc:subject>Submission</dc:subject>
  <dc:creator>Qualcomm User</dc:creator>
  <cp:keywords>July 2014</cp:keywords>
  <dc:description>Youhan Kim, Qualcomm Inc.</dc:description>
  <cp:lastModifiedBy>Qualcomm User</cp:lastModifiedBy>
  <cp:revision>9</cp:revision>
  <cp:lastPrinted>2014-07-05T01:43:00Z</cp:lastPrinted>
  <dcterms:created xsi:type="dcterms:W3CDTF">2014-07-17T21:22:00Z</dcterms:created>
  <dcterms:modified xsi:type="dcterms:W3CDTF">2014-07-17T21:24:00Z</dcterms:modified>
</cp:coreProperties>
</file>