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91" w:rsidRPr="003C4037" w:rsidRDefault="00836591" w:rsidP="00836591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814"/>
        <w:gridCol w:w="1715"/>
        <w:gridCol w:w="1647"/>
      </w:tblGrid>
      <w:tr w:rsidR="00836591" w:rsidTr="004429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36591" w:rsidRDefault="00836591" w:rsidP="00442979">
            <w:pPr>
              <w:pStyle w:val="T2"/>
            </w:pPr>
            <w:bookmarkStart w:id="0" w:name="OLE_LINK7"/>
            <w:bookmarkStart w:id="1" w:name="OLE_LINK8"/>
            <w:bookmarkStart w:id="2" w:name="OLE_LINK14"/>
            <w:bookmarkStart w:id="3" w:name="OLE_LINK13"/>
            <w:r>
              <w:t xml:space="preserve">Text proposal of a Stadium scenario to </w:t>
            </w:r>
            <w:proofErr w:type="spellStart"/>
            <w:r>
              <w:t>ax</w:t>
            </w:r>
            <w:proofErr w:type="spellEnd"/>
          </w:p>
        </w:tc>
      </w:tr>
      <w:tr w:rsidR="00836591" w:rsidTr="004429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36591" w:rsidRDefault="00836591" w:rsidP="0044297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2014-07-13</w:t>
            </w:r>
          </w:p>
        </w:tc>
      </w:tr>
      <w:tr w:rsidR="00836591" w:rsidTr="004429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Hakan</w:t>
            </w:r>
            <w:proofErr w:type="spellEnd"/>
            <w:r>
              <w:rPr>
                <w:b w:val="0"/>
                <w:sz w:val="20"/>
              </w:rPr>
              <w:t xml:space="preserve"> Persson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Farogatan</w:t>
            </w:r>
            <w:proofErr w:type="spellEnd"/>
            <w:r>
              <w:rPr>
                <w:b w:val="0"/>
                <w:sz w:val="20"/>
              </w:rPr>
              <w:t xml:space="preserve"> 6, Stockholm, Sweden</w:t>
            </w: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+46 730 787313</w:t>
            </w:r>
          </w:p>
        </w:tc>
        <w:tc>
          <w:tcPr>
            <w:tcW w:w="1647" w:type="dxa"/>
            <w:vAlign w:val="center"/>
          </w:tcPr>
          <w:p w:rsidR="00836591" w:rsidRPr="009F3BDC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9F3BDC">
              <w:rPr>
                <w:b w:val="0"/>
                <w:sz w:val="20"/>
              </w:rPr>
              <w:t>hakan.z.persson</w:t>
            </w:r>
            <w:proofErr w:type="spellEnd"/>
          </w:p>
          <w:p w:rsidR="00836591" w:rsidRPr="009F3BDC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F3BDC">
              <w:rPr>
                <w:b w:val="0"/>
                <w:sz w:val="20"/>
              </w:rPr>
              <w:t>@ericsson.com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9F3BDC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Johan Söder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Färögatan</w:t>
            </w:r>
            <w:proofErr w:type="spellEnd"/>
            <w:r w:rsidRPr="009F3BDC">
              <w:rPr>
                <w:sz w:val="20"/>
              </w:rPr>
              <w:t xml:space="preserve"> 6, Stockholm, Sweden</w:t>
            </w:r>
          </w:p>
        </w:tc>
        <w:tc>
          <w:tcPr>
            <w:tcW w:w="1715" w:type="dxa"/>
          </w:tcPr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+46 722449170</w:t>
            </w:r>
          </w:p>
        </w:tc>
        <w:tc>
          <w:tcPr>
            <w:tcW w:w="1647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johan.soder</w:t>
            </w:r>
            <w:proofErr w:type="spellEnd"/>
          </w:p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@ericsson.com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Filip Mestanov</w:t>
            </w:r>
          </w:p>
        </w:tc>
        <w:tc>
          <w:tcPr>
            <w:tcW w:w="1732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Färögatan</w:t>
            </w:r>
            <w:proofErr w:type="spellEnd"/>
            <w:r w:rsidRPr="009F3BDC">
              <w:rPr>
                <w:sz w:val="20"/>
              </w:rPr>
              <w:t xml:space="preserve"> 6, Stockholm, Sweden</w:t>
            </w:r>
          </w:p>
        </w:tc>
        <w:tc>
          <w:tcPr>
            <w:tcW w:w="1715" w:type="dxa"/>
          </w:tcPr>
          <w:p w:rsidR="00836591" w:rsidRPr="009F3BDC" w:rsidRDefault="00836591" w:rsidP="00442979">
            <w:pPr>
              <w:rPr>
                <w:sz w:val="20"/>
              </w:rPr>
            </w:pPr>
            <w:r w:rsidRPr="009F3BDC">
              <w:rPr>
                <w:sz w:val="20"/>
              </w:rPr>
              <w:t>+46 725 298 161</w:t>
            </w:r>
          </w:p>
        </w:tc>
        <w:tc>
          <w:tcPr>
            <w:tcW w:w="1647" w:type="dxa"/>
          </w:tcPr>
          <w:p w:rsidR="00836591" w:rsidRPr="009F3BDC" w:rsidRDefault="00836591" w:rsidP="00442979">
            <w:pPr>
              <w:rPr>
                <w:sz w:val="20"/>
              </w:rPr>
            </w:pPr>
            <w:proofErr w:type="spellStart"/>
            <w:r w:rsidRPr="009F3BDC">
              <w:rPr>
                <w:sz w:val="20"/>
              </w:rPr>
              <w:t>filip.mestanov</w:t>
            </w:r>
            <w:proofErr w:type="spellEnd"/>
            <w:r w:rsidRPr="009F3BDC">
              <w:rPr>
                <w:sz w:val="20"/>
              </w:rPr>
              <w:t xml:space="preserve">                  @ericsson.com</w:t>
            </w: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Brian Hart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Bill Carney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proofErr w:type="spellStart"/>
            <w:r w:rsidRPr="00C02A9A">
              <w:rPr>
                <w:sz w:val="20"/>
              </w:rPr>
              <w:t>Kåre</w:t>
            </w:r>
            <w:proofErr w:type="spellEnd"/>
            <w:r w:rsidRPr="00C02A9A">
              <w:rPr>
                <w:sz w:val="20"/>
              </w:rPr>
              <w:t xml:space="preserve"> </w:t>
            </w:r>
            <w:proofErr w:type="spellStart"/>
            <w:r w:rsidRPr="00C02A9A">
              <w:rPr>
                <w:sz w:val="20"/>
              </w:rPr>
              <w:t>Agard</w:t>
            </w:r>
            <w:r>
              <w:rPr>
                <w:sz w:val="20"/>
              </w:rPr>
              <w:t>h</w:t>
            </w:r>
            <w:proofErr w:type="spellEnd"/>
            <w:r w:rsidRPr="00C02A9A">
              <w:rPr>
                <w:sz w:val="20"/>
              </w:rPr>
              <w:t xml:space="preserve"> 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Sony Mobile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Sean Coffey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Realtek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 xml:space="preserve">Naveen </w:t>
            </w:r>
            <w:proofErr w:type="spellStart"/>
            <w:r w:rsidRPr="00C02A9A">
              <w:rPr>
                <w:sz w:val="20"/>
              </w:rPr>
              <w:t>Kakani</w:t>
            </w:r>
            <w:proofErr w:type="spellEnd"/>
            <w:r w:rsidRPr="00C02A9A">
              <w:rPr>
                <w:sz w:val="20"/>
              </w:rPr>
              <w:t xml:space="preserve">  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CSR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Tomoko Adachi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Toshiba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Rakesh Taori</w:t>
            </w:r>
            <w:r>
              <w:rPr>
                <w:sz w:val="20"/>
              </w:rPr>
              <w:tab/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proofErr w:type="spellStart"/>
            <w:r w:rsidRPr="00B3369F">
              <w:rPr>
                <w:sz w:val="20"/>
              </w:rPr>
              <w:t>Hyunjeong</w:t>
            </w:r>
            <w:proofErr w:type="spellEnd"/>
            <w:r w:rsidRPr="00B3369F">
              <w:rPr>
                <w:sz w:val="20"/>
              </w:rPr>
              <w:t xml:space="preserve"> Kang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>
              <w:rPr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Leif Wilhelmsson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Stephen Rayment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 Nordström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36591" w:rsidTr="00442979">
        <w:trPr>
          <w:jc w:val="center"/>
        </w:trPr>
        <w:tc>
          <w:tcPr>
            <w:tcW w:w="1668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Guido R. Hiertz</w:t>
            </w:r>
          </w:p>
        </w:tc>
        <w:tc>
          <w:tcPr>
            <w:tcW w:w="1732" w:type="dxa"/>
          </w:tcPr>
          <w:p w:rsidR="00836591" w:rsidRPr="00C02A9A" w:rsidRDefault="00836591" w:rsidP="00442979">
            <w:pPr>
              <w:rPr>
                <w:sz w:val="20"/>
              </w:rPr>
            </w:pPr>
            <w:r w:rsidRPr="00C02A9A">
              <w:rPr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36591" w:rsidRDefault="00836591" w:rsidP="0044297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836591" w:rsidRPr="003C4037" w:rsidRDefault="00836591" w:rsidP="00836591">
      <w:pPr>
        <w:rPr>
          <w:lang w:eastAsia="ko-KR"/>
        </w:rPr>
      </w:pPr>
    </w:p>
    <w:p w:rsidR="00836591" w:rsidRPr="003C4037" w:rsidRDefault="00836591" w:rsidP="00836591">
      <w:pPr>
        <w:pStyle w:val="Heading1"/>
        <w:rPr>
          <w:rFonts w:ascii="Times New Roman" w:hAnsi="Times New Roman"/>
          <w:lang w:eastAsia="ko-KR"/>
        </w:rPr>
      </w:pPr>
      <w:bookmarkStart w:id="4" w:name="_Toc368949085"/>
      <w:bookmarkEnd w:id="0"/>
      <w:bookmarkEnd w:id="1"/>
      <w:r w:rsidRPr="003C4037">
        <w:rPr>
          <w:rFonts w:ascii="Times New Roman" w:hAnsi="Times New Roman"/>
          <w:lang w:eastAsia="ko-KR"/>
        </w:rPr>
        <w:t>3</w:t>
      </w:r>
      <w:r>
        <w:rPr>
          <w:rFonts w:ascii="Times New Roman" w:hAnsi="Times New Roman"/>
          <w:lang w:eastAsia="ko-KR"/>
        </w:rPr>
        <w:t>a</w:t>
      </w:r>
      <w:r w:rsidRPr="003C4037">
        <w:rPr>
          <w:rFonts w:ascii="Times New Roman" w:hAnsi="Times New Roman"/>
          <w:lang w:eastAsia="ko-KR"/>
        </w:rPr>
        <w:t xml:space="preserve"> - Indoor Small BSSs Scenario</w:t>
      </w:r>
      <w:r>
        <w:rPr>
          <w:rFonts w:ascii="Times New Roman" w:hAnsi="Times New Roman"/>
          <w:lang w:eastAsia="ko-KR"/>
        </w:rPr>
        <w:t xml:space="preserve"> for Stadium</w:t>
      </w:r>
    </w:p>
    <w:p w:rsidR="00836591" w:rsidRPr="003C4037" w:rsidRDefault="00836591" w:rsidP="00836591">
      <w:pPr>
        <w:rPr>
          <w:lang w:eastAsia="ko-KR"/>
        </w:rPr>
      </w:pPr>
    </w:p>
    <w:p w:rsidR="00836591" w:rsidRPr="003C4037" w:rsidRDefault="00836591" w:rsidP="00836591">
      <w:pPr>
        <w:rPr>
          <w:lang w:eastAsia="ko-KR"/>
        </w:rPr>
      </w:pPr>
      <w:r w:rsidRPr="003C4037">
        <w:rPr>
          <w:lang w:eastAsia="ko-KR"/>
        </w:rPr>
        <w:t xml:space="preserve">This scenario has the objective to capture the issues and be representative of real-world </w:t>
      </w:r>
      <w:r>
        <w:rPr>
          <w:lang w:eastAsia="ko-KR"/>
        </w:rPr>
        <w:t>stadium</w:t>
      </w:r>
      <w:r w:rsidRPr="003C4037">
        <w:rPr>
          <w:lang w:eastAsia="ko-KR"/>
        </w:rPr>
        <w:t xml:space="preserve"> deployments with a </w:t>
      </w:r>
      <w:r>
        <w:rPr>
          <w:lang w:eastAsia="ko-KR"/>
        </w:rPr>
        <w:t>rather low</w:t>
      </w:r>
      <w:r w:rsidRPr="003C4037">
        <w:rPr>
          <w:lang w:eastAsia="ko-KR"/>
        </w:rPr>
        <w:t xml:space="preserve"> separation between</w:t>
      </w:r>
      <w:r>
        <w:rPr>
          <w:lang w:eastAsia="ko-KR"/>
        </w:rPr>
        <w:t xml:space="preserve"> APs</w:t>
      </w:r>
      <w:r w:rsidRPr="003C4037">
        <w:rPr>
          <w:lang w:eastAsia="ko-KR"/>
        </w:rPr>
        <w:t xml:space="preserve"> </w:t>
      </w:r>
      <w:r>
        <w:rPr>
          <w:lang w:eastAsia="ko-KR"/>
        </w:rPr>
        <w:t xml:space="preserve">and </w:t>
      </w:r>
      <w:r w:rsidRPr="003C4037">
        <w:rPr>
          <w:lang w:eastAsia="ko-KR"/>
        </w:rPr>
        <w:t xml:space="preserve">with </w:t>
      </w:r>
      <w:r>
        <w:rPr>
          <w:lang w:eastAsia="ko-KR"/>
        </w:rPr>
        <w:t>very high density of STAs:</w:t>
      </w:r>
    </w:p>
    <w:p w:rsidR="00836591" w:rsidRDefault="00836591" w:rsidP="00836591">
      <w:pPr>
        <w:pStyle w:val="ListParagraph"/>
        <w:numPr>
          <w:ilvl w:val="0"/>
          <w:numId w:val="1"/>
        </w:numPr>
        <w:rPr>
          <w:lang w:eastAsia="ko-KR"/>
        </w:rPr>
      </w:pPr>
      <w:r w:rsidRPr="003C4037">
        <w:rPr>
          <w:lang w:eastAsia="ko-KR"/>
        </w:rPr>
        <w:t xml:space="preserve">In such environments, the </w:t>
      </w:r>
      <w:r>
        <w:rPr>
          <w:lang w:eastAsia="ko-KR"/>
        </w:rPr>
        <w:t xml:space="preserve">network </w:t>
      </w:r>
      <w:r w:rsidRPr="003C4037">
        <w:rPr>
          <w:lang w:eastAsia="ko-KR"/>
        </w:rPr>
        <w:t xml:space="preserve">(ESS) is </w:t>
      </w:r>
      <w:r>
        <w:rPr>
          <w:lang w:eastAsia="ko-KR"/>
        </w:rPr>
        <w:t xml:space="preserve">carefully </w:t>
      </w:r>
      <w:r w:rsidRPr="003C4037">
        <w:rPr>
          <w:lang w:eastAsia="ko-KR"/>
        </w:rPr>
        <w:t xml:space="preserve">planned. For simulation complexity simplifications, </w:t>
      </w:r>
      <w:r>
        <w:rPr>
          <w:lang w:eastAsia="ko-KR"/>
        </w:rPr>
        <w:t xml:space="preserve">a 2D strip is proposed as a representation of a portion of the seating area. Furthermore, the </w:t>
      </w:r>
      <w:proofErr w:type="spellStart"/>
      <w:r>
        <w:rPr>
          <w:lang w:eastAsia="ko-KR"/>
        </w:rPr>
        <w:t>stip</w:t>
      </w:r>
      <w:proofErr w:type="spellEnd"/>
      <w:r>
        <w:rPr>
          <w:lang w:eastAsia="ko-KR"/>
        </w:rPr>
        <w:t xml:space="preserve"> is wrapped round the edges in order to avoid propagation </w:t>
      </w:r>
      <w:proofErr w:type="spellStart"/>
      <w:r>
        <w:rPr>
          <w:lang w:eastAsia="ko-KR"/>
        </w:rPr>
        <w:t>artifacts</w:t>
      </w:r>
      <w:proofErr w:type="spellEnd"/>
      <w:r>
        <w:rPr>
          <w:lang w:eastAsia="ko-KR"/>
        </w:rPr>
        <w:t>.</w:t>
      </w:r>
    </w:p>
    <w:p w:rsidR="00836591" w:rsidRPr="003C4037" w:rsidRDefault="00836591" w:rsidP="008365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eastAsia="ko-KR"/>
        </w:rPr>
        <w:t>In such environments the following is to be considered</w:t>
      </w:r>
      <w:r w:rsidRPr="003C4037">
        <w:rPr>
          <w:lang w:eastAsia="ko-KR"/>
        </w:rPr>
        <w:t>:</w:t>
      </w:r>
    </w:p>
    <w:p w:rsidR="00836591" w:rsidRPr="003C4037" w:rsidRDefault="00836591" w:rsidP="00836591">
      <w:pPr>
        <w:pStyle w:val="ListParagraph"/>
        <w:numPr>
          <w:ilvl w:val="1"/>
          <w:numId w:val="1"/>
        </w:numPr>
        <w:rPr>
          <w:i/>
          <w:iCs/>
          <w:lang w:val="en-US"/>
        </w:rPr>
      </w:pPr>
      <w:r>
        <w:rPr>
          <w:lang w:val="en-US"/>
        </w:rPr>
        <w:t>I</w:t>
      </w:r>
      <w:r w:rsidRPr="003C4037">
        <w:rPr>
          <w:lang w:val="en-US"/>
        </w:rPr>
        <w:t xml:space="preserve">nterference between APs belonging to the same managed ESS </w:t>
      </w:r>
      <w:r>
        <w:rPr>
          <w:lang w:val="en-US"/>
        </w:rPr>
        <w:t>due to high density deployment</w:t>
      </w:r>
    </w:p>
    <w:p w:rsidR="00836591" w:rsidRPr="0045653D" w:rsidRDefault="00836591" w:rsidP="00836591">
      <w:pPr>
        <w:pStyle w:val="ListParagraph"/>
        <w:numPr>
          <w:ilvl w:val="1"/>
          <w:numId w:val="1"/>
        </w:numPr>
        <w:rPr>
          <w:lang w:val="en-US" w:eastAsia="ko-KR"/>
        </w:rPr>
      </w:pPr>
      <w:r w:rsidRPr="003C4037">
        <w:rPr>
          <w:lang w:val="en-US" w:eastAsia="ko-KR"/>
        </w:rPr>
        <w:t>Interference with unmanaged networks (P2P links)</w:t>
      </w:r>
    </w:p>
    <w:p w:rsidR="00836591" w:rsidRPr="00A92D90" w:rsidRDefault="00836591" w:rsidP="00836591">
      <w:pPr>
        <w:pStyle w:val="ListParagraph"/>
        <w:numPr>
          <w:ilvl w:val="1"/>
          <w:numId w:val="1"/>
        </w:numPr>
        <w:rPr>
          <w:i/>
          <w:iCs/>
          <w:lang w:val="en-US"/>
        </w:rPr>
      </w:pPr>
      <w:r>
        <w:rPr>
          <w:lang w:val="en-US" w:eastAsia="ko-KR"/>
        </w:rPr>
        <w:t xml:space="preserve">Uplink/Downlink asymmetry covering topology, power levels, range, and carriers sensing aspects </w:t>
      </w:r>
    </w:p>
    <w:p w:rsidR="00836591" w:rsidRPr="003C4037" w:rsidRDefault="00836591" w:rsidP="00836591">
      <w:pPr>
        <w:rPr>
          <w:lang w:val="en-US"/>
        </w:rPr>
      </w:pPr>
    </w:p>
    <w:p w:rsidR="00836591" w:rsidRPr="00BA05EB" w:rsidRDefault="00836591" w:rsidP="00836591">
      <w:pPr>
        <w:rPr>
          <w:bCs/>
          <w:lang w:val="en-US" w:eastAsia="ko-KR"/>
        </w:rPr>
      </w:pPr>
      <w:r w:rsidRPr="00BA05EB">
        <w:rPr>
          <w:lang w:val="en-US" w:eastAsia="ko-KR"/>
        </w:rPr>
        <w:t>It is important to define a proportion ([50 %]</w:t>
      </w:r>
      <w:r>
        <w:rPr>
          <w:rStyle w:val="FootnoteReference"/>
          <w:lang w:val="en-US" w:eastAsia="ko-KR"/>
        </w:rPr>
        <w:footnoteReference w:id="1"/>
      </w:r>
      <w:r w:rsidRPr="00BA05EB">
        <w:rPr>
          <w:lang w:val="en-US" w:eastAsia="ko-KR"/>
        </w:rPr>
        <w:t>) of legacy devices in this scenario that do not implement the proposed solution under evaluation</w:t>
      </w:r>
      <w:r w:rsidRPr="00BA05EB">
        <w:rPr>
          <w:rFonts w:eastAsia="MS PGothic"/>
          <w:b/>
          <w:bCs/>
          <w:color w:val="000000"/>
          <w:sz w:val="38"/>
          <w:szCs w:val="38"/>
        </w:rPr>
        <w:t xml:space="preserve"> </w:t>
      </w:r>
      <w:r w:rsidRPr="003C4037">
        <w:rPr>
          <w:lang w:eastAsia="ko-KR"/>
        </w:rPr>
        <w:t>to ensure that the solution will keep its efficiency in real deployments (some solutions may be sensitive to the presence of legacy devices while other</w:t>
      </w:r>
      <w:r>
        <w:rPr>
          <w:lang w:eastAsia="ko-KR"/>
        </w:rPr>
        <w:t>s</w:t>
      </w:r>
      <w:r w:rsidRPr="003C4037">
        <w:rPr>
          <w:lang w:eastAsia="ko-KR"/>
        </w:rPr>
        <w:t xml:space="preserve"> wo</w:t>
      </w:r>
      <w:r>
        <w:rPr>
          <w:lang w:eastAsia="ko-KR"/>
        </w:rPr>
        <w:t>uld no</w:t>
      </w:r>
      <w:r w:rsidRPr="003C4037">
        <w:rPr>
          <w:lang w:eastAsia="ko-KR"/>
        </w:rPr>
        <w:t>t).</w:t>
      </w:r>
      <w:r w:rsidRPr="00BA05EB">
        <w:rPr>
          <w:lang w:val="en-US" w:eastAsia="ko-KR"/>
        </w:rPr>
        <w:t xml:space="preserve"> These legacy devices shall simply </w:t>
      </w:r>
      <w:r w:rsidRPr="00BA05EB">
        <w:rPr>
          <w:bCs/>
          <w:lang w:val="en-US" w:eastAsia="ko-KR"/>
        </w:rPr>
        <w:t>keep the baseline default parameters and shall not implement the proposed solution under evaluation.</w:t>
      </w:r>
    </w:p>
    <w:p w:rsidR="00836591" w:rsidRDefault="00836591" w:rsidP="00836591">
      <w:pPr>
        <w:rPr>
          <w:bCs/>
          <w:lang w:val="en-US" w:eastAsia="ko-KR"/>
        </w:rPr>
      </w:pPr>
      <w:r>
        <w:rPr>
          <w:bCs/>
          <w:lang w:val="en-US" w:eastAsia="ko-KR"/>
        </w:rPr>
        <w:br w:type="page"/>
      </w:r>
    </w:p>
    <w:p w:rsidR="00836591" w:rsidRPr="009F7C56" w:rsidRDefault="00836591" w:rsidP="00836591">
      <w:pPr>
        <w:rPr>
          <w:u w:val="single"/>
          <w:lang w:eastAsia="ko-KR"/>
        </w:rPr>
      </w:pPr>
      <w:r w:rsidRPr="009F7C56">
        <w:rPr>
          <w:u w:val="single"/>
          <w:lang w:eastAsia="ko-KR"/>
        </w:rPr>
        <w:lastRenderedPageBreak/>
        <w:t xml:space="preserve">The text below highlights only the differences with the parameters </w:t>
      </w:r>
      <w:proofErr w:type="spellStart"/>
      <w:r w:rsidRPr="009F7C56">
        <w:rPr>
          <w:u w:val="single"/>
          <w:lang w:eastAsia="ko-KR"/>
        </w:rPr>
        <w:t>adpoted</w:t>
      </w:r>
      <w:proofErr w:type="spellEnd"/>
      <w:r w:rsidRPr="009F7C56">
        <w:rPr>
          <w:u w:val="single"/>
          <w:lang w:eastAsia="ko-KR"/>
        </w:rPr>
        <w:t xml:space="preserve"> for Indoor Small BSS Scenario:</w:t>
      </w:r>
    </w:p>
    <w:p w:rsidR="00836591" w:rsidRPr="003C4037" w:rsidRDefault="00836591" w:rsidP="00836591">
      <w:pPr>
        <w:rPr>
          <w:lang w:eastAsia="ko-KR"/>
        </w:rPr>
      </w:pPr>
    </w:p>
    <w:tbl>
      <w:tblPr>
        <w:tblStyle w:val="TableGrid"/>
        <w:tblW w:w="5133" w:type="pct"/>
        <w:jc w:val="center"/>
        <w:tblLayout w:type="fixed"/>
        <w:tblLook w:val="04A0" w:firstRow="1" w:lastRow="0" w:firstColumn="1" w:lastColumn="0" w:noHBand="0" w:noVBand="1"/>
      </w:tblPr>
      <w:tblGrid>
        <w:gridCol w:w="2872"/>
        <w:gridCol w:w="26"/>
        <w:gridCol w:w="6933"/>
      </w:tblGrid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auto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Parameter</w:t>
            </w:r>
          </w:p>
        </w:tc>
        <w:tc>
          <w:tcPr>
            <w:tcW w:w="3526" w:type="pct"/>
            <w:shd w:val="clear" w:color="auto" w:fill="auto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Value</w:t>
            </w: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C2D69B" w:themeFill="accent3" w:themeFillTint="99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Topology (A)</w:t>
            </w:r>
          </w:p>
        </w:tc>
      </w:tr>
      <w:tr w:rsidR="00836591" w:rsidRPr="003C4037" w:rsidTr="00442979">
        <w:trPr>
          <w:trHeight w:val="3950"/>
          <w:jc w:val="center"/>
        </w:trPr>
        <w:tc>
          <w:tcPr>
            <w:tcW w:w="5000" w:type="pct"/>
            <w:gridSpan w:val="3"/>
            <w:shd w:val="clear" w:color="auto" w:fill="C2D69B" w:themeFill="accent3" w:themeFillTint="99"/>
          </w:tcPr>
          <w:p w:rsidR="00836591" w:rsidRPr="003C4037" w:rsidRDefault="00836591" w:rsidP="00442979">
            <w:pPr>
              <w:keepNext/>
            </w:pPr>
          </w:p>
          <w:p w:rsidR="00836591" w:rsidRPr="003C4037" w:rsidRDefault="00836591" w:rsidP="00442979">
            <w:pPr>
              <w:pStyle w:val="Caption"/>
            </w:pPr>
          </w:p>
          <w:p w:rsidR="00836591" w:rsidRDefault="00836591" w:rsidP="00442979">
            <w:pPr>
              <w:keepNext/>
              <w:jc w:val="center"/>
            </w:pPr>
            <w:bookmarkStart w:id="5" w:name="_GoBack"/>
            <w:bookmarkEnd w:id="5"/>
            <w:r>
              <w:t xml:space="preserve"> </w:t>
            </w:r>
            <w:r>
              <w:object w:dxaOrig="3806" w:dyaOrig="3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1pt;height:245.9pt" o:ole="">
                  <v:imagedata r:id="rId9" o:title=""/>
                </v:shape>
                <o:OLEObject Type="Embed" ProgID="Visio.Drawing.11" ShapeID="_x0000_i1025" DrawAspect="Content" ObjectID="_1467046747" r:id="rId10"/>
              </w:object>
            </w:r>
          </w:p>
          <w:p w:rsidR="00836591" w:rsidRDefault="00836591" w:rsidP="00442979">
            <w:pPr>
              <w:pStyle w:val="Caption"/>
              <w:jc w:val="center"/>
            </w:pPr>
            <w:r>
              <w:t>Figure X - Layout of BSSs in a Stadium deployment</w:t>
            </w:r>
          </w:p>
          <w:p w:rsidR="00836591" w:rsidRDefault="00836591" w:rsidP="00442979"/>
          <w:p w:rsidR="00836591" w:rsidRDefault="00836591" w:rsidP="00442979">
            <w:pPr>
              <w:keepNext/>
              <w:jc w:val="center"/>
            </w:pPr>
            <w:r>
              <w:object w:dxaOrig="3600" w:dyaOrig="2822">
                <v:shape id="_x0000_i1026" type="#_x0000_t75" style="width:240.45pt;height:188.15pt" o:ole="">
                  <v:imagedata r:id="rId11" o:title=""/>
                </v:shape>
                <o:OLEObject Type="Embed" ProgID="Visio.Drawing.11" ShapeID="_x0000_i1026" DrawAspect="Content" ObjectID="_1467046748" r:id="rId12"/>
              </w:object>
            </w:r>
          </w:p>
          <w:p w:rsidR="00836591" w:rsidRPr="00A33EB4" w:rsidRDefault="00836591" w:rsidP="00442979">
            <w:pPr>
              <w:pStyle w:val="Caption"/>
              <w:jc w:val="center"/>
            </w:pPr>
            <w:r>
              <w:t>Figure X+1</w:t>
            </w:r>
            <w:r w:rsidRPr="00691E49">
              <w:t xml:space="preserve"> - Layout of BSSs in a Stadium deployment</w:t>
            </w:r>
            <w:r>
              <w:t xml:space="preserve"> using </w:t>
            </w:r>
            <w:r>
              <w:rPr>
                <w:rFonts w:eastAsia="Malgun Gothic" w:hint="eastAsia"/>
              </w:rPr>
              <w:t>th</w:t>
            </w:r>
            <w:r>
              <w:t>e same channel in case frequency reuse 3 is used</w:t>
            </w:r>
          </w:p>
        </w:tc>
      </w:tr>
      <w:tr w:rsidR="00836591" w:rsidRPr="003C4037" w:rsidTr="00442979">
        <w:trPr>
          <w:trHeight w:val="194"/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rPr>
                <w:lang w:val="en-US"/>
              </w:rPr>
              <w:t>Environment description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1F7057" w:rsidRDefault="00836591" w:rsidP="00442979">
            <w:r>
              <w:t>Inter BSS</w:t>
            </w:r>
            <w:r w:rsidRPr="003C4037">
              <w:t xml:space="preserve"> distance (ICD): </w:t>
            </w:r>
            <w:r>
              <w:t>1</w:t>
            </w:r>
            <w:r w:rsidRPr="003C4037">
              <w:t>2 m</w:t>
            </w:r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t>APs location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3C4037" w:rsidRDefault="00836591" w:rsidP="00442979">
            <w:r>
              <w:t xml:space="preserve">APs are dropped only within the </w:t>
            </w:r>
            <w:proofErr w:type="spellStart"/>
            <w:r>
              <w:t>rechtangle</w:t>
            </w:r>
            <w:proofErr w:type="spellEnd"/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t>STAs location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3C4037" w:rsidRDefault="00836591" w:rsidP="00442979">
            <w:r>
              <w:rPr>
                <w:lang w:val="en-US"/>
              </w:rPr>
              <w:t xml:space="preserve">STAs are dropped only within the </w:t>
            </w:r>
            <w:proofErr w:type="spellStart"/>
            <w:r>
              <w:rPr>
                <w:lang w:val="en-US"/>
              </w:rPr>
              <w:t>rechtangle</w:t>
            </w:r>
            <w:proofErr w:type="spellEnd"/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>
              <w:rPr>
                <w:rFonts w:eastAsia="Malgun Gothic" w:hint="eastAsia"/>
              </w:rPr>
              <w:t xml:space="preserve">Number of STA and </w:t>
            </w:r>
            <w:r w:rsidRPr="003C4037">
              <w:t>STAs type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Default="00836591" w:rsidP="00442979">
            <w:r>
              <w:rPr>
                <w:lang w:val="en-US"/>
              </w:rPr>
              <w:t xml:space="preserve">N = </w:t>
            </w:r>
            <w:proofErr w:type="spellStart"/>
            <w:r>
              <w:rPr>
                <w:lang w:val="en-US"/>
              </w:rPr>
              <w:t>Nseats</w:t>
            </w:r>
            <w:proofErr w:type="spellEnd"/>
            <w:r>
              <w:t>×N_STA/</w:t>
            </w:r>
            <w:proofErr w:type="spellStart"/>
            <w:r>
              <w:t>seat×P</w:t>
            </w:r>
            <w:proofErr w:type="spellEnd"/>
            <w:r>
              <w:t>, where P is a probability factor between 0 and 1.</w:t>
            </w:r>
          </w:p>
          <w:p w:rsidR="00836591" w:rsidRDefault="00836591" w:rsidP="00442979">
            <w:proofErr w:type="spellStart"/>
            <w:r>
              <w:t>Nseats</w:t>
            </w:r>
            <w:proofErr w:type="spellEnd"/>
            <w:r>
              <w:t xml:space="preserve"> = 144</w:t>
            </w:r>
          </w:p>
          <w:p w:rsidR="00836591" w:rsidRPr="00B469CE" w:rsidRDefault="00836591" w:rsidP="00442979">
            <w:pPr>
              <w:rPr>
                <w:lang w:val="en-US"/>
              </w:rPr>
            </w:pPr>
            <w:r>
              <w:t>N_STA/seat =  1.5</w:t>
            </w:r>
          </w:p>
        </w:tc>
      </w:tr>
      <w:tr w:rsidR="00836591" w:rsidRPr="003C4037" w:rsidTr="00442979">
        <w:trPr>
          <w:trHeight w:val="179"/>
          <w:jc w:val="center"/>
        </w:trPr>
        <w:tc>
          <w:tcPr>
            <w:tcW w:w="1474" w:type="pct"/>
            <w:gridSpan w:val="2"/>
            <w:shd w:val="clear" w:color="auto" w:fill="C2D69B" w:themeFill="accent3" w:themeFillTint="99"/>
          </w:tcPr>
          <w:p w:rsidR="00836591" w:rsidRPr="003C4037" w:rsidRDefault="00836591" w:rsidP="00442979">
            <w:r w:rsidRPr="003C4037">
              <w:rPr>
                <w:lang w:val="en-US"/>
              </w:rPr>
              <w:t>Channel Model</w:t>
            </w:r>
          </w:p>
        </w:tc>
        <w:tc>
          <w:tcPr>
            <w:tcW w:w="3526" w:type="pct"/>
            <w:shd w:val="clear" w:color="auto" w:fill="C2D69B" w:themeFill="accent3" w:themeFillTint="99"/>
          </w:tcPr>
          <w:p w:rsidR="00836591" w:rsidRPr="00986ABD" w:rsidRDefault="00836591" w:rsidP="00442979">
            <w:pPr>
              <w:rPr>
                <w:lang w:val="en-US"/>
              </w:rPr>
            </w:pPr>
            <w:proofErr w:type="spellStart"/>
            <w:r w:rsidRPr="00986ABD">
              <w:rPr>
                <w:lang w:val="en-US"/>
              </w:rPr>
              <w:t>UMi</w:t>
            </w:r>
            <w:proofErr w:type="spellEnd"/>
            <w:r w:rsidRPr="00986ABD">
              <w:rPr>
                <w:lang w:val="en-US"/>
              </w:rPr>
              <w:t xml:space="preserve"> for AP-STA</w:t>
            </w:r>
          </w:p>
          <w:p w:rsidR="00836591" w:rsidRPr="00986ABD" w:rsidRDefault="00836591" w:rsidP="00442979">
            <w:pPr>
              <w:rPr>
                <w:lang w:val="en-US"/>
              </w:rPr>
            </w:pPr>
            <w:r w:rsidRPr="00986ABD">
              <w:rPr>
                <w:lang w:val="en-US"/>
              </w:rPr>
              <w:lastRenderedPageBreak/>
              <w:t xml:space="preserve">For STA-STA and AP-AP, use the same model as is chosen for outdoor </w:t>
            </w:r>
          </w:p>
          <w:p w:rsidR="00836591" w:rsidRPr="003E7F43" w:rsidRDefault="00836591" w:rsidP="00442979">
            <w:pPr>
              <w:rPr>
                <w:rFonts w:eastAsia="Malgun Gothic"/>
              </w:rPr>
            </w:pPr>
            <w:r w:rsidRPr="00986ABD">
              <w:rPr>
                <w:lang w:val="en-US"/>
              </w:rPr>
              <w:t>All STAs assumed to be outdoors (</w:t>
            </w:r>
            <w:proofErr w:type="spellStart"/>
            <w:r w:rsidRPr="00986ABD">
              <w:rPr>
                <w:lang w:val="en-US"/>
              </w:rPr>
              <w:t>UMi</w:t>
            </w:r>
            <w:proofErr w:type="spellEnd"/>
            <w:r w:rsidRPr="00986ABD">
              <w:rPr>
                <w:lang w:val="en-US"/>
              </w:rPr>
              <w:t xml:space="preserve"> specifies a fraction of users to be indoors and outdoors, respectively)</w:t>
            </w: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</w:tcPr>
          <w:p w:rsidR="00836591" w:rsidRPr="003C4037" w:rsidRDefault="00836591" w:rsidP="00442979"/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D99594" w:themeFill="accent2" w:themeFillTint="99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PHY parameters</w:t>
            </w:r>
          </w:p>
        </w:tc>
      </w:tr>
      <w:tr w:rsidR="00836591" w:rsidRPr="003C4037" w:rsidTr="00442979">
        <w:trPr>
          <w:jc w:val="center"/>
        </w:trPr>
        <w:tc>
          <w:tcPr>
            <w:tcW w:w="1461" w:type="pct"/>
            <w:shd w:val="clear" w:color="auto" w:fill="D99594" w:themeFill="accent2" w:themeFillTint="99"/>
          </w:tcPr>
          <w:p w:rsidR="00836591" w:rsidRDefault="00836591" w:rsidP="00442979">
            <w:pPr>
              <w:rPr>
                <w:lang w:val="en-US"/>
              </w:rPr>
            </w:pPr>
            <w:r>
              <w:rPr>
                <w:lang w:val="en-US"/>
              </w:rPr>
              <w:t>AP antenna gain</w:t>
            </w:r>
          </w:p>
        </w:tc>
        <w:tc>
          <w:tcPr>
            <w:tcW w:w="3539" w:type="pct"/>
            <w:gridSpan w:val="2"/>
            <w:shd w:val="clear" w:color="auto" w:fill="D99594" w:themeFill="accent2" w:themeFillTint="99"/>
          </w:tcPr>
          <w:p w:rsidR="00836591" w:rsidRDefault="00836591" w:rsidP="00442979">
            <w:pPr>
              <w:tabs>
                <w:tab w:val="center" w:pos="2286"/>
              </w:tabs>
            </w:pPr>
            <w:r>
              <w:t>+12dBi</w:t>
            </w:r>
          </w:p>
        </w:tc>
      </w:tr>
      <w:tr w:rsidR="00836591" w:rsidRPr="003C4037" w:rsidTr="00442979">
        <w:trPr>
          <w:jc w:val="center"/>
        </w:trPr>
        <w:tc>
          <w:tcPr>
            <w:tcW w:w="1461" w:type="pct"/>
            <w:shd w:val="clear" w:color="auto" w:fill="D99594" w:themeFill="accent2" w:themeFillTint="99"/>
          </w:tcPr>
          <w:p w:rsidR="00836591" w:rsidRPr="003C4037" w:rsidRDefault="00836591" w:rsidP="00442979">
            <w:pPr>
              <w:rPr>
                <w:lang w:val="en-US"/>
              </w:rPr>
            </w:pPr>
            <w:r>
              <w:rPr>
                <w:lang w:val="en-US"/>
              </w:rPr>
              <w:t>STA antenna gain</w:t>
            </w:r>
          </w:p>
        </w:tc>
        <w:tc>
          <w:tcPr>
            <w:tcW w:w="3539" w:type="pct"/>
            <w:gridSpan w:val="2"/>
            <w:shd w:val="clear" w:color="auto" w:fill="D99594" w:themeFill="accent2" w:themeFillTint="99"/>
          </w:tcPr>
          <w:p w:rsidR="00836591" w:rsidRPr="003C4037" w:rsidRDefault="00836591" w:rsidP="00442979">
            <w:pPr>
              <w:tabs>
                <w:tab w:val="center" w:pos="2286"/>
              </w:tabs>
            </w:pPr>
            <w:r>
              <w:t>0dBi</w:t>
            </w:r>
          </w:p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</w:tcPr>
          <w:p w:rsidR="00836591" w:rsidRPr="003C4037" w:rsidRDefault="00836591" w:rsidP="00442979"/>
        </w:tc>
      </w:tr>
      <w:tr w:rsidR="00836591" w:rsidRPr="003C4037" w:rsidTr="00442979">
        <w:trPr>
          <w:jc w:val="center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836591" w:rsidRPr="003C4037" w:rsidRDefault="00836591" w:rsidP="00442979">
            <w:pPr>
              <w:jc w:val="center"/>
              <w:rPr>
                <w:b/>
              </w:rPr>
            </w:pPr>
            <w:r w:rsidRPr="003C4037">
              <w:rPr>
                <w:b/>
              </w:rPr>
              <w:t>MAC parameters</w:t>
            </w:r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B8CCE4" w:themeFill="accent1" w:themeFillTint="66"/>
          </w:tcPr>
          <w:p w:rsidR="00836591" w:rsidRPr="003C4037" w:rsidRDefault="00836591" w:rsidP="00442979">
            <w:r w:rsidRPr="003C4037">
              <w:rPr>
                <w:lang w:val="en-US"/>
              </w:rPr>
              <w:t xml:space="preserve">RTS/CTS </w:t>
            </w:r>
            <w:r>
              <w:rPr>
                <w:lang w:val="en-US"/>
              </w:rPr>
              <w:t>Threshold</w:t>
            </w:r>
          </w:p>
        </w:tc>
        <w:tc>
          <w:tcPr>
            <w:tcW w:w="3526" w:type="pct"/>
            <w:shd w:val="clear" w:color="auto" w:fill="B8CCE4" w:themeFill="accent1" w:themeFillTint="66"/>
          </w:tcPr>
          <w:p w:rsidR="00836591" w:rsidRPr="007D2CDD" w:rsidRDefault="00836591" w:rsidP="00442979">
            <w:pPr>
              <w:rPr>
                <w:lang w:val="en-US"/>
              </w:rPr>
            </w:pPr>
            <w:r w:rsidRPr="003C4037">
              <w:rPr>
                <w:lang w:val="en-US"/>
              </w:rPr>
              <w:t>[</w:t>
            </w:r>
            <w:r>
              <w:rPr>
                <w:lang w:val="en-US"/>
              </w:rPr>
              <w:t>TBD</w:t>
            </w:r>
            <w:r w:rsidRPr="003C4037">
              <w:rPr>
                <w:lang w:val="en-US"/>
              </w:rPr>
              <w:t>]</w:t>
            </w:r>
          </w:p>
        </w:tc>
      </w:tr>
      <w:tr w:rsidR="00836591" w:rsidRPr="003C4037" w:rsidTr="00442979">
        <w:trPr>
          <w:jc w:val="center"/>
        </w:trPr>
        <w:tc>
          <w:tcPr>
            <w:tcW w:w="1474" w:type="pct"/>
            <w:gridSpan w:val="2"/>
            <w:shd w:val="clear" w:color="auto" w:fill="B8CCE4" w:themeFill="accent1" w:themeFillTint="66"/>
          </w:tcPr>
          <w:p w:rsidR="00836591" w:rsidRPr="003C4037" w:rsidRDefault="00836591" w:rsidP="00442979">
            <w:pPr>
              <w:rPr>
                <w:lang w:val="en-US"/>
              </w:rPr>
            </w:pPr>
            <w:r w:rsidRPr="003C4037">
              <w:rPr>
                <w:lang w:val="en-US"/>
              </w:rPr>
              <w:t>Association</w:t>
            </w:r>
          </w:p>
        </w:tc>
        <w:tc>
          <w:tcPr>
            <w:tcW w:w="3526" w:type="pct"/>
            <w:shd w:val="clear" w:color="auto" w:fill="B8CCE4" w:themeFill="accent1" w:themeFillTint="66"/>
          </w:tcPr>
          <w:p w:rsidR="00836591" w:rsidRPr="00986ABD" w:rsidRDefault="00836591" w:rsidP="00442979">
            <w:pPr>
              <w:rPr>
                <w:color w:val="000000"/>
                <w:sz w:val="21"/>
                <w:szCs w:val="21"/>
              </w:rPr>
            </w:pPr>
            <w:r w:rsidRPr="00986ABD">
              <w:t>[</w:t>
            </w:r>
            <w:r w:rsidRPr="00986ABD">
              <w:rPr>
                <w:color w:val="000000"/>
                <w:sz w:val="21"/>
                <w:szCs w:val="21"/>
              </w:rPr>
              <w:t>X% of STAs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are</w:t>
            </w:r>
            <w:proofErr w:type="gramEnd"/>
            <w:r w:rsidRPr="00986ABD">
              <w:rPr>
                <w:color w:val="000000"/>
                <w:sz w:val="21"/>
                <w:szCs w:val="21"/>
              </w:rPr>
              <w:t xml:space="preserve"> associate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d</w:t>
            </w:r>
            <w:r w:rsidRPr="00986ABD">
              <w:rPr>
                <w:color w:val="000000"/>
                <w:sz w:val="21"/>
                <w:szCs w:val="21"/>
              </w:rPr>
              <w:t xml:space="preserve"> with the strongest AP, Y% of STAs 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are </w:t>
            </w:r>
            <w:r w:rsidRPr="00986ABD">
              <w:rPr>
                <w:color w:val="000000"/>
                <w:sz w:val="21"/>
                <w:szCs w:val="21"/>
              </w:rPr>
              <w:t>associate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d</w:t>
            </w:r>
            <w:r w:rsidRPr="00986ABD">
              <w:rPr>
                <w:color w:val="000000"/>
                <w:sz w:val="21"/>
                <w:szCs w:val="21"/>
              </w:rPr>
              <w:t xml:space="preserve"> with the second-strongest AP, and Z% of STAs 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are </w:t>
            </w:r>
            <w:r w:rsidRPr="00986ABD">
              <w:rPr>
                <w:color w:val="000000"/>
                <w:sz w:val="21"/>
                <w:szCs w:val="21"/>
              </w:rPr>
              <w:t>associate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>d</w:t>
            </w:r>
            <w:r w:rsidRPr="00986ABD">
              <w:rPr>
                <w:color w:val="000000"/>
                <w:sz w:val="21"/>
                <w:szCs w:val="21"/>
              </w:rPr>
              <w:t xml:space="preserve"> with the third-strongest AP. </w:t>
            </w:r>
            <w:r>
              <w:rPr>
                <w:color w:val="000000"/>
                <w:sz w:val="21"/>
                <w:szCs w:val="21"/>
              </w:rPr>
              <w:t>N</w:t>
            </w:r>
            <w:r w:rsidRPr="00986ABD">
              <w:rPr>
                <w:color w:val="000000"/>
                <w:sz w:val="21"/>
                <w:szCs w:val="21"/>
              </w:rPr>
              <w:t xml:space="preserve">% </w:t>
            </w:r>
            <w:r w:rsidRPr="00986ABD">
              <w:rPr>
                <w:rFonts w:eastAsia="Malgun Gothic" w:hint="eastAsia"/>
                <w:color w:val="000000"/>
                <w:sz w:val="21"/>
                <w:szCs w:val="21"/>
              </w:rPr>
              <w:t xml:space="preserve">of STAs </w:t>
            </w:r>
            <w:r w:rsidRPr="00986ABD">
              <w:rPr>
                <w:color w:val="000000"/>
                <w:sz w:val="21"/>
                <w:szCs w:val="21"/>
              </w:rPr>
              <w:t>are not associated. Detailed distribution to be decided.]</w:t>
            </w:r>
          </w:p>
          <w:p w:rsidR="00836591" w:rsidRPr="00986ABD" w:rsidRDefault="00836591" w:rsidP="00442979">
            <w:pPr>
              <w:rPr>
                <w:color w:val="000000"/>
                <w:sz w:val="21"/>
                <w:szCs w:val="21"/>
              </w:rPr>
            </w:pPr>
          </w:p>
          <w:p w:rsidR="00836591" w:rsidRPr="003C4037" w:rsidRDefault="00836591" w:rsidP="0044297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[X=50</w:t>
            </w:r>
            <w:r w:rsidRPr="00986ABD">
              <w:rPr>
                <w:color w:val="000000"/>
                <w:sz w:val="21"/>
                <w:szCs w:val="21"/>
              </w:rPr>
              <w:t>, Y=</w:t>
            </w:r>
            <w:r>
              <w:rPr>
                <w:color w:val="000000"/>
                <w:sz w:val="21"/>
                <w:szCs w:val="21"/>
              </w:rPr>
              <w:t>3</w:t>
            </w:r>
            <w:r w:rsidRPr="00986ABD">
              <w:rPr>
                <w:color w:val="000000"/>
                <w:sz w:val="21"/>
                <w:szCs w:val="21"/>
              </w:rPr>
              <w:t>0,Z=</w:t>
            </w:r>
            <w:r>
              <w:rPr>
                <w:color w:val="000000"/>
                <w:sz w:val="21"/>
                <w:szCs w:val="21"/>
              </w:rPr>
              <w:t>2</w:t>
            </w:r>
            <w:r w:rsidRPr="00986ABD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 N=0%</w:t>
            </w:r>
            <w:r w:rsidRPr="00986ABD">
              <w:rPr>
                <w:color w:val="000000"/>
                <w:sz w:val="21"/>
                <w:szCs w:val="21"/>
              </w:rPr>
              <w:t>]</w:t>
            </w:r>
          </w:p>
        </w:tc>
      </w:tr>
    </w:tbl>
    <w:p w:rsidR="00836591" w:rsidRPr="003C4037" w:rsidRDefault="00836591" w:rsidP="00836591"/>
    <w:bookmarkEnd w:id="2"/>
    <w:bookmarkEnd w:id="3"/>
    <w:bookmarkEnd w:id="4"/>
    <w:p w:rsidR="00836591" w:rsidRPr="007D2CDD" w:rsidRDefault="00836591" w:rsidP="00836591">
      <w:pPr>
        <w:rPr>
          <w:b/>
          <w:lang w:val="en-CA"/>
        </w:rPr>
      </w:pPr>
    </w:p>
    <w:p w:rsidR="005D224C" w:rsidRPr="00836591" w:rsidRDefault="005D224C" w:rsidP="00836591"/>
    <w:sectPr w:rsidR="005D224C" w:rsidRPr="0083659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AE" w:rsidRDefault="002218AE">
      <w:r>
        <w:separator/>
      </w:r>
    </w:p>
  </w:endnote>
  <w:endnote w:type="continuationSeparator" w:id="0">
    <w:p w:rsidR="002218AE" w:rsidRDefault="0022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218A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26CA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36591">
      <w:rPr>
        <w:noProof/>
      </w:rPr>
      <w:t>2</w:t>
    </w:r>
    <w:r w:rsidR="0029020B">
      <w:fldChar w:fldCharType="end"/>
    </w:r>
    <w:r w:rsidR="0029020B">
      <w:tab/>
    </w:r>
    <w:r w:rsidR="005B1406">
      <w:fldChar w:fldCharType="begin"/>
    </w:r>
    <w:r w:rsidR="005B1406">
      <w:instrText xml:space="preserve"> COMMENTS  \* MERGEFORMAT </w:instrText>
    </w:r>
    <w:r w:rsidR="005B1406">
      <w:fldChar w:fldCharType="separate"/>
    </w:r>
    <w:proofErr w:type="spellStart"/>
    <w:r w:rsidR="00F47BCB">
      <w:t>Hakan</w:t>
    </w:r>
    <w:proofErr w:type="spellEnd"/>
    <w:r w:rsidR="00F47BCB">
      <w:t xml:space="preserve"> Persson, Ericsson</w:t>
    </w:r>
    <w:r w:rsidR="005B1406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AE" w:rsidRDefault="002218AE">
      <w:r>
        <w:separator/>
      </w:r>
    </w:p>
  </w:footnote>
  <w:footnote w:type="continuationSeparator" w:id="0">
    <w:p w:rsidR="002218AE" w:rsidRDefault="002218AE">
      <w:r>
        <w:continuationSeparator/>
      </w:r>
    </w:p>
  </w:footnote>
  <w:footnote w:id="1">
    <w:p w:rsidR="00836591" w:rsidRPr="00746623" w:rsidRDefault="00836591" w:rsidP="008365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10955">
          <w:rPr>
            <w:rStyle w:val="Hyperlink"/>
          </w:rPr>
          <w:t>https://www.abiresearch.com/market-research/product/1016669-adoption-of-80211ac-will-be-a-little-faste/</w:t>
        </w:r>
      </w:hyperlink>
      <w:r>
        <w:rPr>
          <w:rStyle w:val="Hyperlink"/>
        </w:rPr>
        <w:t xml:space="preserve"> </w:t>
      </w:r>
      <w:r>
        <w:t>suggests that the adoption of 802.11ac is roughly 50% three years after market introduction. Numbers seemed to be the same with 802.11n.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B140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7BCB">
      <w:t>July 2014</w:t>
    </w:r>
    <w:r>
      <w:fldChar w:fldCharType="end"/>
    </w:r>
    <w:r w:rsidR="0029020B">
      <w:tab/>
    </w:r>
    <w:r w:rsidR="0029020B">
      <w:tab/>
    </w:r>
    <w:r w:rsidR="002218AE">
      <w:fldChar w:fldCharType="begin"/>
    </w:r>
    <w:r w:rsidR="002218AE">
      <w:instrText xml:space="preserve"> TITLE  \* MERGEFORMAT </w:instrText>
    </w:r>
    <w:r w:rsidR="002218AE">
      <w:fldChar w:fldCharType="separate"/>
    </w:r>
    <w:r w:rsidR="00D23914">
      <w:t>doc.: IEEE 802.11-14/0860r</w:t>
    </w:r>
    <w:r w:rsidR="002218AE">
      <w:fldChar w:fldCharType="end"/>
    </w:r>
    <w:r w:rsidR="0083659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AC"/>
    <w:rsid w:val="000618F4"/>
    <w:rsid w:val="00083EE0"/>
    <w:rsid w:val="000E0121"/>
    <w:rsid w:val="000F08BF"/>
    <w:rsid w:val="00116C14"/>
    <w:rsid w:val="00162D7A"/>
    <w:rsid w:val="001B4DA7"/>
    <w:rsid w:val="001D723B"/>
    <w:rsid w:val="00200202"/>
    <w:rsid w:val="002202B6"/>
    <w:rsid w:val="002218AE"/>
    <w:rsid w:val="002661E4"/>
    <w:rsid w:val="0029020B"/>
    <w:rsid w:val="002A4E59"/>
    <w:rsid w:val="002D44BE"/>
    <w:rsid w:val="003029E5"/>
    <w:rsid w:val="00311E11"/>
    <w:rsid w:val="0032463A"/>
    <w:rsid w:val="003330AF"/>
    <w:rsid w:val="00364F37"/>
    <w:rsid w:val="0040246D"/>
    <w:rsid w:val="00442037"/>
    <w:rsid w:val="0045653D"/>
    <w:rsid w:val="004B064B"/>
    <w:rsid w:val="005B1406"/>
    <w:rsid w:val="005D224C"/>
    <w:rsid w:val="005E37E1"/>
    <w:rsid w:val="0062440B"/>
    <w:rsid w:val="006263F4"/>
    <w:rsid w:val="006C0727"/>
    <w:rsid w:val="006E145F"/>
    <w:rsid w:val="006E3D1D"/>
    <w:rsid w:val="00746623"/>
    <w:rsid w:val="00770572"/>
    <w:rsid w:val="007F5C6E"/>
    <w:rsid w:val="00836591"/>
    <w:rsid w:val="009129FA"/>
    <w:rsid w:val="00935FA5"/>
    <w:rsid w:val="00941F94"/>
    <w:rsid w:val="00986ABD"/>
    <w:rsid w:val="00994FD6"/>
    <w:rsid w:val="009D4042"/>
    <w:rsid w:val="009F2FBC"/>
    <w:rsid w:val="009F3BDC"/>
    <w:rsid w:val="00A53625"/>
    <w:rsid w:val="00A80997"/>
    <w:rsid w:val="00AA427C"/>
    <w:rsid w:val="00AD2849"/>
    <w:rsid w:val="00B3369F"/>
    <w:rsid w:val="00B60FC8"/>
    <w:rsid w:val="00B636AA"/>
    <w:rsid w:val="00BE68C2"/>
    <w:rsid w:val="00BF22DC"/>
    <w:rsid w:val="00C02A9A"/>
    <w:rsid w:val="00C07729"/>
    <w:rsid w:val="00C26CAC"/>
    <w:rsid w:val="00C27BD1"/>
    <w:rsid w:val="00C66AF3"/>
    <w:rsid w:val="00C948B2"/>
    <w:rsid w:val="00CA09B2"/>
    <w:rsid w:val="00CC41F3"/>
    <w:rsid w:val="00CE50BE"/>
    <w:rsid w:val="00D23914"/>
    <w:rsid w:val="00D53FAB"/>
    <w:rsid w:val="00DC5A7B"/>
    <w:rsid w:val="00EB03AB"/>
    <w:rsid w:val="00ED5087"/>
    <w:rsid w:val="00ED5B89"/>
    <w:rsid w:val="00EF24B8"/>
    <w:rsid w:val="00EF61B2"/>
    <w:rsid w:val="00F47BCB"/>
    <w:rsid w:val="00FE5A92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C66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AF3"/>
    <w:rPr>
      <w:sz w:val="20"/>
    </w:rPr>
  </w:style>
  <w:style w:type="character" w:customStyle="1" w:styleId="CommentTextChar">
    <w:name w:val="Comment Text Char"/>
    <w:link w:val="CommentText"/>
    <w:uiPriority w:val="99"/>
    <w:rsid w:val="00C66AF3"/>
    <w:rPr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C66AF3"/>
    <w:rPr>
      <w:b/>
      <w:bCs/>
      <w:sz w:val="20"/>
    </w:rPr>
  </w:style>
  <w:style w:type="table" w:styleId="TableGrid">
    <w:name w:val="Table Grid"/>
    <w:basedOn w:val="TableNormal"/>
    <w:rsid w:val="00C66AF3"/>
    <w:rPr>
      <w:rFonts w:eastAsia="MS Mincho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AF3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6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AA"/>
    <w:rPr>
      <w:b/>
      <w:bCs/>
      <w:lang w:val="en-GB"/>
    </w:rPr>
  </w:style>
  <w:style w:type="paragraph" w:styleId="Revision">
    <w:name w:val="Revision"/>
    <w:hidden/>
    <w:uiPriority w:val="99"/>
    <w:semiHidden/>
    <w:rsid w:val="00B636AA"/>
    <w:rPr>
      <w:sz w:val="22"/>
      <w:lang w:val="en-GB"/>
    </w:rPr>
  </w:style>
  <w:style w:type="paragraph" w:styleId="FootnoteText">
    <w:name w:val="footnote text"/>
    <w:basedOn w:val="Normal"/>
    <w:link w:val="FootnoteTextChar"/>
    <w:rsid w:val="007466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6623"/>
    <w:rPr>
      <w:lang w:val="en-GB"/>
    </w:rPr>
  </w:style>
  <w:style w:type="character" w:styleId="FootnoteReference">
    <w:name w:val="footnote reference"/>
    <w:basedOn w:val="DefaultParagraphFont"/>
    <w:rsid w:val="00746623"/>
    <w:rPr>
      <w:vertAlign w:val="superscript"/>
    </w:rPr>
  </w:style>
  <w:style w:type="character" w:styleId="FollowedHyperlink">
    <w:name w:val="FollowedHyperlink"/>
    <w:basedOn w:val="DefaultParagraphFont"/>
    <w:rsid w:val="00200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C66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AF3"/>
    <w:rPr>
      <w:sz w:val="20"/>
    </w:rPr>
  </w:style>
  <w:style w:type="character" w:customStyle="1" w:styleId="CommentTextChar">
    <w:name w:val="Comment Text Char"/>
    <w:link w:val="CommentText"/>
    <w:uiPriority w:val="99"/>
    <w:rsid w:val="00C66AF3"/>
    <w:rPr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sid w:val="00C66AF3"/>
    <w:rPr>
      <w:b/>
      <w:bCs/>
      <w:sz w:val="20"/>
    </w:rPr>
  </w:style>
  <w:style w:type="table" w:styleId="TableGrid">
    <w:name w:val="Table Grid"/>
    <w:basedOn w:val="TableNormal"/>
    <w:rsid w:val="00C66AF3"/>
    <w:rPr>
      <w:rFonts w:eastAsia="MS Mincho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6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6AF3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6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AA"/>
    <w:rPr>
      <w:b/>
      <w:bCs/>
      <w:lang w:val="en-GB"/>
    </w:rPr>
  </w:style>
  <w:style w:type="paragraph" w:styleId="Revision">
    <w:name w:val="Revision"/>
    <w:hidden/>
    <w:uiPriority w:val="99"/>
    <w:semiHidden/>
    <w:rsid w:val="00B636AA"/>
    <w:rPr>
      <w:sz w:val="22"/>
      <w:lang w:val="en-GB"/>
    </w:rPr>
  </w:style>
  <w:style w:type="paragraph" w:styleId="FootnoteText">
    <w:name w:val="footnote text"/>
    <w:basedOn w:val="Normal"/>
    <w:link w:val="FootnoteTextChar"/>
    <w:rsid w:val="0074662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6623"/>
    <w:rPr>
      <w:lang w:val="en-GB"/>
    </w:rPr>
  </w:style>
  <w:style w:type="character" w:styleId="FootnoteReference">
    <w:name w:val="footnote reference"/>
    <w:basedOn w:val="DefaultParagraphFont"/>
    <w:rsid w:val="00746623"/>
    <w:rPr>
      <w:vertAlign w:val="superscript"/>
    </w:rPr>
  </w:style>
  <w:style w:type="character" w:styleId="FollowedHyperlink">
    <w:name w:val="FollowedHyperlink"/>
    <w:basedOn w:val="DefaultParagraphFont"/>
    <w:rsid w:val="00200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iresearch.com/market-research/product/1016669-adoption-of-80211ac-will-be-a-little-fas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per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3BE2-D831-49EF-82A6-28D65F30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802.11-14/0860r0</vt:lpstr>
    </vt:vector>
  </TitlesOfParts>
  <Company>Some Company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802.11-14/0860r0</dc:title>
  <dc:subject>Submission</dc:subject>
  <dc:creator>Håkan Persson</dc:creator>
  <cp:keywords>July 2014</cp:keywords>
  <dc:description>Hakan Persson, Ericsson</dc:description>
  <cp:lastModifiedBy>Filip Mestanov</cp:lastModifiedBy>
  <cp:revision>12</cp:revision>
  <cp:lastPrinted>1901-01-01T07:00:00Z</cp:lastPrinted>
  <dcterms:created xsi:type="dcterms:W3CDTF">2014-07-14T17:53:00Z</dcterms:created>
  <dcterms:modified xsi:type="dcterms:W3CDTF">2014-07-17T03:13:00Z</dcterms:modified>
</cp:coreProperties>
</file>