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27D87">
            <w:pPr>
              <w:pStyle w:val="T2"/>
            </w:pPr>
            <w:r>
              <w:t>Editor issues re REVmc D3.0 vs. P802.11ai</w:t>
            </w:r>
          </w:p>
        </w:tc>
      </w:tr>
      <w:tr w:rsidR="00CA09B2">
        <w:trPr>
          <w:trHeight w:val="359"/>
          <w:jc w:val="center"/>
        </w:trPr>
        <w:tc>
          <w:tcPr>
            <w:tcW w:w="9576" w:type="dxa"/>
            <w:gridSpan w:val="5"/>
            <w:vAlign w:val="center"/>
          </w:tcPr>
          <w:p w:rsidR="00CA09B2" w:rsidRDefault="00CA09B2" w:rsidP="00B27D87">
            <w:pPr>
              <w:pStyle w:val="T2"/>
              <w:ind w:left="0"/>
              <w:rPr>
                <w:sz w:val="20"/>
              </w:rPr>
            </w:pPr>
            <w:r>
              <w:rPr>
                <w:sz w:val="20"/>
              </w:rPr>
              <w:t>Date:</w:t>
            </w:r>
            <w:r>
              <w:rPr>
                <w:b w:val="0"/>
                <w:sz w:val="20"/>
              </w:rPr>
              <w:t xml:space="preserve">  </w:t>
            </w:r>
            <w:r w:rsidR="00B27D87">
              <w:rPr>
                <w:b w:val="0"/>
                <w:sz w:val="20"/>
              </w:rPr>
              <w:t>2014</w:t>
            </w:r>
            <w:r>
              <w:rPr>
                <w:b w:val="0"/>
                <w:sz w:val="20"/>
              </w:rPr>
              <w:t>-</w:t>
            </w:r>
            <w:r w:rsidR="00B27D87">
              <w:rPr>
                <w:b w:val="0"/>
                <w:sz w:val="20"/>
              </w:rPr>
              <w:t>7</w:t>
            </w:r>
            <w:r>
              <w:rPr>
                <w:b w:val="0"/>
                <w:sz w:val="20"/>
              </w:rPr>
              <w:t>-</w:t>
            </w:r>
            <w:r w:rsidR="00B27D87">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27D87">
            <w:pPr>
              <w:pStyle w:val="T2"/>
              <w:spacing w:after="0"/>
              <w:ind w:left="0" w:right="0"/>
              <w:rPr>
                <w:b w:val="0"/>
                <w:sz w:val="20"/>
              </w:rPr>
            </w:pPr>
            <w:r>
              <w:rPr>
                <w:b w:val="0"/>
                <w:sz w:val="20"/>
              </w:rPr>
              <w:t>Lee Armstrong</w:t>
            </w:r>
          </w:p>
        </w:tc>
        <w:tc>
          <w:tcPr>
            <w:tcW w:w="2064" w:type="dxa"/>
            <w:vAlign w:val="center"/>
          </w:tcPr>
          <w:p w:rsidR="00CA09B2" w:rsidRDefault="00B27D87">
            <w:pPr>
              <w:pStyle w:val="T2"/>
              <w:spacing w:after="0"/>
              <w:ind w:left="0" w:right="0"/>
              <w:rPr>
                <w:b w:val="0"/>
                <w:sz w:val="20"/>
              </w:rPr>
            </w:pPr>
            <w:r>
              <w:rPr>
                <w:b w:val="0"/>
                <w:sz w:val="20"/>
              </w:rPr>
              <w:t>US DoT</w:t>
            </w:r>
          </w:p>
        </w:tc>
        <w:tc>
          <w:tcPr>
            <w:tcW w:w="2814" w:type="dxa"/>
            <w:vAlign w:val="center"/>
          </w:tcPr>
          <w:p w:rsidR="00CA09B2" w:rsidRDefault="00B27D87">
            <w:pPr>
              <w:pStyle w:val="T2"/>
              <w:spacing w:after="0"/>
              <w:ind w:left="0" w:right="0"/>
              <w:rPr>
                <w:b w:val="0"/>
                <w:sz w:val="20"/>
              </w:rPr>
            </w:pPr>
            <w:r>
              <w:rPr>
                <w:b w:val="0"/>
                <w:sz w:val="20"/>
              </w:rPr>
              <w:t>132 Fomer Road</w:t>
            </w:r>
            <w:r>
              <w:rPr>
                <w:b w:val="0"/>
                <w:sz w:val="20"/>
              </w:rPr>
              <w:br/>
              <w:t>Southampton, MA 01073</w:t>
            </w:r>
            <w:r>
              <w:rPr>
                <w:b w:val="0"/>
                <w:sz w:val="20"/>
              </w:rPr>
              <w:br/>
              <w:t>USA</w:t>
            </w:r>
          </w:p>
        </w:tc>
        <w:tc>
          <w:tcPr>
            <w:tcW w:w="1715" w:type="dxa"/>
            <w:vAlign w:val="center"/>
          </w:tcPr>
          <w:p w:rsidR="00CA09B2" w:rsidRDefault="00B27D87">
            <w:pPr>
              <w:pStyle w:val="T2"/>
              <w:spacing w:after="0"/>
              <w:ind w:left="0" w:right="0"/>
              <w:rPr>
                <w:b w:val="0"/>
                <w:sz w:val="20"/>
              </w:rPr>
            </w:pPr>
            <w:r>
              <w:rPr>
                <w:b w:val="0"/>
                <w:sz w:val="20"/>
              </w:rPr>
              <w:t>617 620 1701</w:t>
            </w:r>
          </w:p>
        </w:tc>
        <w:tc>
          <w:tcPr>
            <w:tcW w:w="1647" w:type="dxa"/>
            <w:vAlign w:val="center"/>
          </w:tcPr>
          <w:p w:rsidR="00CA09B2" w:rsidRDefault="00B27D87">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46D6B">
      <w:pPr>
        <w:pStyle w:val="T1"/>
        <w:spacing w:after="120"/>
        <w:rPr>
          <w:sz w:val="22"/>
        </w:rPr>
      </w:pPr>
      <w:r w:rsidRPr="00046D6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B27D87">
                  <w:pPr>
                    <w:jc w:val="both"/>
                  </w:pPr>
                  <w:r>
                    <w:t>In trying to update our draft to reflect the changes that appear in REVmc, there are a few items that should be brought to group attention.</w:t>
                  </w:r>
                </w:p>
              </w:txbxContent>
            </v:textbox>
          </v:shape>
        </w:pict>
      </w:r>
    </w:p>
    <w:p w:rsidR="00B27D87" w:rsidRDefault="00CA09B2" w:rsidP="00B27D87">
      <w:pPr>
        <w:autoSpaceDE w:val="0"/>
        <w:autoSpaceDN w:val="0"/>
        <w:adjustRightInd w:val="0"/>
        <w:rPr>
          <w:rFonts w:ascii="Tahoma" w:hAnsi="Tahoma" w:cs="Tahoma"/>
          <w:color w:val="000000"/>
          <w:sz w:val="20"/>
          <w:lang w:val="en-US"/>
        </w:rPr>
      </w:pPr>
      <w:r>
        <w:br w:type="page"/>
      </w:r>
      <w:r w:rsidR="00B27D87">
        <w:lastRenderedPageBreak/>
        <w:t xml:space="preserve">In clause 8.4.2.171, D2.0 Page 40, Line 5: </w:t>
      </w:r>
      <w:r w:rsidR="00B27D87">
        <w:rPr>
          <w:rFonts w:ascii="Tahoma" w:hAnsi="Tahoma" w:cs="Tahoma"/>
          <w:color w:val="000000"/>
          <w:sz w:val="20"/>
          <w:lang w:val="en-US"/>
        </w:rPr>
        <w:t>Here and a couple of other places we differ from the base wihout showing a change. Is this intentional?</w:t>
      </w:r>
      <w:r w:rsidR="006907B3">
        <w:rPr>
          <w:rFonts w:ascii="Tahoma" w:hAnsi="Tahoma" w:cs="Tahoma"/>
          <w:color w:val="000000"/>
          <w:sz w:val="20"/>
          <w:lang w:val="en-US"/>
        </w:rPr>
        <w:t xml:space="preserve"> </w:t>
      </w:r>
      <w:r w:rsidR="006907B3" w:rsidRPr="006907B3">
        <w:rPr>
          <w:color w:val="000000"/>
          <w:sz w:val="20"/>
          <w:lang w:val="en-US"/>
        </w:rPr>
        <w:t>Editor assumes</w:t>
      </w:r>
      <w:r w:rsidR="006907B3">
        <w:rPr>
          <w:color w:val="000000"/>
          <w:sz w:val="20"/>
          <w:lang w:val="en-US"/>
        </w:rPr>
        <w:t xml:space="preserve"> this is unintentional and plans to change to match REVmc.</w:t>
      </w:r>
    </w:p>
    <w:p w:rsidR="00B27D87" w:rsidRDefault="00B27D87" w:rsidP="00B27D87">
      <w:pPr>
        <w:autoSpaceDE w:val="0"/>
        <w:autoSpaceDN w:val="0"/>
        <w:adjustRightInd w:val="0"/>
        <w:rPr>
          <w:rFonts w:ascii="Tahoma" w:hAnsi="Tahoma" w:cs="Tahoma"/>
          <w:color w:val="000000"/>
          <w:sz w:val="20"/>
          <w:lang w:val="en-US"/>
        </w:rPr>
      </w:pPr>
    </w:p>
    <w:p w:rsidR="00B27D87" w:rsidRDefault="00B27D87" w:rsidP="00B27D87">
      <w:pPr>
        <w:tabs>
          <w:tab w:val="left" w:pos="5040"/>
        </w:tabs>
        <w:autoSpaceDE w:val="0"/>
        <w:autoSpaceDN w:val="0"/>
        <w:adjustRightInd w:val="0"/>
        <w:rPr>
          <w:rFonts w:ascii="Tahoma" w:hAnsi="Tahoma" w:cs="Tahoma"/>
          <w:sz w:val="20"/>
          <w:lang w:val="en-US"/>
        </w:rPr>
      </w:pPr>
      <w:r>
        <w:rPr>
          <w:rFonts w:ascii="Tahoma" w:hAnsi="Tahoma" w:cs="Tahoma"/>
          <w:color w:val="000000"/>
          <w:sz w:val="20"/>
          <w:lang w:val="en-US"/>
        </w:rPr>
        <w:t>ai D2,0:</w:t>
      </w:r>
      <w:r>
        <w:rPr>
          <w:rFonts w:ascii="Tahoma" w:hAnsi="Tahoma" w:cs="Tahoma"/>
          <w:color w:val="000000"/>
          <w:sz w:val="20"/>
          <w:lang w:val="en-US"/>
        </w:rPr>
        <w:tab/>
        <w:t>REVmc D3.0</w:t>
      </w:r>
    </w:p>
    <w:p w:rsidR="006907B3" w:rsidRDefault="00046D6B" w:rsidP="00B27D87">
      <w:r>
        <w:rPr>
          <w:noProof/>
          <w:lang w:val="en-US"/>
        </w:rPr>
        <w:pict>
          <v:shape id="_x0000_s1031" type="#_x0000_t202" style="position:absolute;margin-left:251.65pt;margin-top:7.9pt;width:206.55pt;height:57.1pt;z-index:3;mso-width-relative:margin;mso-height-relative:margin">
            <v:textbox style="mso-next-textbox:#_x0000_s1031">
              <w:txbxContent>
                <w:p w:rsidR="006907B3" w:rsidRDefault="006907B3" w:rsidP="006907B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TBTT Information Length subfield is 1 octet in length and contains the length in octets of the TBTT Information field that is included in the Neighbor AP Information field.</w:t>
                  </w:r>
                </w:p>
              </w:txbxContent>
            </v:textbox>
          </v:shape>
        </w:pict>
      </w:r>
      <w:r w:rsidRPr="00046D6B">
        <w:rPr>
          <w:noProof/>
          <w:lang w:eastAsia="zh-TW"/>
        </w:rPr>
        <w:pict>
          <v:shape id="_x0000_s1030" type="#_x0000_t202" style="position:absolute;margin-left:5.1pt;margin-top:7.9pt;width:206pt;height:53.95pt;z-index:2;mso-height-percent:200;mso-height-percent:200;mso-width-relative:margin;mso-height-relative:margin">
            <v:textbox style="mso-next-textbox:#_x0000_s1030;mso-fit-shape-to-text:t">
              <w:txbxContent>
                <w:p w:rsidR="00B27D87" w:rsidRDefault="00B27D87" w:rsidP="00B27D87">
                  <w:pPr>
                    <w:autoSpaceDE w:val="0"/>
                    <w:autoSpaceDN w:val="0"/>
                    <w:adjustRightInd w:val="0"/>
                  </w:pPr>
                  <w:r>
                    <w:rPr>
                      <w:rFonts w:ascii="TimesNewRoman" w:hAnsi="TimesNewRoman" w:cs="TimesNewRoman"/>
                      <w:sz w:val="20"/>
                      <w:lang w:val="en-US"/>
                    </w:rPr>
                    <w:t>The TBTT Information Length subfield contains the length in octets of each TBTT Information field included in the Neighbor AP Information field.</w:t>
                  </w:r>
                </w:p>
              </w:txbxContent>
            </v:textbox>
          </v:shape>
        </w:pict>
      </w:r>
    </w:p>
    <w:p w:rsidR="006907B3" w:rsidRDefault="006907B3" w:rsidP="00B27D87"/>
    <w:p w:rsidR="006907B3" w:rsidRDefault="006907B3" w:rsidP="00B27D87"/>
    <w:p w:rsidR="006907B3" w:rsidRDefault="006907B3" w:rsidP="00B27D87"/>
    <w:p w:rsidR="006907B3" w:rsidRDefault="006907B3" w:rsidP="00B27D87"/>
    <w:p w:rsidR="00CA09B2" w:rsidRDefault="00CA09B2" w:rsidP="00B27D87"/>
    <w:p w:rsidR="006907B3" w:rsidRDefault="006907B3" w:rsidP="00B27D87"/>
    <w:p w:rsidR="006907B3" w:rsidRDefault="006907B3" w:rsidP="00B27D87"/>
    <w:p w:rsidR="006907B3" w:rsidRDefault="00FA2EC4" w:rsidP="006907B3">
      <w:pPr>
        <w:autoSpaceDE w:val="0"/>
        <w:autoSpaceDN w:val="0"/>
        <w:adjustRightInd w:val="0"/>
        <w:rPr>
          <w:rFonts w:ascii="Tahoma" w:hAnsi="Tahoma" w:cs="Tahoma"/>
          <w:sz w:val="20"/>
          <w:lang w:val="en-US"/>
        </w:rPr>
      </w:pPr>
      <w:r>
        <w:t>C</w:t>
      </w:r>
      <w:r w:rsidR="006907B3">
        <w:t xml:space="preserve">lause </w:t>
      </w:r>
      <w:r>
        <w:t>10.1.4.3.2 Active scanning procedure</w:t>
      </w:r>
      <w:r w:rsidR="00F208D9">
        <w:t>:</w:t>
      </w:r>
      <w:r>
        <w:t xml:space="preserve"> </w:t>
      </w:r>
      <w:r w:rsidR="00F208D9">
        <w:t>N</w:t>
      </w:r>
      <w:r>
        <w:t xml:space="preserve">ow two clauses in REVmc but one clause in ai. Editor will change to reflect REVmc with appropriate </w:t>
      </w:r>
      <w:r w:rsidR="00F208D9">
        <w:t xml:space="preserve">changes to reflect what is needed for 11ai D2.1. </w:t>
      </w:r>
    </w:p>
    <w:p w:rsidR="006907B3" w:rsidRDefault="00FA2EC4" w:rsidP="00FA2EC4">
      <w:pPr>
        <w:tabs>
          <w:tab w:val="left" w:pos="7375"/>
        </w:tabs>
        <w:autoSpaceDE w:val="0"/>
        <w:autoSpaceDN w:val="0"/>
        <w:adjustRightInd w:val="0"/>
        <w:rPr>
          <w:rFonts w:ascii="Tahoma" w:hAnsi="Tahoma" w:cs="Tahoma"/>
          <w:color w:val="000000"/>
          <w:sz w:val="20"/>
          <w:lang w:val="en-US"/>
        </w:rPr>
      </w:pPr>
      <w:r>
        <w:rPr>
          <w:rFonts w:ascii="Tahoma" w:hAnsi="Tahoma" w:cs="Tahoma"/>
          <w:color w:val="000000"/>
          <w:sz w:val="20"/>
          <w:lang w:val="en-US"/>
        </w:rPr>
        <w:tab/>
      </w:r>
    </w:p>
    <w:p w:rsidR="006907B3" w:rsidRDefault="006907B3" w:rsidP="006907B3"/>
    <w:p w:rsidR="006907B3" w:rsidRDefault="00F208D9" w:rsidP="006907B3">
      <w:r>
        <w:t xml:space="preserve">Clause 10.1.4.3.3 Probe response criteria: Major changes needed to reflect REVmc. </w:t>
      </w:r>
    </w:p>
    <w:p w:rsidR="00F208D9" w:rsidRDefault="00F208D9" w:rsidP="006907B3"/>
    <w:p w:rsidR="000A3BB5" w:rsidRDefault="000A3BB5" w:rsidP="000A3BB5">
      <w:pPr>
        <w:tabs>
          <w:tab w:val="left" w:pos="5040"/>
        </w:tabs>
        <w:autoSpaceDE w:val="0"/>
        <w:autoSpaceDN w:val="0"/>
        <w:adjustRightInd w:val="0"/>
        <w:rPr>
          <w:rFonts w:ascii="Tahoma" w:hAnsi="Tahoma" w:cs="Tahoma"/>
          <w:sz w:val="20"/>
          <w:lang w:val="en-US"/>
        </w:rPr>
      </w:pPr>
      <w:r>
        <w:rPr>
          <w:rFonts w:ascii="Tahoma" w:hAnsi="Tahoma" w:cs="Tahoma"/>
          <w:color w:val="000000"/>
          <w:sz w:val="20"/>
          <w:lang w:val="en-US"/>
        </w:rPr>
        <w:t>ai D2,0:</w:t>
      </w:r>
      <w:r>
        <w:rPr>
          <w:rFonts w:ascii="Tahoma" w:hAnsi="Tahoma" w:cs="Tahoma"/>
          <w:color w:val="000000"/>
          <w:sz w:val="20"/>
          <w:lang w:val="en-US"/>
        </w:rPr>
        <w:tab/>
        <w:t>REVmc D3.0</w:t>
      </w:r>
    </w:p>
    <w:p w:rsidR="000A3BB5" w:rsidRDefault="00046D6B" w:rsidP="000A3BB5">
      <w:r>
        <w:rPr>
          <w:noProof/>
          <w:lang w:val="en-US"/>
        </w:rPr>
        <w:pict>
          <v:shape id="_x0000_s1035" type="#_x0000_t202" style="position:absolute;margin-left:229.65pt;margin-top:7.9pt;width:282pt;height:89.6pt;z-index:5;mso-width-relative:margin;mso-height-relative:margin">
            <v:textbox style="mso-next-textbox:#_x0000_s1035">
              <w:txbxContent>
                <w:p w:rsidR="000A3BB5" w:rsidRDefault="000A3BB5" w:rsidP="000A3BB5">
                  <w:r>
                    <w:t>10.1.4.3 Active Scanning</w:t>
                  </w:r>
                  <w:r>
                    <w:br/>
                    <w:t>10.1.4.3.2 Active scanning procedure for a non-DMG STA</w:t>
                  </w:r>
                  <w:r>
                    <w:br/>
                    <w:t>10.1.4.3.3 Active scanning procedure for a DMG STA</w:t>
                  </w:r>
                </w:p>
                <w:p w:rsidR="000A3BB5" w:rsidRDefault="000A3BB5" w:rsidP="000A3BB5">
                  <w:r>
                    <w:t>10.1.4.3.4 Criteria for sending a probe response</w:t>
                  </w:r>
                </w:p>
                <w:p w:rsidR="000A3BB5" w:rsidRPr="000A3BB5" w:rsidRDefault="000A3BB5" w:rsidP="000A3BB5">
                  <w:r>
                    <w:t>10.1.4.3.5 Contents of a probe response</w:t>
                  </w:r>
                </w:p>
              </w:txbxContent>
            </v:textbox>
          </v:shape>
        </w:pict>
      </w:r>
      <w:r w:rsidRPr="00046D6B">
        <w:rPr>
          <w:noProof/>
          <w:lang w:eastAsia="zh-TW"/>
        </w:rPr>
        <w:pict>
          <v:shape id="_x0000_s1034" type="#_x0000_t202" style="position:absolute;margin-left:5.1pt;margin-top:7.9pt;width:206pt;height:53.95pt;z-index:4;mso-height-percent:200;mso-height-percent:200;mso-width-relative:margin;mso-height-relative:margin">
            <v:textbox style="mso-next-textbox:#_x0000_s1034;mso-fit-shape-to-text:t">
              <w:txbxContent>
                <w:p w:rsidR="000A3BB5" w:rsidRDefault="000A3BB5" w:rsidP="000A3B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10.1.4.3 Active scanning</w:t>
                  </w:r>
                  <w:r>
                    <w:rPr>
                      <w:rFonts w:ascii="TimesNewRoman" w:hAnsi="TimesNewRoman" w:cs="TimesNewRoman"/>
                      <w:sz w:val="20"/>
                      <w:lang w:val="en-US"/>
                    </w:rPr>
                    <w:br/>
                    <w:t>10.1.4.3.2 Active scanning procedure</w:t>
                  </w:r>
                </w:p>
                <w:p w:rsidR="000A3BB5" w:rsidRDefault="000A3BB5" w:rsidP="000A3BB5">
                  <w:pPr>
                    <w:autoSpaceDE w:val="0"/>
                    <w:autoSpaceDN w:val="0"/>
                    <w:adjustRightInd w:val="0"/>
                    <w:rPr>
                      <w:rFonts w:ascii="TimesNewRoman" w:hAnsi="TimesNewRoman" w:cs="TimesNewRoman"/>
                      <w:sz w:val="20"/>
                      <w:lang w:val="en-US"/>
                    </w:rPr>
                  </w:pPr>
                </w:p>
                <w:p w:rsidR="000A3BB5" w:rsidRDefault="000A3BB5" w:rsidP="000A3B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10.1.4.3.3 </w:t>
                  </w:r>
                  <w:r w:rsidRPr="000A3BB5">
                    <w:rPr>
                      <w:rFonts w:ascii="TimesNewRoman" w:hAnsi="TimesNewRoman" w:cs="TimesNewRoman"/>
                      <w:strike/>
                      <w:sz w:val="20"/>
                      <w:lang w:val="en-US"/>
                    </w:rPr>
                    <w:t>Sending a probe response</w:t>
                  </w:r>
                  <w:r>
                    <w:rPr>
                      <w:rFonts w:ascii="TimesNewRoman" w:hAnsi="TimesNewRoman" w:cs="TimesNewRoman"/>
                      <w:sz w:val="20"/>
                      <w:lang w:val="en-US"/>
                    </w:rPr>
                    <w:t xml:space="preserve"> Probe response criteria</w:t>
                  </w:r>
                </w:p>
                <w:p w:rsidR="000A3BB5" w:rsidRDefault="000A3BB5" w:rsidP="000A3BB5">
                  <w:pPr>
                    <w:autoSpaceDE w:val="0"/>
                    <w:autoSpaceDN w:val="0"/>
                    <w:adjustRightInd w:val="0"/>
                  </w:pPr>
                  <w:r>
                    <w:rPr>
                      <w:rFonts w:ascii="TimesNewRoman" w:hAnsi="TimesNewRoman" w:cs="TimesNewRoman"/>
                      <w:sz w:val="20"/>
                      <w:lang w:val="en-US"/>
                    </w:rPr>
                    <w:t>10.1.4.3.4 Sending a response to probe request</w:t>
                  </w:r>
                  <w:r>
                    <w:rPr>
                      <w:rFonts w:ascii="TimesNewRoman" w:hAnsi="TimesNewRoman" w:cs="TimesNewRoman"/>
                      <w:sz w:val="20"/>
                      <w:lang w:val="en-US"/>
                    </w:rPr>
                    <w:br/>
                  </w:r>
                </w:p>
              </w:txbxContent>
            </v:textbox>
          </v:shape>
        </w:pict>
      </w:r>
    </w:p>
    <w:p w:rsidR="000A3BB5" w:rsidRDefault="000A3BB5" w:rsidP="000A3BB5"/>
    <w:p w:rsidR="000A3BB5" w:rsidRDefault="000A3BB5" w:rsidP="000A3BB5"/>
    <w:p w:rsidR="000A3BB5" w:rsidRDefault="000A3BB5" w:rsidP="000A3BB5"/>
    <w:p w:rsidR="000A3BB5" w:rsidRDefault="000A3BB5" w:rsidP="000A3BB5"/>
    <w:p w:rsidR="000A3BB5" w:rsidRDefault="000A3BB5" w:rsidP="000A3BB5"/>
    <w:p w:rsidR="000A3BB5" w:rsidRDefault="000A3BB5" w:rsidP="000A3BB5"/>
    <w:p w:rsidR="00F208D9" w:rsidRDefault="00F208D9" w:rsidP="006907B3"/>
    <w:p w:rsidR="00F208D9" w:rsidRDefault="00F208D9" w:rsidP="006907B3"/>
    <w:p w:rsidR="00F208D9" w:rsidRPr="000A3BB5" w:rsidRDefault="00F208D9" w:rsidP="006907B3">
      <w:pPr>
        <w:rPr>
          <w:szCs w:val="22"/>
        </w:rPr>
      </w:pPr>
    </w:p>
    <w:p w:rsidR="000A3BB5" w:rsidRPr="000A3BB5" w:rsidRDefault="000A3BB5" w:rsidP="000A3BB5">
      <w:pPr>
        <w:autoSpaceDE w:val="0"/>
        <w:autoSpaceDN w:val="0"/>
        <w:adjustRightInd w:val="0"/>
        <w:rPr>
          <w:szCs w:val="22"/>
        </w:rPr>
      </w:pPr>
      <w:r w:rsidRPr="000A3BB5">
        <w:rPr>
          <w:szCs w:val="22"/>
        </w:rPr>
        <w:t>Page82, Line 48: "</w:t>
      </w:r>
      <w:r w:rsidRPr="000A3BB5">
        <w:rPr>
          <w:rFonts w:ascii="TimesNewRoman" w:hAnsi="TimesNewRoman" w:cs="TimesNewRoman"/>
          <w:szCs w:val="22"/>
          <w:lang w:val="en-US"/>
        </w:rPr>
        <w:t xml:space="preserve">A STA for which dot11OCBActivated is true but intended to use FILS authentication will transition to State 5: FILS authenticated." This is </w:t>
      </w:r>
      <w:r>
        <w:rPr>
          <w:rFonts w:ascii="TimesNewRoman" w:hAnsi="TimesNewRoman" w:cs="TimesNewRoman"/>
          <w:szCs w:val="22"/>
          <w:lang w:val="en-US"/>
        </w:rPr>
        <w:t xml:space="preserve">a meaningless statement as one of the whole points of having </w:t>
      </w:r>
      <w:r w:rsidRPr="000A3BB5">
        <w:rPr>
          <w:rFonts w:ascii="TimesNewRoman" w:hAnsi="TimesNewRoman" w:cs="TimesNewRoman"/>
          <w:szCs w:val="22"/>
          <w:lang w:val="en-US"/>
        </w:rPr>
        <w:t>dot11OCBActivated true</w:t>
      </w:r>
      <w:r>
        <w:rPr>
          <w:rFonts w:ascii="TimesNewRoman" w:hAnsi="TimesNewRoman" w:cs="TimesNewRoman"/>
          <w:szCs w:val="22"/>
          <w:lang w:val="en-US"/>
        </w:rPr>
        <w:t xml:space="preserve"> is that authentication does not happen. </w:t>
      </w:r>
      <w:r w:rsidR="009D7BC8">
        <w:rPr>
          <w:rFonts w:ascii="TimesNewRoman" w:hAnsi="TimesNewRoman" w:cs="TimesNewRoman"/>
          <w:szCs w:val="22"/>
          <w:lang w:val="en-US"/>
        </w:rPr>
        <w:t>Can this be deleted without having had a comment submitted?</w:t>
      </w:r>
    </w:p>
    <w:p w:rsidR="00F208D9" w:rsidRDefault="00F208D9" w:rsidP="006907B3"/>
    <w:p w:rsidR="00F208D9" w:rsidRDefault="00DA5990" w:rsidP="006907B3">
      <w:r>
        <w:t>Clause 10.3.4.1, Page 86, Line 40: "</w:t>
      </w:r>
      <w:r w:rsidRPr="00DA5990">
        <w:t xml:space="preserve">This subclause describes the procedures used for </w:t>
      </w:r>
      <w:r w:rsidRPr="00DA5990">
        <w:rPr>
          <w:strike/>
        </w:rPr>
        <w:t>IEEE Std 802.11</w:t>
      </w:r>
      <w:r w:rsidRPr="00DA5990">
        <w:t xml:space="preserve"> authentication and deauthentication.</w:t>
      </w:r>
      <w:r>
        <w:t>" "IEEE Std 802.11" was deleted due to CID 2105 from Adrian, which stated: "</w:t>
      </w:r>
      <w:r w:rsidRPr="00DA5990">
        <w:t xml:space="preserve"> "The 802.11 Association Request frame"  - there is no doubt that an Association Request frame is just that.</w:t>
      </w:r>
      <w:r>
        <w:t>" and proposed deleting 802.11 throughout when used in this manner. The problem is that we did that and then the new REVmc includes 802.11 as an adjective throughout. Since Adrian generated the comment that caused us to make this change but then did not do the same for his own document, should we match the style of REVmc or keep the changes made in response to his comment?  Editor suggests matching the style of REVmc and</w:t>
      </w:r>
      <w:r w:rsidR="00AA5F0D">
        <w:t xml:space="preserve"> rejecting the changes made in response to CID 2105.</w:t>
      </w:r>
    </w:p>
    <w:p w:rsidR="00F208D9" w:rsidRDefault="00F208D9" w:rsidP="006907B3"/>
    <w:p w:rsidR="00F208D9" w:rsidRDefault="00F208D9" w:rsidP="006907B3"/>
    <w:p w:rsidR="00F208D9" w:rsidRDefault="00D75819" w:rsidP="006907B3">
      <w:r>
        <w:t xml:space="preserve">Page 91, Line 59: </w:t>
      </w:r>
      <w:r w:rsidRPr="00D75819">
        <w:t>CID 5133 changed "Reduced" to "Short" here, need to see if all instances of "Reduced" also need to be changed.</w:t>
      </w:r>
      <w:r>
        <w:t xml:space="preserve"> </w:t>
      </w:r>
    </w:p>
    <w:p w:rsidR="006907B3" w:rsidRDefault="006907B3" w:rsidP="006907B3"/>
    <w:p w:rsidR="006907B3" w:rsidRDefault="006907B3" w:rsidP="006907B3"/>
    <w:sectPr w:rsidR="006907B3" w:rsidSect="00046D6B">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B0C" w:rsidRDefault="00945B0C">
      <w:r>
        <w:separator/>
      </w:r>
    </w:p>
  </w:endnote>
  <w:endnote w:type="continuationSeparator" w:id="0">
    <w:p w:rsidR="00945B0C" w:rsidRDefault="00945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46D6B">
    <w:pPr>
      <w:pStyle w:val="Footer"/>
      <w:tabs>
        <w:tab w:val="clear" w:pos="6480"/>
        <w:tab w:val="center" w:pos="4680"/>
        <w:tab w:val="right" w:pos="9360"/>
      </w:tabs>
    </w:pPr>
    <w:fldSimple w:instr=" SUBJECT  \* MERGEFORMAT ">
      <w:r w:rsidR="00B27D87">
        <w:t>Submission</w:t>
      </w:r>
    </w:fldSimple>
    <w:r w:rsidR="0029020B">
      <w:tab/>
      <w:t xml:space="preserve">page </w:t>
    </w:r>
    <w:fldSimple w:instr="page ">
      <w:r w:rsidR="006A3CFA">
        <w:rPr>
          <w:noProof/>
        </w:rPr>
        <w:t>1</w:t>
      </w:r>
    </w:fldSimple>
    <w:r w:rsidR="0029020B">
      <w:tab/>
    </w:r>
    <w:fldSimple w:instr=" COMMENTS  \* MERGEFORMAT ">
      <w:r w:rsidR="00B27D87">
        <w:t xml:space="preserve"> </w:t>
      </w:r>
      <w:r w:rsidR="00424347">
        <w:t>Lee Armstrong, Armstrong Consulting, Inc.</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B0C" w:rsidRDefault="00945B0C">
      <w:r>
        <w:separator/>
      </w:r>
    </w:p>
  </w:footnote>
  <w:footnote w:type="continuationSeparator" w:id="0">
    <w:p w:rsidR="00945B0C" w:rsidRDefault="00945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46D6B">
    <w:pPr>
      <w:pStyle w:val="Header"/>
      <w:tabs>
        <w:tab w:val="clear" w:pos="6480"/>
        <w:tab w:val="center" w:pos="4680"/>
        <w:tab w:val="right" w:pos="9360"/>
      </w:tabs>
    </w:pPr>
    <w:fldSimple w:instr=" KEYWORDS  \* MERGEFORMAT ">
      <w:r w:rsidR="00424347">
        <w:t>July</w:t>
      </w:r>
      <w:r w:rsidR="00B27D87">
        <w:t xml:space="preserve"> </w:t>
      </w:r>
      <w:r w:rsidR="00424347">
        <w:t>2014</w:t>
      </w:r>
    </w:fldSimple>
    <w:r w:rsidR="0029020B">
      <w:tab/>
    </w:r>
    <w:r w:rsidR="0029020B">
      <w:tab/>
    </w:r>
    <w:fldSimple w:instr=" TITLE  \* MERGEFORMAT ">
      <w:r w:rsidR="00B27D87">
        <w:t>doc.: IEEE 802.11-</w:t>
      </w:r>
      <w:r w:rsidR="006A3CFA">
        <w:t>14</w:t>
      </w:r>
      <w:r w:rsidR="00B27D87">
        <w:t>/</w:t>
      </w:r>
      <w:r w:rsidR="006A3CFA">
        <w:t>0820</w:t>
      </w:r>
      <w:r w:rsidR="00B27D87">
        <w:t>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07B3"/>
    <w:rsid w:val="00046D6B"/>
    <w:rsid w:val="00086153"/>
    <w:rsid w:val="000A3BB5"/>
    <w:rsid w:val="001D723B"/>
    <w:rsid w:val="00263F46"/>
    <w:rsid w:val="0029020B"/>
    <w:rsid w:val="002D44BE"/>
    <w:rsid w:val="00424347"/>
    <w:rsid w:val="00442037"/>
    <w:rsid w:val="0062440B"/>
    <w:rsid w:val="006907B3"/>
    <w:rsid w:val="006A3CFA"/>
    <w:rsid w:val="006C0727"/>
    <w:rsid w:val="006E145F"/>
    <w:rsid w:val="00770572"/>
    <w:rsid w:val="00776FD8"/>
    <w:rsid w:val="009037F7"/>
    <w:rsid w:val="00945B0C"/>
    <w:rsid w:val="009D7BC8"/>
    <w:rsid w:val="00AA427C"/>
    <w:rsid w:val="00AA5F0D"/>
    <w:rsid w:val="00B27D87"/>
    <w:rsid w:val="00BE68C2"/>
    <w:rsid w:val="00CA09B2"/>
    <w:rsid w:val="00D75819"/>
    <w:rsid w:val="00DA5990"/>
    <w:rsid w:val="00DC5A7B"/>
    <w:rsid w:val="00E062BC"/>
    <w:rsid w:val="00EE5ED5"/>
    <w:rsid w:val="00F208D9"/>
    <w:rsid w:val="00FA2E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D6B"/>
    <w:rPr>
      <w:sz w:val="22"/>
      <w:lang w:val="en-GB"/>
    </w:rPr>
  </w:style>
  <w:style w:type="paragraph" w:styleId="Heading1">
    <w:name w:val="heading 1"/>
    <w:basedOn w:val="Normal"/>
    <w:next w:val="Normal"/>
    <w:qFormat/>
    <w:rsid w:val="00046D6B"/>
    <w:pPr>
      <w:keepNext/>
      <w:keepLines/>
      <w:spacing w:before="320"/>
      <w:outlineLvl w:val="0"/>
    </w:pPr>
    <w:rPr>
      <w:rFonts w:ascii="Arial" w:hAnsi="Arial"/>
      <w:b/>
      <w:sz w:val="32"/>
      <w:u w:val="single"/>
    </w:rPr>
  </w:style>
  <w:style w:type="paragraph" w:styleId="Heading2">
    <w:name w:val="heading 2"/>
    <w:basedOn w:val="Normal"/>
    <w:next w:val="Normal"/>
    <w:qFormat/>
    <w:rsid w:val="00046D6B"/>
    <w:pPr>
      <w:keepNext/>
      <w:keepLines/>
      <w:spacing w:before="280"/>
      <w:outlineLvl w:val="1"/>
    </w:pPr>
    <w:rPr>
      <w:rFonts w:ascii="Arial" w:hAnsi="Arial"/>
      <w:b/>
      <w:sz w:val="28"/>
      <w:u w:val="single"/>
    </w:rPr>
  </w:style>
  <w:style w:type="paragraph" w:styleId="Heading3">
    <w:name w:val="heading 3"/>
    <w:basedOn w:val="Normal"/>
    <w:next w:val="Normal"/>
    <w:qFormat/>
    <w:rsid w:val="00046D6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6D6B"/>
    <w:pPr>
      <w:pBdr>
        <w:top w:val="single" w:sz="6" w:space="1" w:color="auto"/>
      </w:pBdr>
      <w:tabs>
        <w:tab w:val="center" w:pos="6480"/>
        <w:tab w:val="right" w:pos="12960"/>
      </w:tabs>
    </w:pPr>
    <w:rPr>
      <w:sz w:val="24"/>
    </w:rPr>
  </w:style>
  <w:style w:type="paragraph" w:styleId="Header">
    <w:name w:val="header"/>
    <w:basedOn w:val="Normal"/>
    <w:rsid w:val="00046D6B"/>
    <w:pPr>
      <w:pBdr>
        <w:bottom w:val="single" w:sz="6" w:space="2" w:color="auto"/>
      </w:pBdr>
      <w:tabs>
        <w:tab w:val="center" w:pos="6480"/>
        <w:tab w:val="right" w:pos="12960"/>
      </w:tabs>
    </w:pPr>
    <w:rPr>
      <w:b/>
      <w:sz w:val="28"/>
    </w:rPr>
  </w:style>
  <w:style w:type="paragraph" w:customStyle="1" w:styleId="T1">
    <w:name w:val="T1"/>
    <w:basedOn w:val="Normal"/>
    <w:rsid w:val="00046D6B"/>
    <w:pPr>
      <w:jc w:val="center"/>
    </w:pPr>
    <w:rPr>
      <w:b/>
      <w:sz w:val="28"/>
    </w:rPr>
  </w:style>
  <w:style w:type="paragraph" w:customStyle="1" w:styleId="T2">
    <w:name w:val="T2"/>
    <w:basedOn w:val="T1"/>
    <w:rsid w:val="00046D6B"/>
    <w:pPr>
      <w:spacing w:after="240"/>
      <w:ind w:left="720" w:right="720"/>
    </w:pPr>
  </w:style>
  <w:style w:type="paragraph" w:customStyle="1" w:styleId="T3">
    <w:name w:val="T3"/>
    <w:basedOn w:val="T1"/>
    <w:rsid w:val="00046D6B"/>
    <w:pPr>
      <w:pBdr>
        <w:bottom w:val="single" w:sz="6" w:space="1" w:color="auto"/>
      </w:pBdr>
      <w:tabs>
        <w:tab w:val="center" w:pos="4680"/>
      </w:tabs>
      <w:spacing w:after="240"/>
      <w:jc w:val="left"/>
    </w:pPr>
    <w:rPr>
      <w:b w:val="0"/>
      <w:sz w:val="24"/>
    </w:rPr>
  </w:style>
  <w:style w:type="paragraph" w:styleId="BodyTextIndent">
    <w:name w:val="Body Text Indent"/>
    <w:basedOn w:val="Normal"/>
    <w:rsid w:val="00046D6B"/>
    <w:pPr>
      <w:ind w:left="720" w:hanging="720"/>
    </w:pPr>
  </w:style>
  <w:style w:type="character" w:styleId="Hyperlink">
    <w:name w:val="Hyperlink"/>
    <w:basedOn w:val="DefaultParagraphFont"/>
    <w:rsid w:val="00046D6B"/>
    <w:rPr>
      <w:color w:val="0000FF"/>
      <w:u w:val="single"/>
    </w:rPr>
  </w:style>
  <w:style w:type="paragraph" w:styleId="BalloonText">
    <w:name w:val="Balloon Text"/>
    <w:basedOn w:val="Normal"/>
    <w:link w:val="BalloonTextChar"/>
    <w:rsid w:val="00B27D87"/>
    <w:rPr>
      <w:rFonts w:ascii="Tahoma" w:hAnsi="Tahoma" w:cs="Tahoma"/>
      <w:sz w:val="16"/>
      <w:szCs w:val="16"/>
    </w:rPr>
  </w:style>
  <w:style w:type="character" w:customStyle="1" w:styleId="BalloonTextChar">
    <w:name w:val="Balloon Text Char"/>
    <w:basedOn w:val="DefaultParagraphFont"/>
    <w:link w:val="BalloonText"/>
    <w:rsid w:val="00B27D87"/>
    <w:rPr>
      <w:rFonts w:ascii="Tahoma" w:hAnsi="Tahoma" w:cs="Tahoma"/>
      <w:sz w:val="16"/>
      <w:szCs w:val="16"/>
      <w:lang w:val="en-GB"/>
    </w:rPr>
  </w:style>
  <w:style w:type="paragraph" w:customStyle="1" w:styleId="HeadingRunIn">
    <w:name w:val="HeadingRunIn"/>
    <w:next w:val="Normal"/>
    <w:rsid w:val="00EE5ED5"/>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111</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dc:creator>
  <cp:keywords>Month Year</cp:keywords>
  <dc:description>John Doe, Some Company</dc:description>
  <cp:lastModifiedBy>Lee</cp:lastModifiedBy>
  <cp:revision>6</cp:revision>
  <cp:lastPrinted>2014-07-10T18:13:00Z</cp:lastPrinted>
  <dcterms:created xsi:type="dcterms:W3CDTF">2014-07-10T16:23:00Z</dcterms:created>
  <dcterms:modified xsi:type="dcterms:W3CDTF">2014-07-10T18:19:00Z</dcterms:modified>
</cp:coreProperties>
</file>