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C13" w:rsidRPr="00357C13" w:rsidRDefault="00357C13" w:rsidP="00357C13">
      <w:pPr>
        <w:jc w:val="center"/>
        <w:rPr>
          <w:b/>
          <w:sz w:val="36"/>
          <w:szCs w:val="36"/>
        </w:rPr>
      </w:pPr>
      <w:r w:rsidRPr="00357C13">
        <w:rPr>
          <w:b/>
          <w:sz w:val="36"/>
          <w:szCs w:val="36"/>
        </w:rPr>
        <w:t>IEEE P802.11</w:t>
      </w:r>
    </w:p>
    <w:p w:rsidR="00357C13" w:rsidRDefault="00357C13" w:rsidP="00357C13">
      <w:pPr>
        <w:jc w:val="center"/>
        <w:rPr>
          <w:b/>
          <w:sz w:val="36"/>
          <w:szCs w:val="36"/>
        </w:rPr>
      </w:pPr>
      <w:r w:rsidRPr="00357C13">
        <w:rPr>
          <w:b/>
          <w:sz w:val="36"/>
          <w:szCs w:val="36"/>
        </w:rPr>
        <w:t>Wireless LANs</w:t>
      </w:r>
    </w:p>
    <w:p w:rsidR="006C3A7F" w:rsidRDefault="006C3A7F" w:rsidP="00357C13">
      <w:pPr>
        <w:jc w:val="center"/>
        <w:rPr>
          <w:b/>
          <w:sz w:val="36"/>
          <w:szCs w:val="3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1818"/>
        <w:gridCol w:w="1350"/>
        <w:gridCol w:w="3046"/>
        <w:gridCol w:w="1454"/>
        <w:gridCol w:w="1908"/>
      </w:tblGrid>
      <w:tr w:rsidR="006C3A7F" w:rsidTr="00643DC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6C3A7F" w:rsidRDefault="006C3A7F" w:rsidP="0072095C">
            <w:pPr>
              <w:pStyle w:val="T2"/>
            </w:pPr>
            <w:r>
              <w:t xml:space="preserve">HEW </w:t>
            </w:r>
            <w:r w:rsidRPr="007F6E08">
              <w:t xml:space="preserve">Channel Model </w:t>
            </w:r>
            <w:r>
              <w:t>D</w:t>
            </w:r>
            <w:r w:rsidR="0072095C">
              <w:t>ocu</w:t>
            </w:r>
            <w:r>
              <w:t>ment</w:t>
            </w:r>
            <w:r w:rsidR="0072095C">
              <w:t xml:space="preserve"> </w:t>
            </w:r>
            <w:r w:rsidR="00A55945">
              <w:t>Template</w:t>
            </w:r>
          </w:p>
        </w:tc>
      </w:tr>
      <w:tr w:rsidR="0072371C" w:rsidTr="00643DC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72371C" w:rsidRPr="0072371C" w:rsidRDefault="0072371C" w:rsidP="008803EE">
            <w:pPr>
              <w:pStyle w:val="T2"/>
              <w:rPr>
                <w:b w:val="0"/>
                <w:sz w:val="24"/>
                <w:szCs w:val="24"/>
              </w:rPr>
            </w:pPr>
            <w:r w:rsidRPr="0072371C">
              <w:rPr>
                <w:b w:val="0"/>
                <w:sz w:val="24"/>
                <w:szCs w:val="24"/>
              </w:rPr>
              <w:t xml:space="preserve">The purpose of this document is </w:t>
            </w:r>
            <w:r>
              <w:rPr>
                <w:b w:val="0"/>
                <w:sz w:val="24"/>
                <w:szCs w:val="24"/>
              </w:rPr>
              <w:t xml:space="preserve">to record </w:t>
            </w:r>
            <w:r w:rsidR="008803EE">
              <w:rPr>
                <w:b w:val="0"/>
                <w:sz w:val="24"/>
                <w:szCs w:val="24"/>
              </w:rPr>
              <w:t>progresses</w:t>
            </w:r>
            <w:r>
              <w:rPr>
                <w:b w:val="0"/>
                <w:sz w:val="24"/>
                <w:szCs w:val="24"/>
              </w:rPr>
              <w:t xml:space="preserve"> and </w:t>
            </w:r>
            <w:r w:rsidR="008803EE">
              <w:rPr>
                <w:b w:val="0"/>
                <w:sz w:val="24"/>
                <w:szCs w:val="24"/>
              </w:rPr>
              <w:t>consensus</w:t>
            </w:r>
            <w:r>
              <w:rPr>
                <w:b w:val="0"/>
                <w:sz w:val="24"/>
                <w:szCs w:val="24"/>
              </w:rPr>
              <w:t xml:space="preserve"> related to channel model.   </w:t>
            </w:r>
          </w:p>
        </w:tc>
      </w:tr>
      <w:tr w:rsidR="006C3A7F" w:rsidTr="00643DC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6C3A7F" w:rsidRDefault="006C3A7F" w:rsidP="00D72CE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D72CE0">
              <w:rPr>
                <w:b w:val="0"/>
                <w:sz w:val="20"/>
              </w:rPr>
              <w:t xml:space="preserve">  2013-10</w:t>
            </w:r>
            <w:r>
              <w:rPr>
                <w:b w:val="0"/>
                <w:sz w:val="20"/>
              </w:rPr>
              <w:t>-1</w:t>
            </w:r>
            <w:r w:rsidR="00D72CE0">
              <w:rPr>
                <w:b w:val="0"/>
                <w:sz w:val="20"/>
              </w:rPr>
              <w:t>6</w:t>
            </w:r>
          </w:p>
        </w:tc>
      </w:tr>
      <w:tr w:rsidR="006C3A7F" w:rsidTr="00643DC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6C3A7F" w:rsidRDefault="00F5175E" w:rsidP="00F5175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Contributor</w:t>
            </w:r>
            <w:r w:rsidR="006C3A7F">
              <w:rPr>
                <w:sz w:val="20"/>
              </w:rPr>
              <w:t>(s):</w:t>
            </w:r>
          </w:p>
        </w:tc>
      </w:tr>
      <w:tr w:rsidR="006C3A7F" w:rsidTr="00643DC2">
        <w:trPr>
          <w:jc w:val="center"/>
        </w:trPr>
        <w:tc>
          <w:tcPr>
            <w:tcW w:w="1818" w:type="dxa"/>
            <w:vAlign w:val="center"/>
          </w:tcPr>
          <w:p w:rsidR="006C3A7F" w:rsidRDefault="006C3A7F" w:rsidP="00643D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50" w:type="dxa"/>
            <w:vAlign w:val="center"/>
          </w:tcPr>
          <w:p w:rsidR="006C3A7F" w:rsidRDefault="006C3A7F" w:rsidP="00643D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046" w:type="dxa"/>
            <w:vAlign w:val="center"/>
          </w:tcPr>
          <w:p w:rsidR="006C3A7F" w:rsidRDefault="006C3A7F" w:rsidP="00643D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54" w:type="dxa"/>
            <w:vAlign w:val="center"/>
          </w:tcPr>
          <w:p w:rsidR="006C3A7F" w:rsidRDefault="006C3A7F" w:rsidP="00643D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08" w:type="dxa"/>
            <w:vAlign w:val="center"/>
          </w:tcPr>
          <w:p w:rsidR="006C3A7F" w:rsidRDefault="006C3A7F" w:rsidP="00643D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C3A7F" w:rsidRPr="007F6E08" w:rsidTr="006C3A7F">
        <w:trPr>
          <w:trHeight w:val="60"/>
          <w:jc w:val="center"/>
        </w:trPr>
        <w:tc>
          <w:tcPr>
            <w:tcW w:w="1818" w:type="dxa"/>
            <w:vAlign w:val="center"/>
          </w:tcPr>
          <w:p w:rsidR="006C3A7F" w:rsidRPr="000A7C44" w:rsidRDefault="008803EE" w:rsidP="00643DC2">
            <w:pPr>
              <w:spacing w:after="120"/>
              <w:jc w:val="center"/>
              <w:rPr>
                <w:color w:val="000000"/>
                <w:szCs w:val="22"/>
              </w:rPr>
            </w:pPr>
            <w:r w:rsidRPr="000A7C44">
              <w:rPr>
                <w:color w:val="000000"/>
                <w:szCs w:val="22"/>
              </w:rPr>
              <w:t>Jianhan Liu</w:t>
            </w:r>
          </w:p>
        </w:tc>
        <w:tc>
          <w:tcPr>
            <w:tcW w:w="1350" w:type="dxa"/>
            <w:vAlign w:val="center"/>
          </w:tcPr>
          <w:p w:rsidR="006C3A7F" w:rsidRPr="005229E0" w:rsidRDefault="008803EE" w:rsidP="00643DC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Mediatek Inc.</w:t>
            </w:r>
          </w:p>
        </w:tc>
        <w:tc>
          <w:tcPr>
            <w:tcW w:w="3046" w:type="dxa"/>
            <w:vAlign w:val="center"/>
          </w:tcPr>
          <w:p w:rsidR="006C3A7F" w:rsidRPr="00335F79" w:rsidRDefault="006C3A7F" w:rsidP="00643DC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454" w:type="dxa"/>
            <w:vAlign w:val="center"/>
          </w:tcPr>
          <w:p w:rsidR="006C3A7F" w:rsidRPr="005229E0" w:rsidRDefault="006C3A7F" w:rsidP="00643DC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6C3A7F" w:rsidRPr="007F6E08" w:rsidRDefault="006C3A7F" w:rsidP="00643DC2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803EE" w:rsidRPr="007F6E08" w:rsidTr="00643DC2">
        <w:trPr>
          <w:jc w:val="center"/>
        </w:trPr>
        <w:tc>
          <w:tcPr>
            <w:tcW w:w="1818" w:type="dxa"/>
            <w:vAlign w:val="center"/>
          </w:tcPr>
          <w:p w:rsidR="008803EE" w:rsidRPr="000A7C44" w:rsidRDefault="000A7C44" w:rsidP="00B327AB">
            <w:pPr>
              <w:spacing w:after="120"/>
              <w:jc w:val="center"/>
              <w:rPr>
                <w:rStyle w:val="eudoraheader"/>
                <w:szCs w:val="22"/>
              </w:rPr>
            </w:pPr>
            <w:r w:rsidRPr="000A7C44">
              <w:rPr>
                <w:szCs w:val="22"/>
              </w:rPr>
              <w:t>Ron Porat</w:t>
            </w:r>
          </w:p>
        </w:tc>
        <w:tc>
          <w:tcPr>
            <w:tcW w:w="1350" w:type="dxa"/>
            <w:vAlign w:val="center"/>
          </w:tcPr>
          <w:p w:rsidR="008803EE" w:rsidRPr="005229E0" w:rsidRDefault="008803EE" w:rsidP="00B327A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5229E0">
              <w:rPr>
                <w:b w:val="0"/>
                <w:sz w:val="18"/>
                <w:szCs w:val="18"/>
              </w:rPr>
              <w:t>Broadcom</w:t>
            </w:r>
          </w:p>
        </w:tc>
        <w:tc>
          <w:tcPr>
            <w:tcW w:w="3046" w:type="dxa"/>
            <w:vAlign w:val="center"/>
          </w:tcPr>
          <w:p w:rsidR="008803EE" w:rsidRPr="00335F79" w:rsidRDefault="008803EE" w:rsidP="00643DC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454" w:type="dxa"/>
            <w:vAlign w:val="center"/>
          </w:tcPr>
          <w:p w:rsidR="008803EE" w:rsidRPr="005229E0" w:rsidRDefault="008803EE" w:rsidP="00643DC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8803EE" w:rsidRPr="007F6E08" w:rsidRDefault="008803EE" w:rsidP="00643DC2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C3A7F" w:rsidRPr="007F6E08" w:rsidTr="00643DC2">
        <w:trPr>
          <w:jc w:val="center"/>
        </w:trPr>
        <w:tc>
          <w:tcPr>
            <w:tcW w:w="1818" w:type="dxa"/>
            <w:vAlign w:val="center"/>
          </w:tcPr>
          <w:p w:rsidR="006C3A7F" w:rsidRPr="000A7C44" w:rsidRDefault="008803EE" w:rsidP="00643DC2">
            <w:pPr>
              <w:spacing w:after="120"/>
              <w:jc w:val="center"/>
              <w:rPr>
                <w:color w:val="000000"/>
                <w:szCs w:val="22"/>
              </w:rPr>
            </w:pPr>
            <w:r w:rsidRPr="000A7C44">
              <w:rPr>
                <w:rStyle w:val="eudoraheader"/>
                <w:szCs w:val="22"/>
              </w:rPr>
              <w:t>Vinko Erceg</w:t>
            </w:r>
          </w:p>
        </w:tc>
        <w:tc>
          <w:tcPr>
            <w:tcW w:w="1350" w:type="dxa"/>
            <w:vAlign w:val="center"/>
          </w:tcPr>
          <w:p w:rsidR="006C3A7F" w:rsidRPr="005229E0" w:rsidRDefault="008803EE" w:rsidP="00643DC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5229E0">
              <w:rPr>
                <w:b w:val="0"/>
                <w:sz w:val="18"/>
                <w:szCs w:val="18"/>
              </w:rPr>
              <w:t>Broadcom</w:t>
            </w:r>
          </w:p>
        </w:tc>
        <w:tc>
          <w:tcPr>
            <w:tcW w:w="3046" w:type="dxa"/>
            <w:vAlign w:val="center"/>
          </w:tcPr>
          <w:p w:rsidR="006C3A7F" w:rsidRPr="00335F79" w:rsidRDefault="006C3A7F" w:rsidP="00643DC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454" w:type="dxa"/>
            <w:vAlign w:val="center"/>
          </w:tcPr>
          <w:p w:rsidR="006C3A7F" w:rsidRPr="005229E0" w:rsidRDefault="006C3A7F" w:rsidP="00643DC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6C3A7F" w:rsidRPr="007F6E08" w:rsidRDefault="006C3A7F" w:rsidP="00643DC2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803EE" w:rsidRPr="007F6E08" w:rsidTr="00643DC2">
        <w:trPr>
          <w:jc w:val="center"/>
        </w:trPr>
        <w:tc>
          <w:tcPr>
            <w:tcW w:w="1818" w:type="dxa"/>
            <w:vAlign w:val="center"/>
          </w:tcPr>
          <w:p w:rsidR="008803EE" w:rsidRPr="000A7C44" w:rsidRDefault="000A7C44" w:rsidP="00643DC2">
            <w:pPr>
              <w:spacing w:after="120"/>
              <w:jc w:val="center"/>
              <w:rPr>
                <w:rStyle w:val="eudoraheader"/>
                <w:szCs w:val="22"/>
              </w:rPr>
            </w:pPr>
            <w:r w:rsidRPr="000A7C44">
              <w:rPr>
                <w:szCs w:val="22"/>
              </w:rPr>
              <w:t>Shahrnaz Azizi</w:t>
            </w:r>
          </w:p>
        </w:tc>
        <w:tc>
          <w:tcPr>
            <w:tcW w:w="1350" w:type="dxa"/>
            <w:vAlign w:val="center"/>
          </w:tcPr>
          <w:p w:rsidR="008803EE" w:rsidRPr="005229E0" w:rsidRDefault="008803EE" w:rsidP="00643DC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Intel </w:t>
            </w:r>
          </w:p>
        </w:tc>
        <w:tc>
          <w:tcPr>
            <w:tcW w:w="3046" w:type="dxa"/>
            <w:vAlign w:val="center"/>
          </w:tcPr>
          <w:p w:rsidR="008803EE" w:rsidRPr="00335F79" w:rsidRDefault="008803EE" w:rsidP="00643DC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454" w:type="dxa"/>
            <w:vAlign w:val="center"/>
          </w:tcPr>
          <w:p w:rsidR="008803EE" w:rsidRPr="005229E0" w:rsidRDefault="008803EE" w:rsidP="00643DC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8803EE" w:rsidRPr="007F6E08" w:rsidRDefault="008803EE" w:rsidP="00643DC2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803EE" w:rsidRPr="007F6E08" w:rsidTr="00643DC2">
        <w:trPr>
          <w:jc w:val="center"/>
        </w:trPr>
        <w:tc>
          <w:tcPr>
            <w:tcW w:w="1818" w:type="dxa"/>
            <w:vAlign w:val="center"/>
          </w:tcPr>
          <w:p w:rsidR="008803EE" w:rsidRPr="000A7C44" w:rsidRDefault="008803EE" w:rsidP="00B327AB">
            <w:pPr>
              <w:spacing w:after="120"/>
              <w:jc w:val="center"/>
              <w:rPr>
                <w:color w:val="000000"/>
                <w:szCs w:val="22"/>
              </w:rPr>
            </w:pPr>
            <w:r w:rsidRPr="000A7C44">
              <w:rPr>
                <w:color w:val="000000"/>
                <w:szCs w:val="22"/>
              </w:rPr>
              <w:t>Sameer Vermani</w:t>
            </w:r>
          </w:p>
        </w:tc>
        <w:tc>
          <w:tcPr>
            <w:tcW w:w="1350" w:type="dxa"/>
            <w:vAlign w:val="center"/>
          </w:tcPr>
          <w:p w:rsidR="008803EE" w:rsidRPr="005229E0" w:rsidRDefault="008803EE" w:rsidP="008803EE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5229E0">
              <w:rPr>
                <w:b w:val="0"/>
                <w:sz w:val="18"/>
                <w:szCs w:val="18"/>
              </w:rPr>
              <w:t xml:space="preserve">Qualcomm </w:t>
            </w:r>
          </w:p>
        </w:tc>
        <w:tc>
          <w:tcPr>
            <w:tcW w:w="3046" w:type="dxa"/>
            <w:vAlign w:val="center"/>
          </w:tcPr>
          <w:p w:rsidR="008803EE" w:rsidRPr="00335F79" w:rsidRDefault="008803EE" w:rsidP="00643DC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454" w:type="dxa"/>
            <w:vAlign w:val="center"/>
          </w:tcPr>
          <w:p w:rsidR="008803EE" w:rsidRPr="005229E0" w:rsidRDefault="008803EE" w:rsidP="00643DC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8803EE" w:rsidRPr="007F6E08" w:rsidRDefault="008803EE" w:rsidP="00643DC2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803EE" w:rsidRPr="007F6E08" w:rsidTr="00643DC2">
        <w:trPr>
          <w:jc w:val="center"/>
        </w:trPr>
        <w:tc>
          <w:tcPr>
            <w:tcW w:w="1818" w:type="dxa"/>
            <w:vAlign w:val="center"/>
          </w:tcPr>
          <w:p w:rsidR="008803EE" w:rsidRPr="000A7C44" w:rsidRDefault="000A7C44" w:rsidP="00B327AB">
            <w:pPr>
              <w:spacing w:after="120"/>
              <w:jc w:val="center"/>
              <w:rPr>
                <w:color w:val="000000"/>
                <w:szCs w:val="22"/>
              </w:rPr>
            </w:pPr>
            <w:r w:rsidRPr="000A7C44">
              <w:rPr>
                <w:szCs w:val="22"/>
              </w:rPr>
              <w:t>Wookbong Lee</w:t>
            </w:r>
          </w:p>
        </w:tc>
        <w:tc>
          <w:tcPr>
            <w:tcW w:w="1350" w:type="dxa"/>
            <w:vAlign w:val="center"/>
          </w:tcPr>
          <w:p w:rsidR="008803EE" w:rsidRPr="005229E0" w:rsidRDefault="008803EE" w:rsidP="008803EE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LGE</w:t>
            </w:r>
          </w:p>
        </w:tc>
        <w:tc>
          <w:tcPr>
            <w:tcW w:w="3046" w:type="dxa"/>
            <w:vAlign w:val="center"/>
          </w:tcPr>
          <w:p w:rsidR="008803EE" w:rsidRPr="00335F79" w:rsidRDefault="008803EE" w:rsidP="00643DC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454" w:type="dxa"/>
            <w:vAlign w:val="center"/>
          </w:tcPr>
          <w:p w:rsidR="008803EE" w:rsidRPr="005229E0" w:rsidRDefault="008803EE" w:rsidP="00643DC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8803EE" w:rsidRPr="007F6E08" w:rsidRDefault="008803EE" w:rsidP="00643DC2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803EE" w:rsidRPr="007F6E08" w:rsidTr="00643DC2">
        <w:trPr>
          <w:jc w:val="center"/>
        </w:trPr>
        <w:tc>
          <w:tcPr>
            <w:tcW w:w="1818" w:type="dxa"/>
            <w:vAlign w:val="center"/>
          </w:tcPr>
          <w:p w:rsidR="008803EE" w:rsidRPr="000A7C44" w:rsidRDefault="008803EE" w:rsidP="00B327AB">
            <w:pPr>
              <w:spacing w:after="120"/>
              <w:jc w:val="center"/>
              <w:rPr>
                <w:color w:val="000000"/>
                <w:szCs w:val="22"/>
              </w:rPr>
            </w:pPr>
            <w:r w:rsidRPr="000A7C44">
              <w:rPr>
                <w:color w:val="000000"/>
                <w:szCs w:val="22"/>
              </w:rPr>
              <w:t>Hongyuan Zhang</w:t>
            </w:r>
          </w:p>
        </w:tc>
        <w:tc>
          <w:tcPr>
            <w:tcW w:w="1350" w:type="dxa"/>
            <w:vAlign w:val="center"/>
          </w:tcPr>
          <w:p w:rsidR="008803EE" w:rsidRDefault="008803EE" w:rsidP="008803EE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Marvel</w:t>
            </w:r>
            <w:r w:rsidR="008B6968">
              <w:rPr>
                <w:b w:val="0"/>
                <w:sz w:val="18"/>
                <w:szCs w:val="18"/>
              </w:rPr>
              <w:t>l</w:t>
            </w:r>
          </w:p>
        </w:tc>
        <w:tc>
          <w:tcPr>
            <w:tcW w:w="3046" w:type="dxa"/>
            <w:vAlign w:val="center"/>
          </w:tcPr>
          <w:p w:rsidR="008803EE" w:rsidRPr="00335F79" w:rsidRDefault="008803EE" w:rsidP="00643DC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454" w:type="dxa"/>
            <w:vAlign w:val="center"/>
          </w:tcPr>
          <w:p w:rsidR="008803EE" w:rsidRPr="005229E0" w:rsidRDefault="008803EE" w:rsidP="00643DC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8803EE" w:rsidRPr="007F6E08" w:rsidRDefault="008803EE" w:rsidP="00643DC2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803EE" w:rsidRPr="007F6E08" w:rsidTr="00643DC2">
        <w:trPr>
          <w:jc w:val="center"/>
        </w:trPr>
        <w:tc>
          <w:tcPr>
            <w:tcW w:w="1818" w:type="dxa"/>
            <w:vAlign w:val="center"/>
          </w:tcPr>
          <w:p w:rsidR="008803EE" w:rsidRPr="000A7C44" w:rsidRDefault="000A7C44" w:rsidP="00B327AB">
            <w:pPr>
              <w:spacing w:after="120"/>
              <w:jc w:val="center"/>
              <w:rPr>
                <w:color w:val="000000"/>
                <w:szCs w:val="22"/>
              </w:rPr>
            </w:pPr>
            <w:r w:rsidRPr="000A7C44">
              <w:rPr>
                <w:szCs w:val="22"/>
              </w:rPr>
              <w:t>Edward Au</w:t>
            </w:r>
          </w:p>
        </w:tc>
        <w:tc>
          <w:tcPr>
            <w:tcW w:w="1350" w:type="dxa"/>
            <w:vAlign w:val="center"/>
          </w:tcPr>
          <w:p w:rsidR="008803EE" w:rsidRDefault="008803EE" w:rsidP="008803EE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Huawei</w:t>
            </w:r>
          </w:p>
        </w:tc>
        <w:tc>
          <w:tcPr>
            <w:tcW w:w="3046" w:type="dxa"/>
            <w:vAlign w:val="center"/>
          </w:tcPr>
          <w:p w:rsidR="008803EE" w:rsidRPr="00335F79" w:rsidRDefault="008803EE" w:rsidP="00643DC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454" w:type="dxa"/>
            <w:vAlign w:val="center"/>
          </w:tcPr>
          <w:p w:rsidR="008803EE" w:rsidRPr="005229E0" w:rsidRDefault="008803EE" w:rsidP="00643DC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8803EE" w:rsidRPr="007F6E08" w:rsidRDefault="008803EE" w:rsidP="00643DC2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A4DE5" w:rsidRPr="007F6E08" w:rsidTr="00643DC2">
        <w:trPr>
          <w:jc w:val="center"/>
        </w:trPr>
        <w:tc>
          <w:tcPr>
            <w:tcW w:w="1818" w:type="dxa"/>
            <w:vAlign w:val="center"/>
          </w:tcPr>
          <w:p w:rsidR="00DA4DE5" w:rsidRPr="000A7C44" w:rsidRDefault="00DA4DE5" w:rsidP="00B327AB">
            <w:pPr>
              <w:spacing w:after="120"/>
              <w:jc w:val="center"/>
              <w:rPr>
                <w:color w:val="000000"/>
                <w:szCs w:val="22"/>
              </w:rPr>
            </w:pPr>
            <w:r w:rsidRPr="00234865">
              <w:rPr>
                <w:bCs/>
                <w:sz w:val="20"/>
                <w:lang w:val="en-US"/>
              </w:rPr>
              <w:t>Kaushik Josiam</w:t>
            </w:r>
          </w:p>
        </w:tc>
        <w:tc>
          <w:tcPr>
            <w:tcW w:w="1350" w:type="dxa"/>
            <w:vAlign w:val="center"/>
          </w:tcPr>
          <w:p w:rsidR="00DA4DE5" w:rsidRPr="00DA4DE5" w:rsidRDefault="00DA4DE5" w:rsidP="008803EE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DA4DE5">
              <w:rPr>
                <w:b w:val="0"/>
                <w:bCs/>
                <w:sz w:val="20"/>
                <w:lang w:val="en-US"/>
              </w:rPr>
              <w:t>Samsung</w:t>
            </w:r>
          </w:p>
        </w:tc>
        <w:tc>
          <w:tcPr>
            <w:tcW w:w="3046" w:type="dxa"/>
            <w:vAlign w:val="center"/>
          </w:tcPr>
          <w:p w:rsidR="00DA4DE5" w:rsidRPr="00335F79" w:rsidRDefault="00DA4DE5" w:rsidP="00643DC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454" w:type="dxa"/>
            <w:vAlign w:val="center"/>
          </w:tcPr>
          <w:p w:rsidR="00DA4DE5" w:rsidRPr="005229E0" w:rsidRDefault="00DA4DE5" w:rsidP="00643DC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DA4DE5" w:rsidRPr="007F6E08" w:rsidRDefault="00DA4DE5" w:rsidP="00643DC2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505A" w:rsidRPr="007F6E08" w:rsidTr="00643DC2">
        <w:trPr>
          <w:jc w:val="center"/>
        </w:trPr>
        <w:tc>
          <w:tcPr>
            <w:tcW w:w="1818" w:type="dxa"/>
            <w:vAlign w:val="center"/>
          </w:tcPr>
          <w:p w:rsidR="009D505A" w:rsidRPr="000A7C44" w:rsidRDefault="009D505A" w:rsidP="00EA255C">
            <w:pPr>
              <w:spacing w:after="120"/>
              <w:jc w:val="center"/>
              <w:rPr>
                <w:color w:val="000000"/>
                <w:szCs w:val="22"/>
              </w:rPr>
            </w:pPr>
            <w:r w:rsidRPr="000A7C44">
              <w:rPr>
                <w:color w:val="000000"/>
                <w:szCs w:val="22"/>
              </w:rPr>
              <w:t>Bo Sun</w:t>
            </w:r>
          </w:p>
        </w:tc>
        <w:tc>
          <w:tcPr>
            <w:tcW w:w="1350" w:type="dxa"/>
            <w:vAlign w:val="center"/>
          </w:tcPr>
          <w:p w:rsidR="009D505A" w:rsidRDefault="009D505A" w:rsidP="00EA255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ZTE</w:t>
            </w:r>
          </w:p>
        </w:tc>
        <w:tc>
          <w:tcPr>
            <w:tcW w:w="3046" w:type="dxa"/>
            <w:vAlign w:val="center"/>
          </w:tcPr>
          <w:p w:rsidR="009D505A" w:rsidRPr="00335F79" w:rsidRDefault="009D505A" w:rsidP="00643DC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454" w:type="dxa"/>
            <w:vAlign w:val="center"/>
          </w:tcPr>
          <w:p w:rsidR="009D505A" w:rsidRPr="005229E0" w:rsidRDefault="009D505A" w:rsidP="00643DC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9D505A" w:rsidRPr="007F6E08" w:rsidRDefault="009D505A" w:rsidP="00643DC2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6C3A7F" w:rsidRDefault="006C3A7F" w:rsidP="00357C13">
      <w:pPr>
        <w:jc w:val="center"/>
        <w:rPr>
          <w:b/>
          <w:sz w:val="36"/>
          <w:szCs w:val="36"/>
        </w:rPr>
      </w:pPr>
    </w:p>
    <w:p w:rsidR="006C3A7F" w:rsidRDefault="006C3A7F">
      <w:pPr>
        <w:spacing w:after="200"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886026" w:rsidRDefault="00886026" w:rsidP="00886026">
      <w:pPr>
        <w:pStyle w:val="T1"/>
        <w:spacing w:after="120"/>
      </w:pPr>
      <w:r>
        <w:lastRenderedPageBreak/>
        <w:t>Abstract</w:t>
      </w:r>
    </w:p>
    <w:p w:rsidR="00886026" w:rsidRDefault="00886026" w:rsidP="00886026">
      <w:pPr>
        <w:spacing w:after="120"/>
      </w:pPr>
      <w:r>
        <w:t xml:space="preserve">This document provides the addendum to the </w:t>
      </w:r>
      <w:proofErr w:type="spellStart"/>
      <w:r>
        <w:t>TGn</w:t>
      </w:r>
      <w:proofErr w:type="spellEnd"/>
      <w:r>
        <w:t xml:space="preserve"> and </w:t>
      </w:r>
      <w:proofErr w:type="spellStart"/>
      <w:r>
        <w:t>Tgac</w:t>
      </w:r>
      <w:proofErr w:type="spellEnd"/>
      <w:r>
        <w:t xml:space="preserve"> channel model document to be used for HEW study group and future task group.</w:t>
      </w:r>
    </w:p>
    <w:p w:rsidR="00357C13" w:rsidRDefault="00357C13"/>
    <w:p w:rsidR="00886026" w:rsidRDefault="00886026"/>
    <w:p w:rsidR="006C3A7F" w:rsidRPr="005E263A" w:rsidRDefault="006C3A7F" w:rsidP="006C3A7F">
      <w:pPr>
        <w:spacing w:after="240"/>
        <w:jc w:val="center"/>
        <w:rPr>
          <w:b/>
          <w:sz w:val="28"/>
          <w:szCs w:val="28"/>
        </w:rPr>
      </w:pPr>
      <w:r w:rsidRPr="005E263A">
        <w:rPr>
          <w:b/>
          <w:sz w:val="28"/>
          <w:szCs w:val="28"/>
        </w:rPr>
        <w:t>Revision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9"/>
        <w:gridCol w:w="1067"/>
        <w:gridCol w:w="6570"/>
      </w:tblGrid>
      <w:tr w:rsidR="006C3A7F" w:rsidRPr="00A003EE" w:rsidTr="006C3A7F">
        <w:tc>
          <w:tcPr>
            <w:tcW w:w="1007" w:type="dxa"/>
          </w:tcPr>
          <w:p w:rsidR="006C3A7F" w:rsidRPr="00A003EE" w:rsidRDefault="006C3A7F" w:rsidP="00643DC2">
            <w:pPr>
              <w:spacing w:after="120"/>
              <w:jc w:val="center"/>
              <w:rPr>
                <w:b/>
                <w:bCs/>
                <w:szCs w:val="22"/>
              </w:rPr>
            </w:pPr>
            <w:r w:rsidRPr="00A003EE">
              <w:rPr>
                <w:b/>
                <w:bCs/>
                <w:szCs w:val="22"/>
              </w:rPr>
              <w:t>Date</w:t>
            </w:r>
          </w:p>
        </w:tc>
        <w:tc>
          <w:tcPr>
            <w:tcW w:w="1072" w:type="dxa"/>
          </w:tcPr>
          <w:p w:rsidR="006C3A7F" w:rsidRPr="00A003EE" w:rsidRDefault="006C3A7F" w:rsidP="00643DC2">
            <w:pPr>
              <w:spacing w:after="120"/>
              <w:jc w:val="center"/>
              <w:rPr>
                <w:b/>
                <w:bCs/>
                <w:szCs w:val="22"/>
              </w:rPr>
            </w:pPr>
            <w:r w:rsidRPr="00A003EE">
              <w:rPr>
                <w:b/>
                <w:bCs/>
                <w:szCs w:val="22"/>
              </w:rPr>
              <w:t>Version</w:t>
            </w:r>
          </w:p>
        </w:tc>
        <w:tc>
          <w:tcPr>
            <w:tcW w:w="6777" w:type="dxa"/>
          </w:tcPr>
          <w:p w:rsidR="006C3A7F" w:rsidRPr="00A003EE" w:rsidRDefault="006C3A7F" w:rsidP="00643DC2">
            <w:pPr>
              <w:spacing w:after="120"/>
              <w:jc w:val="center"/>
              <w:rPr>
                <w:b/>
                <w:bCs/>
                <w:szCs w:val="22"/>
              </w:rPr>
            </w:pPr>
            <w:r w:rsidRPr="00A003EE">
              <w:rPr>
                <w:b/>
                <w:bCs/>
                <w:szCs w:val="22"/>
              </w:rPr>
              <w:t>Description of changes</w:t>
            </w:r>
          </w:p>
        </w:tc>
      </w:tr>
      <w:tr w:rsidR="006C3A7F" w:rsidRPr="00A003EE" w:rsidTr="006C3A7F">
        <w:tc>
          <w:tcPr>
            <w:tcW w:w="1007" w:type="dxa"/>
          </w:tcPr>
          <w:p w:rsidR="006C3A7F" w:rsidRPr="00A003EE" w:rsidRDefault="006C3A7F" w:rsidP="006C3A7F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jc w:val="center"/>
              <w:rPr>
                <w:sz w:val="22"/>
                <w:szCs w:val="22"/>
                <w:lang w:bidi="ar-SA"/>
              </w:rPr>
            </w:pPr>
            <w:r w:rsidRPr="00A003EE">
              <w:rPr>
                <w:sz w:val="22"/>
                <w:szCs w:val="22"/>
                <w:lang w:bidi="ar-SA"/>
              </w:rPr>
              <w:t>0</w:t>
            </w:r>
            <w:r>
              <w:rPr>
                <w:sz w:val="22"/>
                <w:szCs w:val="22"/>
                <w:lang w:bidi="ar-SA"/>
              </w:rPr>
              <w:t>7</w:t>
            </w:r>
            <w:r w:rsidRPr="00A003EE">
              <w:rPr>
                <w:sz w:val="22"/>
                <w:szCs w:val="22"/>
                <w:lang w:bidi="ar-SA"/>
              </w:rPr>
              <w:t>/</w:t>
            </w:r>
            <w:r>
              <w:rPr>
                <w:sz w:val="22"/>
                <w:szCs w:val="22"/>
                <w:lang w:bidi="ar-SA"/>
              </w:rPr>
              <w:t>24</w:t>
            </w:r>
            <w:r w:rsidRPr="00A003EE">
              <w:rPr>
                <w:sz w:val="22"/>
                <w:szCs w:val="22"/>
                <w:lang w:bidi="ar-SA"/>
              </w:rPr>
              <w:t>/</w:t>
            </w:r>
            <w:r>
              <w:rPr>
                <w:sz w:val="22"/>
                <w:szCs w:val="22"/>
                <w:lang w:bidi="ar-SA"/>
              </w:rPr>
              <w:t>13</w:t>
            </w:r>
          </w:p>
        </w:tc>
        <w:tc>
          <w:tcPr>
            <w:tcW w:w="1072" w:type="dxa"/>
          </w:tcPr>
          <w:p w:rsidR="006C3A7F" w:rsidRPr="00A003EE" w:rsidRDefault="006C3A7F" w:rsidP="00643DC2">
            <w:pPr>
              <w:spacing w:after="120"/>
              <w:jc w:val="center"/>
              <w:rPr>
                <w:szCs w:val="22"/>
              </w:rPr>
            </w:pPr>
            <w:r w:rsidRPr="00A003EE">
              <w:rPr>
                <w:szCs w:val="22"/>
              </w:rPr>
              <w:t>0</w:t>
            </w:r>
            <w:r>
              <w:rPr>
                <w:szCs w:val="22"/>
              </w:rPr>
              <w:t>.1</w:t>
            </w:r>
          </w:p>
        </w:tc>
        <w:tc>
          <w:tcPr>
            <w:tcW w:w="6777" w:type="dxa"/>
          </w:tcPr>
          <w:p w:rsidR="006C3A7F" w:rsidRPr="00A003EE" w:rsidRDefault="006C3A7F" w:rsidP="006C3A7F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After July 2013 meeting in Geneva, group decides to start documenting the contributions and discussions.</w:t>
            </w:r>
          </w:p>
        </w:tc>
      </w:tr>
      <w:tr w:rsidR="00886026" w:rsidRPr="00A003EE" w:rsidTr="006C3A7F">
        <w:tc>
          <w:tcPr>
            <w:tcW w:w="1007" w:type="dxa"/>
          </w:tcPr>
          <w:p w:rsidR="00886026" w:rsidRPr="00A003EE" w:rsidRDefault="00886026" w:rsidP="006C3A7F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jc w:val="center"/>
              <w:rPr>
                <w:sz w:val="22"/>
                <w:szCs w:val="22"/>
                <w:lang w:bidi="ar-SA"/>
              </w:rPr>
            </w:pPr>
            <w:r>
              <w:rPr>
                <w:sz w:val="22"/>
                <w:szCs w:val="22"/>
                <w:lang w:bidi="ar-SA"/>
              </w:rPr>
              <w:t>10/10/2013</w:t>
            </w:r>
          </w:p>
        </w:tc>
        <w:tc>
          <w:tcPr>
            <w:tcW w:w="1072" w:type="dxa"/>
          </w:tcPr>
          <w:p w:rsidR="00886026" w:rsidRPr="00A003EE" w:rsidRDefault="00886026" w:rsidP="00643DC2">
            <w:pPr>
              <w:spacing w:after="120"/>
              <w:jc w:val="center"/>
              <w:rPr>
                <w:szCs w:val="22"/>
              </w:rPr>
            </w:pPr>
            <w:r>
              <w:rPr>
                <w:szCs w:val="22"/>
              </w:rPr>
              <w:t>0.2</w:t>
            </w:r>
          </w:p>
        </w:tc>
        <w:tc>
          <w:tcPr>
            <w:tcW w:w="6777" w:type="dxa"/>
          </w:tcPr>
          <w:p w:rsidR="00886026" w:rsidRDefault="00886026" w:rsidP="006C3A7F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Including the progress and consensus reached in IEEE 802.11 September meeting in Nanjing</w:t>
            </w:r>
          </w:p>
        </w:tc>
      </w:tr>
    </w:tbl>
    <w:p w:rsidR="00A67557" w:rsidRDefault="00A67557">
      <w:pPr>
        <w:rPr>
          <w:b/>
          <w:sz w:val="28"/>
          <w:szCs w:val="28"/>
        </w:rPr>
      </w:pPr>
    </w:p>
    <w:p w:rsidR="00A67557" w:rsidRDefault="00A6755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86026" w:rsidRDefault="00886026" w:rsidP="00886026">
      <w:pPr>
        <w:pStyle w:val="Heading1"/>
      </w:pPr>
      <w:r>
        <w:lastRenderedPageBreak/>
        <w:t>Introduction</w:t>
      </w:r>
    </w:p>
    <w:p w:rsidR="00886026" w:rsidRDefault="00886026" w:rsidP="00886026">
      <w:pPr>
        <w:pStyle w:val="BodyText"/>
      </w:pPr>
    </w:p>
    <w:p w:rsidR="00886026" w:rsidRDefault="00886026" w:rsidP="00886026">
      <w:pPr>
        <w:pStyle w:val="BodyText"/>
      </w:pPr>
      <w:r>
        <w:t xml:space="preserve">The </w:t>
      </w:r>
      <w:proofErr w:type="spellStart"/>
      <w:r>
        <w:t>TGn</w:t>
      </w:r>
      <w:proofErr w:type="spellEnd"/>
      <w:r>
        <w:t xml:space="preserve"> and </w:t>
      </w:r>
      <w:proofErr w:type="spellStart"/>
      <w:r>
        <w:t>Tgac</w:t>
      </w:r>
      <w:proofErr w:type="spellEnd"/>
      <w:r>
        <w:t xml:space="preserve"> task group has developed a comprehensive MIMO broadband channel model, with support for up to 160 MHz channelization and 8 antennas [</w:t>
      </w:r>
      <w:r w:rsidR="00EC74AE">
        <w:fldChar w:fldCharType="begin"/>
      </w:r>
      <w:r>
        <w:instrText xml:space="preserve"> REF _Ref229706452 \r \h </w:instrText>
      </w:r>
      <w:r w:rsidR="00EC74AE">
        <w:fldChar w:fldCharType="separate"/>
      </w:r>
      <w:r>
        <w:t>1</w:t>
      </w:r>
      <w:r w:rsidR="00EC74AE">
        <w:fldChar w:fldCharType="end"/>
      </w:r>
      <w:r w:rsidR="005B0365">
        <w:t>-2</w:t>
      </w:r>
      <w:r>
        <w:t xml:space="preserve">]. The HEW and future task group is targeting to improve MAC and PHY efficiency in dense networks </w:t>
      </w:r>
      <w:r w:rsidR="00D10042">
        <w:t xml:space="preserve">for both indoor </w:t>
      </w:r>
      <w:r>
        <w:t xml:space="preserve">and outdoor scenarios. </w:t>
      </w:r>
    </w:p>
    <w:p w:rsidR="003B7995" w:rsidRDefault="003B7995" w:rsidP="00886026">
      <w:pPr>
        <w:pStyle w:val="BodyText"/>
      </w:pPr>
    </w:p>
    <w:p w:rsidR="003B7995" w:rsidRDefault="003B7995" w:rsidP="003B7995">
      <w:pPr>
        <w:pStyle w:val="BodyText"/>
      </w:pPr>
      <w:r>
        <w:rPr>
          <w:color w:val="000000"/>
        </w:rPr>
        <w:t>This</w:t>
      </w:r>
      <w:r w:rsidRPr="00953940">
        <w:rPr>
          <w:color w:val="000000"/>
        </w:rPr>
        <w:t xml:space="preserve"> document </w:t>
      </w:r>
      <w:r>
        <w:rPr>
          <w:color w:val="000000"/>
        </w:rPr>
        <w:t>describes</w:t>
      </w:r>
      <w:r>
        <w:t xml:space="preserve"> possible modifications and </w:t>
      </w:r>
      <w:r w:rsidR="00D10042">
        <w:t>additions</w:t>
      </w:r>
      <w:r>
        <w:t xml:space="preserve"> to </w:t>
      </w:r>
      <w:proofErr w:type="spellStart"/>
      <w:r>
        <w:t>TGn</w:t>
      </w:r>
      <w:proofErr w:type="spellEnd"/>
      <w:r>
        <w:t xml:space="preserve"> and </w:t>
      </w:r>
      <w:proofErr w:type="spellStart"/>
      <w:r>
        <w:t>T</w:t>
      </w:r>
      <w:r w:rsidR="00D10042">
        <w:t>G</w:t>
      </w:r>
      <w:r>
        <w:t>ac</w:t>
      </w:r>
      <w:proofErr w:type="spellEnd"/>
      <w:r>
        <w:t xml:space="preserve"> channel models to enable their use for </w:t>
      </w:r>
      <w:r w:rsidR="002F411A">
        <w:t>11ax</w:t>
      </w:r>
      <w:r>
        <w:t xml:space="preserve"> and future task group. </w:t>
      </w:r>
    </w:p>
    <w:p w:rsidR="003B7995" w:rsidRDefault="003B7995" w:rsidP="00886026">
      <w:pPr>
        <w:pStyle w:val="BodyText"/>
      </w:pPr>
    </w:p>
    <w:p w:rsidR="003B7995" w:rsidRDefault="003B7995" w:rsidP="003B7995">
      <w:pPr>
        <w:pStyle w:val="Heading1"/>
      </w:pPr>
      <w:r>
        <w:t xml:space="preserve">Consensus </w:t>
      </w:r>
      <w:r w:rsidR="005B0365">
        <w:t>Reached</w:t>
      </w:r>
    </w:p>
    <w:p w:rsidR="003B7995" w:rsidRDefault="003B7995" w:rsidP="003B7995"/>
    <w:p w:rsidR="003B7995" w:rsidRPr="003B7995" w:rsidRDefault="003B7995" w:rsidP="003B7995"/>
    <w:p w:rsidR="00835914" w:rsidRPr="00835914" w:rsidRDefault="00835914" w:rsidP="008803EE">
      <w:pPr>
        <w:rPr>
          <w:b/>
          <w:sz w:val="24"/>
          <w:szCs w:val="24"/>
        </w:rPr>
      </w:pPr>
      <w:r>
        <w:rPr>
          <w:b/>
          <w:sz w:val="24"/>
          <w:szCs w:val="24"/>
        </w:rPr>
        <w:t>Indoor channel models</w:t>
      </w:r>
    </w:p>
    <w:p w:rsidR="00835914" w:rsidRDefault="00835914" w:rsidP="008803EE">
      <w:pPr>
        <w:rPr>
          <w:szCs w:val="22"/>
        </w:rPr>
      </w:pPr>
    </w:p>
    <w:p w:rsidR="00D10042" w:rsidRDefault="00D10042" w:rsidP="008803EE">
      <w:pPr>
        <w:rPr>
          <w:szCs w:val="22"/>
        </w:rPr>
      </w:pPr>
      <w:r>
        <w:rPr>
          <w:szCs w:val="22"/>
        </w:rPr>
        <w:t xml:space="preserve">The HEW study group agrees that </w:t>
      </w:r>
      <w:proofErr w:type="spellStart"/>
      <w:r>
        <w:rPr>
          <w:szCs w:val="22"/>
        </w:rPr>
        <w:t>TGn</w:t>
      </w:r>
      <w:proofErr w:type="spellEnd"/>
      <w:r>
        <w:rPr>
          <w:szCs w:val="22"/>
        </w:rPr>
        <w:t xml:space="preserve"> and </w:t>
      </w:r>
      <w:proofErr w:type="spellStart"/>
      <w:r>
        <w:rPr>
          <w:szCs w:val="22"/>
        </w:rPr>
        <w:t>TGac</w:t>
      </w:r>
      <w:proofErr w:type="spellEnd"/>
      <w:r>
        <w:rPr>
          <w:szCs w:val="22"/>
        </w:rPr>
        <w:t xml:space="preserve"> channel models should be adopted as HEW indoor channel models. The network simulation required penetration loss should be addressed as part of channel model document. </w:t>
      </w:r>
    </w:p>
    <w:p w:rsidR="00D10042" w:rsidRDefault="00D10042" w:rsidP="008803EE">
      <w:pPr>
        <w:rPr>
          <w:szCs w:val="22"/>
        </w:rPr>
      </w:pPr>
    </w:p>
    <w:p w:rsidR="00835914" w:rsidRDefault="00835914" w:rsidP="008803EE">
      <w:pPr>
        <w:rPr>
          <w:szCs w:val="22"/>
        </w:rPr>
      </w:pPr>
      <w:r>
        <w:rPr>
          <w:b/>
          <w:sz w:val="24"/>
          <w:szCs w:val="24"/>
        </w:rPr>
        <w:t>Outdoor channel models</w:t>
      </w:r>
    </w:p>
    <w:p w:rsidR="008E65E6" w:rsidRDefault="00D10042" w:rsidP="008803EE">
      <w:pPr>
        <w:rPr>
          <w:szCs w:val="22"/>
        </w:rPr>
      </w:pPr>
      <w:r>
        <w:rPr>
          <w:szCs w:val="22"/>
        </w:rPr>
        <w:t>A couple of outdoor channel model have been proposed [3-</w:t>
      </w:r>
      <w:r w:rsidR="00CE3814">
        <w:rPr>
          <w:szCs w:val="22"/>
        </w:rPr>
        <w:t>6</w:t>
      </w:r>
      <w:r>
        <w:rPr>
          <w:szCs w:val="22"/>
        </w:rPr>
        <w:t xml:space="preserve">]. </w:t>
      </w:r>
      <w:r w:rsidR="00305647">
        <w:rPr>
          <w:szCs w:val="22"/>
        </w:rPr>
        <w:t>The HEW study group agrees that adopting existing outdoor channel models from cellular organization with</w:t>
      </w:r>
      <w:r w:rsidR="008E65E6">
        <w:rPr>
          <w:szCs w:val="22"/>
        </w:rPr>
        <w:t xml:space="preserve"> proper modifications</w:t>
      </w:r>
      <w:r w:rsidR="00406915">
        <w:rPr>
          <w:szCs w:val="22"/>
        </w:rPr>
        <w:t xml:space="preserve"> [7]</w:t>
      </w:r>
      <w:r w:rsidR="008E65E6">
        <w:rPr>
          <w:szCs w:val="22"/>
        </w:rPr>
        <w:t xml:space="preserve">. </w:t>
      </w:r>
    </w:p>
    <w:p w:rsidR="008E65E6" w:rsidRDefault="008E65E6" w:rsidP="008803EE">
      <w:pPr>
        <w:rPr>
          <w:szCs w:val="22"/>
        </w:rPr>
      </w:pPr>
    </w:p>
    <w:p w:rsidR="006C3A7F" w:rsidRDefault="00D10042" w:rsidP="008803EE">
      <w:pPr>
        <w:rPr>
          <w:szCs w:val="22"/>
        </w:rPr>
      </w:pPr>
      <w:r>
        <w:rPr>
          <w:szCs w:val="22"/>
        </w:rPr>
        <w:t xml:space="preserve"> </w:t>
      </w:r>
      <w:r w:rsidR="008E65E6">
        <w:rPr>
          <w:szCs w:val="22"/>
        </w:rPr>
        <w:t>Given the fact that WINNER II channel and ITU models are very similar</w:t>
      </w:r>
      <w:r w:rsidR="00D940B2">
        <w:rPr>
          <w:szCs w:val="22"/>
        </w:rPr>
        <w:t xml:space="preserve"> [10-11]</w:t>
      </w:r>
      <w:r w:rsidR="008E65E6">
        <w:rPr>
          <w:szCs w:val="22"/>
        </w:rPr>
        <w:t>, the HEW study group decided to choose ITU channel model as the base</w:t>
      </w:r>
      <w:r w:rsidR="00234865">
        <w:rPr>
          <w:szCs w:val="22"/>
        </w:rPr>
        <w:t>line</w:t>
      </w:r>
      <w:r w:rsidR="008E65E6">
        <w:rPr>
          <w:szCs w:val="22"/>
        </w:rPr>
        <w:t xml:space="preserve"> of outdoor channel models. </w:t>
      </w:r>
    </w:p>
    <w:p w:rsidR="008E65E6" w:rsidRDefault="008E65E6" w:rsidP="008803EE">
      <w:pPr>
        <w:rPr>
          <w:szCs w:val="22"/>
        </w:rPr>
      </w:pPr>
    </w:p>
    <w:p w:rsidR="00234865" w:rsidRDefault="00234865" w:rsidP="008803EE">
      <w:pPr>
        <w:rPr>
          <w:szCs w:val="22"/>
        </w:rPr>
      </w:pPr>
    </w:p>
    <w:p w:rsidR="005B0365" w:rsidRDefault="008E65E6" w:rsidP="008803EE">
      <w:pPr>
        <w:rPr>
          <w:szCs w:val="22"/>
        </w:rPr>
      </w:pPr>
      <w:r>
        <w:rPr>
          <w:szCs w:val="22"/>
        </w:rPr>
        <w:t>Based on analysis of range [</w:t>
      </w:r>
      <w:r w:rsidR="00406915">
        <w:rPr>
          <w:szCs w:val="22"/>
        </w:rPr>
        <w:t>8</w:t>
      </w:r>
      <w:r>
        <w:rPr>
          <w:szCs w:val="22"/>
        </w:rPr>
        <w:t xml:space="preserve">], definition of environment and deployments, the HEW study group decides to choose ITU </w:t>
      </w:r>
      <w:proofErr w:type="spellStart"/>
      <w:r>
        <w:rPr>
          <w:szCs w:val="22"/>
        </w:rPr>
        <w:t>UMi</w:t>
      </w:r>
      <w:proofErr w:type="spellEnd"/>
      <w:r>
        <w:rPr>
          <w:szCs w:val="22"/>
        </w:rPr>
        <w:t xml:space="preserve"> channel models as the base</w:t>
      </w:r>
      <w:r w:rsidR="00234865">
        <w:rPr>
          <w:szCs w:val="22"/>
        </w:rPr>
        <w:t>line</w:t>
      </w:r>
      <w:r>
        <w:rPr>
          <w:szCs w:val="22"/>
        </w:rPr>
        <w:t xml:space="preserve"> outdoor channel models for HEW and future task group for performance comparison and evaluation. </w:t>
      </w:r>
      <w:r w:rsidR="005B0365">
        <w:rPr>
          <w:szCs w:val="22"/>
        </w:rPr>
        <w:t>P</w:t>
      </w:r>
      <w:r>
        <w:rPr>
          <w:szCs w:val="22"/>
        </w:rPr>
        <w:t xml:space="preserve">erformance </w:t>
      </w:r>
      <w:r w:rsidR="005B0365">
        <w:rPr>
          <w:szCs w:val="22"/>
        </w:rPr>
        <w:t>degradation is allowed when</w:t>
      </w:r>
      <w:r>
        <w:rPr>
          <w:szCs w:val="22"/>
        </w:rPr>
        <w:t xml:space="preserve"> designs based on specifications of HEW and the future task group </w:t>
      </w:r>
      <w:r w:rsidR="005B0365">
        <w:rPr>
          <w:szCs w:val="22"/>
        </w:rPr>
        <w:t xml:space="preserve">are applied to </w:t>
      </w:r>
      <w:proofErr w:type="spellStart"/>
      <w:r w:rsidR="005B0365">
        <w:rPr>
          <w:szCs w:val="22"/>
        </w:rPr>
        <w:t>UMa</w:t>
      </w:r>
      <w:proofErr w:type="spellEnd"/>
      <w:r w:rsidR="005B0365">
        <w:rPr>
          <w:szCs w:val="22"/>
        </w:rPr>
        <w:t xml:space="preserve"> channel models.</w:t>
      </w:r>
    </w:p>
    <w:p w:rsidR="005B0365" w:rsidRDefault="005B0365" w:rsidP="008803EE">
      <w:pPr>
        <w:rPr>
          <w:szCs w:val="22"/>
        </w:rPr>
      </w:pPr>
    </w:p>
    <w:p w:rsidR="005B0365" w:rsidRDefault="008E65E6" w:rsidP="008803EE">
      <w:pPr>
        <w:rPr>
          <w:szCs w:val="22"/>
        </w:rPr>
      </w:pPr>
      <w:r>
        <w:rPr>
          <w:szCs w:val="22"/>
        </w:rPr>
        <w:t xml:space="preserve">  </w:t>
      </w:r>
    </w:p>
    <w:p w:rsidR="005B0365" w:rsidRDefault="00C17DFB" w:rsidP="005B0365">
      <w:pPr>
        <w:pStyle w:val="Heading1"/>
      </w:pPr>
      <w:r>
        <w:t xml:space="preserve">In Progress and </w:t>
      </w:r>
      <w:r w:rsidR="0050345B">
        <w:t xml:space="preserve">Existing Topics for </w:t>
      </w:r>
      <w:r>
        <w:t>Discussion</w:t>
      </w:r>
    </w:p>
    <w:p w:rsidR="008E65E6" w:rsidRDefault="008E65E6" w:rsidP="005B0365">
      <w:pPr>
        <w:rPr>
          <w:szCs w:val="22"/>
        </w:rPr>
      </w:pPr>
    </w:p>
    <w:p w:rsidR="005B0365" w:rsidRDefault="00C17DFB" w:rsidP="005B0365">
      <w:pPr>
        <w:rPr>
          <w:szCs w:val="22"/>
        </w:rPr>
      </w:pPr>
      <w:r>
        <w:rPr>
          <w:szCs w:val="22"/>
        </w:rPr>
        <w:t xml:space="preserve">Expanding the ITU channel models to 160MHz has been discussed in [9]. </w:t>
      </w:r>
    </w:p>
    <w:p w:rsidR="00C17DFB" w:rsidRDefault="00C17DFB" w:rsidP="005B0365">
      <w:pPr>
        <w:rPr>
          <w:szCs w:val="22"/>
        </w:rPr>
      </w:pPr>
    </w:p>
    <w:p w:rsidR="00C17DFB" w:rsidRDefault="00C17DFB" w:rsidP="005B0365">
      <w:pPr>
        <w:rPr>
          <w:szCs w:val="22"/>
        </w:rPr>
      </w:pPr>
      <w:r>
        <w:rPr>
          <w:szCs w:val="22"/>
        </w:rPr>
        <w:t>Penetration</w:t>
      </w:r>
      <w:r w:rsidR="0050345B">
        <w:rPr>
          <w:szCs w:val="22"/>
        </w:rPr>
        <w:t xml:space="preserve"> loss should be discussed</w:t>
      </w:r>
      <w:r w:rsidR="00166149">
        <w:rPr>
          <w:szCs w:val="22"/>
        </w:rPr>
        <w:t xml:space="preserve"> for outdoor simulation scenario. </w:t>
      </w:r>
    </w:p>
    <w:p w:rsidR="0050345B" w:rsidRDefault="0050345B" w:rsidP="005B0365">
      <w:pPr>
        <w:rPr>
          <w:szCs w:val="22"/>
        </w:rPr>
      </w:pPr>
    </w:p>
    <w:p w:rsidR="0050345B" w:rsidRDefault="00166149" w:rsidP="005B0365">
      <w:pPr>
        <w:rPr>
          <w:szCs w:val="22"/>
        </w:rPr>
      </w:pPr>
      <w:r>
        <w:rPr>
          <w:szCs w:val="22"/>
        </w:rPr>
        <w:t xml:space="preserve">STA-to-STA outdoor channels, using </w:t>
      </w:r>
      <w:proofErr w:type="spellStart"/>
      <w:r>
        <w:rPr>
          <w:szCs w:val="22"/>
        </w:rPr>
        <w:t>UMi</w:t>
      </w:r>
      <w:proofErr w:type="spellEnd"/>
      <w:r>
        <w:rPr>
          <w:szCs w:val="22"/>
        </w:rPr>
        <w:t xml:space="preserve"> channel models with adjustment of heights. </w:t>
      </w:r>
      <w:r w:rsidR="002660DB">
        <w:rPr>
          <w:szCs w:val="22"/>
        </w:rPr>
        <w:t>[12]</w:t>
      </w:r>
    </w:p>
    <w:p w:rsidR="005B0365" w:rsidRDefault="005B0365">
      <w:pPr>
        <w:spacing w:after="200" w:line="276" w:lineRule="auto"/>
        <w:rPr>
          <w:szCs w:val="22"/>
        </w:rPr>
      </w:pPr>
      <w:r>
        <w:rPr>
          <w:szCs w:val="22"/>
        </w:rPr>
        <w:br w:type="page"/>
      </w:r>
    </w:p>
    <w:p w:rsidR="005B0365" w:rsidRDefault="005B0365" w:rsidP="005B0365">
      <w:pPr>
        <w:rPr>
          <w:b/>
          <w:sz w:val="28"/>
          <w:szCs w:val="28"/>
        </w:rPr>
      </w:pPr>
      <w:r w:rsidRPr="003666FC">
        <w:rPr>
          <w:b/>
          <w:sz w:val="28"/>
          <w:szCs w:val="28"/>
        </w:rPr>
        <w:lastRenderedPageBreak/>
        <w:t>References</w:t>
      </w:r>
    </w:p>
    <w:p w:rsidR="00234865" w:rsidRPr="00234865" w:rsidRDefault="00234865" w:rsidP="005B0365">
      <w:pPr>
        <w:rPr>
          <w:sz w:val="28"/>
          <w:szCs w:val="28"/>
        </w:rPr>
      </w:pPr>
    </w:p>
    <w:p w:rsidR="005B0365" w:rsidRPr="00234865" w:rsidRDefault="005B0365" w:rsidP="005B0365">
      <w:pPr>
        <w:numPr>
          <w:ilvl w:val="0"/>
          <w:numId w:val="2"/>
        </w:numPr>
        <w:rPr>
          <w:sz w:val="20"/>
          <w:lang w:val="en-US"/>
        </w:rPr>
      </w:pPr>
      <w:r w:rsidRPr="00234865">
        <w:rPr>
          <w:sz w:val="20"/>
          <w:lang w:val="en-US"/>
        </w:rPr>
        <w:t>“</w:t>
      </w:r>
      <w:proofErr w:type="spellStart"/>
      <w:r w:rsidRPr="00234865">
        <w:rPr>
          <w:sz w:val="20"/>
          <w:lang w:val="en-US"/>
        </w:rPr>
        <w:t>TGn</w:t>
      </w:r>
      <w:proofErr w:type="spellEnd"/>
      <w:r w:rsidRPr="00234865">
        <w:rPr>
          <w:sz w:val="20"/>
          <w:lang w:val="en-US"/>
        </w:rPr>
        <w:t xml:space="preserve"> Channel Models”, IEEE 802.11-03/940r4, </w:t>
      </w:r>
      <w:r w:rsidRPr="00234865">
        <w:rPr>
          <w:sz w:val="20"/>
        </w:rPr>
        <w:t>Vinko Erceg, etc.</w:t>
      </w:r>
    </w:p>
    <w:p w:rsidR="005B0365" w:rsidRPr="00234865" w:rsidRDefault="005B0365" w:rsidP="005B0365">
      <w:pPr>
        <w:numPr>
          <w:ilvl w:val="0"/>
          <w:numId w:val="2"/>
        </w:numPr>
        <w:rPr>
          <w:sz w:val="20"/>
          <w:lang w:val="en-US"/>
        </w:rPr>
      </w:pPr>
      <w:r w:rsidRPr="00234865">
        <w:rPr>
          <w:sz w:val="20"/>
          <w:lang w:val="en-US"/>
        </w:rPr>
        <w:t>“</w:t>
      </w:r>
      <w:proofErr w:type="spellStart"/>
      <w:r w:rsidRPr="00234865">
        <w:rPr>
          <w:sz w:val="20"/>
        </w:rPr>
        <w:t>TGac</w:t>
      </w:r>
      <w:proofErr w:type="spellEnd"/>
      <w:r w:rsidRPr="00234865">
        <w:rPr>
          <w:sz w:val="20"/>
        </w:rPr>
        <w:t xml:space="preserve"> Channel Model Addendum”, IEEE 802.11-09/0308r12, </w:t>
      </w:r>
      <w:r w:rsidRPr="00234865">
        <w:rPr>
          <w:color w:val="000000"/>
          <w:sz w:val="20"/>
        </w:rPr>
        <w:t xml:space="preserve">Greg </w:t>
      </w:r>
      <w:proofErr w:type="spellStart"/>
      <w:r w:rsidRPr="00234865">
        <w:rPr>
          <w:color w:val="000000"/>
          <w:sz w:val="20"/>
        </w:rPr>
        <w:t>Breit</w:t>
      </w:r>
      <w:proofErr w:type="spellEnd"/>
      <w:r w:rsidRPr="00234865">
        <w:rPr>
          <w:color w:val="000000"/>
          <w:sz w:val="20"/>
        </w:rPr>
        <w:t>, etc.</w:t>
      </w:r>
    </w:p>
    <w:p w:rsidR="0066749C" w:rsidRPr="00234865" w:rsidRDefault="00A55945" w:rsidP="005B0365">
      <w:pPr>
        <w:numPr>
          <w:ilvl w:val="0"/>
          <w:numId w:val="2"/>
        </w:numPr>
        <w:rPr>
          <w:sz w:val="20"/>
          <w:lang w:val="en-US"/>
        </w:rPr>
      </w:pPr>
      <w:r w:rsidRPr="00234865">
        <w:rPr>
          <w:bCs/>
          <w:sz w:val="20"/>
          <w:lang w:val="en-US"/>
        </w:rPr>
        <w:t>“</w:t>
      </w:r>
      <w:r w:rsidRPr="00234865">
        <w:rPr>
          <w:bCs/>
          <w:sz w:val="20"/>
        </w:rPr>
        <w:t xml:space="preserve">HEW Channel Model “, IEEE 802.11-13/0756r, </w:t>
      </w:r>
      <w:r w:rsidRPr="00234865">
        <w:rPr>
          <w:bCs/>
          <w:sz w:val="20"/>
          <w:lang w:val="en-US"/>
        </w:rPr>
        <w:t xml:space="preserve">Broadcom, Ron Porat, etc. </w:t>
      </w:r>
    </w:p>
    <w:p w:rsidR="0066749C" w:rsidRPr="00234865" w:rsidRDefault="00A55945" w:rsidP="005B0365">
      <w:pPr>
        <w:numPr>
          <w:ilvl w:val="0"/>
          <w:numId w:val="2"/>
        </w:numPr>
        <w:rPr>
          <w:sz w:val="20"/>
          <w:lang w:val="en-US"/>
        </w:rPr>
      </w:pPr>
      <w:r w:rsidRPr="00234865">
        <w:rPr>
          <w:bCs/>
          <w:sz w:val="20"/>
          <w:lang w:val="en-US"/>
        </w:rPr>
        <w:t xml:space="preserve">“HEW SG PHY Considerations </w:t>
      </w:r>
      <w:proofErr w:type="gramStart"/>
      <w:r w:rsidRPr="00234865">
        <w:rPr>
          <w:bCs/>
          <w:sz w:val="20"/>
          <w:lang w:val="en-US"/>
        </w:rPr>
        <w:t>For</w:t>
      </w:r>
      <w:proofErr w:type="gramEnd"/>
      <w:r w:rsidRPr="00234865">
        <w:rPr>
          <w:bCs/>
          <w:sz w:val="20"/>
          <w:lang w:val="en-US"/>
        </w:rPr>
        <w:t xml:space="preserve"> Outdoor Environment”, IEEE </w:t>
      </w:r>
      <w:r w:rsidRPr="00234865">
        <w:rPr>
          <w:bCs/>
          <w:sz w:val="20"/>
          <w:lang w:val="nl-NL"/>
        </w:rPr>
        <w:t>802.11-13/0536, LGE, Wookbong Lee, etc.</w:t>
      </w:r>
      <w:r w:rsidRPr="00234865">
        <w:rPr>
          <w:bCs/>
          <w:sz w:val="20"/>
          <w:lang w:val="en-US"/>
        </w:rPr>
        <w:t xml:space="preserve"> </w:t>
      </w:r>
    </w:p>
    <w:p w:rsidR="0066749C" w:rsidRPr="00234865" w:rsidRDefault="00A55945" w:rsidP="005B0365">
      <w:pPr>
        <w:numPr>
          <w:ilvl w:val="0"/>
          <w:numId w:val="2"/>
        </w:numPr>
        <w:rPr>
          <w:sz w:val="20"/>
          <w:lang w:val="en-US"/>
        </w:rPr>
      </w:pPr>
      <w:r w:rsidRPr="00234865">
        <w:rPr>
          <w:bCs/>
          <w:sz w:val="20"/>
          <w:lang w:val="en-US"/>
        </w:rPr>
        <w:t>“En</w:t>
      </w:r>
      <w:r w:rsidR="005B0365" w:rsidRPr="00234865">
        <w:rPr>
          <w:bCs/>
          <w:sz w:val="20"/>
          <w:lang w:val="en-US"/>
        </w:rPr>
        <w:t xml:space="preserve">hanced Channel Model for HEW”, </w:t>
      </w:r>
      <w:r w:rsidRPr="00234865">
        <w:rPr>
          <w:bCs/>
          <w:sz w:val="20"/>
          <w:lang w:val="en-US"/>
        </w:rPr>
        <w:t>IEEE 802.11-13/0858, Intel, Shahrnaz Azizi, etc.</w:t>
      </w:r>
    </w:p>
    <w:p w:rsidR="0066749C" w:rsidRPr="00234865" w:rsidRDefault="00A55945" w:rsidP="005B0365">
      <w:pPr>
        <w:numPr>
          <w:ilvl w:val="0"/>
          <w:numId w:val="2"/>
        </w:numPr>
        <w:rPr>
          <w:sz w:val="20"/>
          <w:lang w:val="en-US"/>
        </w:rPr>
      </w:pPr>
      <w:r w:rsidRPr="00234865">
        <w:rPr>
          <w:bCs/>
          <w:sz w:val="20"/>
          <w:lang w:val="en-US"/>
        </w:rPr>
        <w:t>“Outdoor Channel Model Candidates for HEW”,</w:t>
      </w:r>
      <w:r w:rsidR="005B0365" w:rsidRPr="00234865">
        <w:rPr>
          <w:bCs/>
          <w:sz w:val="20"/>
          <w:lang w:val="en-US"/>
        </w:rPr>
        <w:t xml:space="preserve"> </w:t>
      </w:r>
      <w:r w:rsidRPr="00234865">
        <w:rPr>
          <w:bCs/>
          <w:sz w:val="20"/>
          <w:lang w:val="en-US"/>
        </w:rPr>
        <w:t xml:space="preserve">IEEE 802. 11-13/0996r1, Samsung, Kaushik Josiam, etc. </w:t>
      </w:r>
    </w:p>
    <w:p w:rsidR="00CE3814" w:rsidRPr="00234865" w:rsidRDefault="00CE3814" w:rsidP="005B0365">
      <w:pPr>
        <w:numPr>
          <w:ilvl w:val="0"/>
          <w:numId w:val="2"/>
        </w:numPr>
        <w:rPr>
          <w:sz w:val="20"/>
          <w:lang w:val="en-US"/>
        </w:rPr>
      </w:pPr>
      <w:r w:rsidRPr="00234865">
        <w:rPr>
          <w:bCs/>
          <w:sz w:val="20"/>
          <w:lang w:val="en-US"/>
        </w:rPr>
        <w:t>“</w:t>
      </w:r>
      <w:r w:rsidR="00234865" w:rsidRPr="00234865">
        <w:rPr>
          <w:bCs/>
          <w:sz w:val="20"/>
          <w:lang w:val="en-US"/>
        </w:rPr>
        <w:t xml:space="preserve">Summary </w:t>
      </w:r>
      <w:proofErr w:type="gramStart"/>
      <w:r w:rsidR="00234865" w:rsidRPr="00234865">
        <w:rPr>
          <w:bCs/>
          <w:sz w:val="20"/>
          <w:lang w:val="en-US"/>
        </w:rPr>
        <w:t>On</w:t>
      </w:r>
      <w:proofErr w:type="gramEnd"/>
      <w:r w:rsidR="00234865" w:rsidRPr="00234865">
        <w:rPr>
          <w:bCs/>
          <w:sz w:val="20"/>
          <w:lang w:val="en-US"/>
        </w:rPr>
        <w:t xml:space="preserve"> HEW Channel Models</w:t>
      </w:r>
      <w:r w:rsidRPr="00234865">
        <w:rPr>
          <w:bCs/>
          <w:sz w:val="20"/>
          <w:lang w:val="en-US"/>
        </w:rPr>
        <w:t>”</w:t>
      </w:r>
      <w:r w:rsidR="00234865" w:rsidRPr="00234865">
        <w:rPr>
          <w:bCs/>
          <w:sz w:val="20"/>
          <w:lang w:val="en-US"/>
        </w:rPr>
        <w:t>, IEEE 802. 11-13/1135r4, Jianhan Liu, etc.</w:t>
      </w:r>
    </w:p>
    <w:p w:rsidR="00071461" w:rsidRPr="00234865" w:rsidRDefault="00D940B2" w:rsidP="005B0365">
      <w:pPr>
        <w:numPr>
          <w:ilvl w:val="0"/>
          <w:numId w:val="2"/>
        </w:numPr>
        <w:rPr>
          <w:sz w:val="20"/>
          <w:lang w:val="en-US"/>
        </w:rPr>
      </w:pPr>
      <w:r w:rsidRPr="00234865">
        <w:rPr>
          <w:bCs/>
          <w:sz w:val="20"/>
          <w:lang w:val="en-US"/>
        </w:rPr>
        <w:t>“</w:t>
      </w:r>
      <w:r w:rsidRPr="00234865">
        <w:rPr>
          <w:bCs/>
          <w:sz w:val="20"/>
        </w:rPr>
        <w:t>HEW Outdoor Channel Model Discussions</w:t>
      </w:r>
      <w:r w:rsidR="00234865" w:rsidRPr="00234865">
        <w:rPr>
          <w:bCs/>
          <w:sz w:val="20"/>
        </w:rPr>
        <w:t xml:space="preserve">”, </w:t>
      </w:r>
      <w:r w:rsidR="00234865" w:rsidRPr="00234865">
        <w:rPr>
          <w:bCs/>
          <w:sz w:val="20"/>
          <w:lang w:val="en-US"/>
        </w:rPr>
        <w:t xml:space="preserve">IEEE 802. 11-13/1125r3, </w:t>
      </w:r>
      <w:r w:rsidR="00234865" w:rsidRPr="00234865">
        <w:rPr>
          <w:bCs/>
          <w:sz w:val="20"/>
        </w:rPr>
        <w:t>Hongyuan Zhang, etc.</w:t>
      </w:r>
    </w:p>
    <w:p w:rsidR="00234865" w:rsidRPr="00C17DFB" w:rsidRDefault="00234865" w:rsidP="005B0365">
      <w:pPr>
        <w:numPr>
          <w:ilvl w:val="0"/>
          <w:numId w:val="2"/>
        </w:numPr>
        <w:rPr>
          <w:sz w:val="20"/>
          <w:lang w:val="en-US"/>
        </w:rPr>
      </w:pPr>
      <w:r w:rsidRPr="00234865">
        <w:rPr>
          <w:bCs/>
          <w:sz w:val="20"/>
        </w:rPr>
        <w:t xml:space="preserve">“Update on HEW Channel Model”, </w:t>
      </w:r>
      <w:r w:rsidRPr="00234865">
        <w:rPr>
          <w:bCs/>
          <w:sz w:val="20"/>
          <w:lang w:val="en-US"/>
        </w:rPr>
        <w:t xml:space="preserve">IEEE 802. 11-13/1146r0, </w:t>
      </w:r>
      <w:r w:rsidRPr="00234865">
        <w:rPr>
          <w:sz w:val="20"/>
        </w:rPr>
        <w:t>Shahrnaz Azizi, etc.</w:t>
      </w:r>
    </w:p>
    <w:p w:rsidR="0066749C" w:rsidRPr="00C17DFB" w:rsidRDefault="00A55945" w:rsidP="00C17DFB">
      <w:pPr>
        <w:numPr>
          <w:ilvl w:val="0"/>
          <w:numId w:val="2"/>
        </w:numPr>
        <w:rPr>
          <w:sz w:val="20"/>
          <w:lang w:val="en-US"/>
        </w:rPr>
      </w:pPr>
      <w:r w:rsidRPr="00C17DFB">
        <w:rPr>
          <w:bCs/>
          <w:sz w:val="20"/>
          <w:lang w:val="en-US"/>
        </w:rPr>
        <w:t>Report ITU-R M.2135-1, (12/2009),  Guidelines for evaluation of radio interface technologies for IMT-Advanced</w:t>
      </w:r>
    </w:p>
    <w:p w:rsidR="00C17DFB" w:rsidRPr="00864C58" w:rsidRDefault="00A55945" w:rsidP="005B0365">
      <w:pPr>
        <w:numPr>
          <w:ilvl w:val="0"/>
          <w:numId w:val="2"/>
        </w:numPr>
        <w:rPr>
          <w:sz w:val="20"/>
          <w:lang w:val="en-US"/>
        </w:rPr>
      </w:pPr>
      <w:r w:rsidRPr="00C17DFB">
        <w:rPr>
          <w:bCs/>
          <w:sz w:val="20"/>
          <w:lang w:val="en-US"/>
        </w:rPr>
        <w:t xml:space="preserve">IST-4-027756 WINNER II,  D1.1.2 V1.1, </w:t>
      </w:r>
      <w:r w:rsidRPr="00C17DFB">
        <w:rPr>
          <w:bCs/>
          <w:i/>
          <w:iCs/>
          <w:sz w:val="20"/>
          <w:lang w:val="en-US"/>
        </w:rPr>
        <w:t>WINNER II Channel Models</w:t>
      </w:r>
      <w:r w:rsidRPr="00C17DFB">
        <w:rPr>
          <w:bCs/>
          <w:sz w:val="20"/>
          <w:lang w:val="en-US"/>
        </w:rPr>
        <w:t xml:space="preserve"> </w:t>
      </w:r>
    </w:p>
    <w:p w:rsidR="0094069C" w:rsidRPr="00234865" w:rsidRDefault="0094069C" w:rsidP="0094069C">
      <w:pPr>
        <w:numPr>
          <w:ilvl w:val="0"/>
          <w:numId w:val="2"/>
        </w:numPr>
        <w:rPr>
          <w:sz w:val="20"/>
          <w:lang w:val="en-US"/>
        </w:rPr>
      </w:pPr>
      <w:r>
        <w:rPr>
          <w:sz w:val="20"/>
          <w:lang w:val="en-US"/>
        </w:rPr>
        <w:t>“</w:t>
      </w:r>
      <w:r>
        <w:rPr>
          <w:rFonts w:ascii="Verdana" w:hAnsi="Verdana"/>
          <w:color w:val="000000"/>
          <w:sz w:val="17"/>
          <w:szCs w:val="17"/>
        </w:rPr>
        <w:t>Outdoor Channel Models for System Level Simulations”</w:t>
      </w:r>
      <w:proofErr w:type="gramStart"/>
      <w:r>
        <w:rPr>
          <w:rFonts w:ascii="Verdana" w:hAnsi="Verdana"/>
          <w:color w:val="000000"/>
          <w:sz w:val="17"/>
          <w:szCs w:val="17"/>
        </w:rPr>
        <w:t xml:space="preserve">, </w:t>
      </w:r>
      <w:r w:rsidRPr="00234865">
        <w:rPr>
          <w:bCs/>
          <w:sz w:val="20"/>
          <w:lang w:val="en-US"/>
        </w:rPr>
        <w:t xml:space="preserve"> IEEE</w:t>
      </w:r>
      <w:proofErr w:type="gramEnd"/>
      <w:r w:rsidRPr="00234865">
        <w:rPr>
          <w:bCs/>
          <w:sz w:val="20"/>
          <w:lang w:val="en-US"/>
        </w:rPr>
        <w:t xml:space="preserve"> 802. 11-1</w:t>
      </w:r>
      <w:r>
        <w:rPr>
          <w:bCs/>
          <w:sz w:val="20"/>
          <w:lang w:val="en-US"/>
        </w:rPr>
        <w:t>4</w:t>
      </w:r>
      <w:r w:rsidRPr="00234865">
        <w:rPr>
          <w:bCs/>
          <w:sz w:val="20"/>
          <w:lang w:val="en-US"/>
        </w:rPr>
        <w:t>/0</w:t>
      </w:r>
      <w:r>
        <w:rPr>
          <w:bCs/>
          <w:sz w:val="20"/>
          <w:lang w:val="en-US"/>
        </w:rPr>
        <w:t xml:space="preserve">627, </w:t>
      </w:r>
      <w:r w:rsidRPr="00234865">
        <w:rPr>
          <w:bCs/>
          <w:sz w:val="20"/>
          <w:lang w:val="en-US"/>
        </w:rPr>
        <w:t xml:space="preserve">Samsung, Kaushik Josiam, etc. </w:t>
      </w:r>
    </w:p>
    <w:p w:rsidR="00864C58" w:rsidRPr="00C17DFB" w:rsidRDefault="00864C58" w:rsidP="005B0365">
      <w:pPr>
        <w:numPr>
          <w:ilvl w:val="0"/>
          <w:numId w:val="2"/>
        </w:numPr>
        <w:rPr>
          <w:sz w:val="20"/>
          <w:lang w:val="en-US"/>
        </w:rPr>
      </w:pPr>
    </w:p>
    <w:p w:rsidR="00C17DFB" w:rsidRPr="00234865" w:rsidRDefault="00C17DFB" w:rsidP="00C17DFB">
      <w:pPr>
        <w:rPr>
          <w:sz w:val="20"/>
          <w:lang w:val="en-US"/>
        </w:rPr>
      </w:pPr>
    </w:p>
    <w:p w:rsidR="005B0365" w:rsidRPr="005B0365" w:rsidRDefault="005B0365" w:rsidP="005B0365">
      <w:pPr>
        <w:rPr>
          <w:szCs w:val="22"/>
          <w:lang w:val="en-US"/>
        </w:rPr>
      </w:pPr>
    </w:p>
    <w:sectPr w:rsidR="005B0365" w:rsidRPr="005B0365" w:rsidSect="00923F7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C13" w:rsidRDefault="00357C13" w:rsidP="00357C13">
      <w:r>
        <w:separator/>
      </w:r>
    </w:p>
  </w:endnote>
  <w:endnote w:type="continuationSeparator" w:id="0">
    <w:p w:rsidR="00357C13" w:rsidRDefault="00357C13" w:rsidP="00357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C13" w:rsidRDefault="00357C13" w:rsidP="00357C13">
      <w:r>
        <w:separator/>
      </w:r>
    </w:p>
  </w:footnote>
  <w:footnote w:type="continuationSeparator" w:id="0">
    <w:p w:rsidR="00357C13" w:rsidRDefault="00357C13" w:rsidP="00357C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87C2B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515E49CE"/>
    <w:multiLevelType w:val="hybridMultilevel"/>
    <w:tmpl w:val="5C848C42"/>
    <w:lvl w:ilvl="0" w:tplc="220EB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80BB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1C28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F2EC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5CA2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404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1AD9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E1A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20B1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A53B09"/>
    <w:multiLevelType w:val="hybridMultilevel"/>
    <w:tmpl w:val="6F267ACC"/>
    <w:lvl w:ilvl="0" w:tplc="615EE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6ADC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3C2E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AC45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0AB5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386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6234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469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6426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7C13"/>
    <w:rsid w:val="00071461"/>
    <w:rsid w:val="000A7C44"/>
    <w:rsid w:val="00166149"/>
    <w:rsid w:val="00234865"/>
    <w:rsid w:val="002660DB"/>
    <w:rsid w:val="002F411A"/>
    <w:rsid w:val="00305647"/>
    <w:rsid w:val="003224E3"/>
    <w:rsid w:val="00357C13"/>
    <w:rsid w:val="003B7995"/>
    <w:rsid w:val="00406915"/>
    <w:rsid w:val="0050345B"/>
    <w:rsid w:val="00564BCA"/>
    <w:rsid w:val="005B0365"/>
    <w:rsid w:val="0066749C"/>
    <w:rsid w:val="006C3A7F"/>
    <w:rsid w:val="0072095C"/>
    <w:rsid w:val="0072371C"/>
    <w:rsid w:val="00824661"/>
    <w:rsid w:val="00835914"/>
    <w:rsid w:val="00864C58"/>
    <w:rsid w:val="008803EE"/>
    <w:rsid w:val="00886026"/>
    <w:rsid w:val="008B6968"/>
    <w:rsid w:val="008E65E6"/>
    <w:rsid w:val="00923F7E"/>
    <w:rsid w:val="0094069C"/>
    <w:rsid w:val="009D505A"/>
    <w:rsid w:val="00A55945"/>
    <w:rsid w:val="00A67557"/>
    <w:rsid w:val="00AE00AE"/>
    <w:rsid w:val="00BD3C0E"/>
    <w:rsid w:val="00BF1A26"/>
    <w:rsid w:val="00C17DFB"/>
    <w:rsid w:val="00CE3814"/>
    <w:rsid w:val="00D10042"/>
    <w:rsid w:val="00D72CE0"/>
    <w:rsid w:val="00D940B2"/>
    <w:rsid w:val="00DA4DE5"/>
    <w:rsid w:val="00EC74AE"/>
    <w:rsid w:val="00F51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C13"/>
    <w:pPr>
      <w:spacing w:after="0" w:line="240" w:lineRule="auto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86026"/>
    <w:pPr>
      <w:keepNext/>
      <w:keepLines/>
      <w:numPr>
        <w:numId w:val="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886026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886026"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8602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8602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8602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86026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8602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86026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57C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7C13"/>
  </w:style>
  <w:style w:type="paragraph" w:styleId="Footer">
    <w:name w:val="footer"/>
    <w:basedOn w:val="Normal"/>
    <w:link w:val="FooterChar"/>
    <w:uiPriority w:val="99"/>
    <w:semiHidden/>
    <w:unhideWhenUsed/>
    <w:rsid w:val="00357C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7C13"/>
  </w:style>
  <w:style w:type="paragraph" w:customStyle="1" w:styleId="T1">
    <w:name w:val="T1"/>
    <w:basedOn w:val="Normal"/>
    <w:rsid w:val="00357C13"/>
    <w:pPr>
      <w:jc w:val="center"/>
    </w:pPr>
    <w:rPr>
      <w:b/>
      <w:sz w:val="28"/>
    </w:rPr>
  </w:style>
  <w:style w:type="paragraph" w:customStyle="1" w:styleId="T2">
    <w:name w:val="T2"/>
    <w:basedOn w:val="T1"/>
    <w:rsid w:val="00357C13"/>
    <w:pPr>
      <w:spacing w:after="240"/>
      <w:ind w:left="720" w:right="720"/>
    </w:pPr>
  </w:style>
  <w:style w:type="character" w:styleId="Hyperlink">
    <w:name w:val="Hyperlink"/>
    <w:basedOn w:val="DefaultParagraphFont"/>
    <w:uiPriority w:val="99"/>
    <w:rsid w:val="00357C13"/>
    <w:rPr>
      <w:color w:val="0000FF"/>
      <w:u w:val="single"/>
    </w:rPr>
  </w:style>
  <w:style w:type="paragraph" w:customStyle="1" w:styleId="MTDisplayEquation">
    <w:name w:val="MTDisplayEquation"/>
    <w:basedOn w:val="Normal"/>
    <w:next w:val="Normal"/>
    <w:rsid w:val="006C3A7F"/>
    <w:pPr>
      <w:tabs>
        <w:tab w:val="center" w:pos="4320"/>
        <w:tab w:val="right" w:pos="8640"/>
      </w:tabs>
      <w:jc w:val="both"/>
    </w:pPr>
    <w:rPr>
      <w:sz w:val="24"/>
      <w:szCs w:val="24"/>
      <w:lang w:val="en-US" w:bidi="he-IL"/>
    </w:rPr>
  </w:style>
  <w:style w:type="character" w:customStyle="1" w:styleId="eudoraheader">
    <w:name w:val="eudoraheader"/>
    <w:basedOn w:val="DefaultParagraphFont"/>
    <w:rsid w:val="008803EE"/>
  </w:style>
  <w:style w:type="character" w:customStyle="1" w:styleId="Heading1Char">
    <w:name w:val="Heading 1 Char"/>
    <w:basedOn w:val="DefaultParagraphFont"/>
    <w:link w:val="Heading1"/>
    <w:rsid w:val="00886026"/>
    <w:rPr>
      <w:rFonts w:ascii="Arial" w:eastAsia="Times New Roman" w:hAnsi="Arial" w:cs="Times New Roman"/>
      <w:b/>
      <w:sz w:val="32"/>
      <w:szCs w:val="20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886026"/>
    <w:rPr>
      <w:rFonts w:ascii="Arial" w:eastAsia="Times New Roman" w:hAnsi="Arial" w:cs="Times New Roman"/>
      <w:b/>
      <w:sz w:val="28"/>
      <w:szCs w:val="20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886026"/>
    <w:rPr>
      <w:rFonts w:ascii="Arial" w:eastAsia="Times New Roman" w:hAnsi="Arial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semiHidden/>
    <w:rsid w:val="00886026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886026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886026"/>
    <w:rPr>
      <w:rFonts w:ascii="Calibri" w:eastAsia="Times New Roman" w:hAnsi="Calibri" w:cs="Times New Roman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886026"/>
    <w:rPr>
      <w:rFonts w:ascii="Calibri" w:eastAsia="Times New Roman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886026"/>
    <w:rPr>
      <w:rFonts w:ascii="Calibri" w:eastAsia="Times New Roman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886026"/>
    <w:rPr>
      <w:rFonts w:ascii="Cambria" w:eastAsia="Times New Roman" w:hAnsi="Cambria" w:cs="Times New Roman"/>
      <w:lang w:val="en-GB" w:eastAsia="en-US"/>
    </w:rPr>
  </w:style>
  <w:style w:type="paragraph" w:styleId="BodyText">
    <w:name w:val="Body Text"/>
    <w:basedOn w:val="Normal"/>
    <w:link w:val="BodyTextChar"/>
    <w:rsid w:val="008860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86026"/>
    <w:rPr>
      <w:rFonts w:ascii="Times New Roman" w:eastAsia="Times New Roman" w:hAnsi="Times New Roman" w:cs="Times New Roman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64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1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75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7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98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26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mtk30143</dc:creator>
  <cp:keywords/>
  <dc:description/>
  <cp:lastModifiedBy>mtk30143</cp:lastModifiedBy>
  <cp:revision>40</cp:revision>
  <dcterms:created xsi:type="dcterms:W3CDTF">2013-07-26T01:24:00Z</dcterms:created>
  <dcterms:modified xsi:type="dcterms:W3CDTF">2014-05-14T18:48:00Z</dcterms:modified>
</cp:coreProperties>
</file>