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B7" w:rsidRDefault="006431B7" w:rsidP="006431B7">
      <w:pPr>
        <w:pStyle w:val="T1"/>
        <w:pBdr>
          <w:bottom w:val="single" w:sz="6" w:space="0" w:color="auto"/>
        </w:pBdr>
        <w:spacing w:after="240"/>
      </w:pPr>
      <w:bookmarkStart w:id="0" w:name="RTF37363839333a2048322c312e"/>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84"/>
        <w:gridCol w:w="1385"/>
        <w:gridCol w:w="1927"/>
        <w:gridCol w:w="3283"/>
      </w:tblGrid>
      <w:tr w:rsidR="006431B7" w:rsidRPr="006431B7" w:rsidTr="00BD41B3">
        <w:trPr>
          <w:trHeight w:val="485"/>
          <w:jc w:val="center"/>
        </w:trPr>
        <w:tc>
          <w:tcPr>
            <w:tcW w:w="5000" w:type="pct"/>
            <w:gridSpan w:val="5"/>
            <w:vAlign w:val="center"/>
          </w:tcPr>
          <w:p w:rsidR="006431B7" w:rsidRDefault="006431B7" w:rsidP="0038699D">
            <w:pPr>
              <w:pStyle w:val="T2"/>
            </w:pPr>
            <w:r>
              <w:t>Proposed resolution to CID</w:t>
            </w:r>
            <w:r w:rsidR="00AE6163">
              <w:t xml:space="preserve"> 24</w:t>
            </w:r>
            <w:r w:rsidR="0038699D">
              <w:t>62</w:t>
            </w:r>
          </w:p>
        </w:tc>
      </w:tr>
      <w:tr w:rsidR="006431B7" w:rsidRPr="006431B7" w:rsidTr="00BD41B3">
        <w:trPr>
          <w:trHeight w:val="359"/>
          <w:jc w:val="center"/>
        </w:trPr>
        <w:tc>
          <w:tcPr>
            <w:tcW w:w="5000" w:type="pct"/>
            <w:gridSpan w:val="5"/>
            <w:vAlign w:val="center"/>
          </w:tcPr>
          <w:p w:rsidR="006431B7" w:rsidRDefault="006431B7" w:rsidP="00BD41B3">
            <w:pPr>
              <w:pStyle w:val="T2"/>
              <w:ind w:left="0"/>
              <w:rPr>
                <w:sz w:val="20"/>
              </w:rPr>
            </w:pPr>
            <w:r>
              <w:rPr>
                <w:sz w:val="20"/>
              </w:rPr>
              <w:t>Date:</w:t>
            </w:r>
            <w:r>
              <w:rPr>
                <w:b w:val="0"/>
                <w:sz w:val="20"/>
              </w:rPr>
              <w:t xml:space="preserve">  2014-</w:t>
            </w:r>
            <w:r w:rsidR="0066654E">
              <w:rPr>
                <w:b w:val="0"/>
                <w:sz w:val="20"/>
              </w:rPr>
              <w:t>05</w:t>
            </w:r>
            <w:r>
              <w:rPr>
                <w:b w:val="0"/>
                <w:sz w:val="20"/>
              </w:rPr>
              <w:t>-</w:t>
            </w:r>
            <w:r w:rsidR="006704DF">
              <w:rPr>
                <w:b w:val="0"/>
                <w:sz w:val="20"/>
              </w:rPr>
              <w:t>14</w:t>
            </w:r>
          </w:p>
        </w:tc>
      </w:tr>
      <w:tr w:rsidR="006431B7" w:rsidRPr="006431B7" w:rsidTr="00BD41B3">
        <w:trPr>
          <w:cantSplit/>
          <w:jc w:val="center"/>
        </w:trPr>
        <w:tc>
          <w:tcPr>
            <w:tcW w:w="5000" w:type="pct"/>
            <w:gridSpan w:val="5"/>
            <w:vAlign w:val="center"/>
          </w:tcPr>
          <w:p w:rsidR="006431B7" w:rsidRDefault="006431B7" w:rsidP="00BD41B3">
            <w:pPr>
              <w:pStyle w:val="T2"/>
              <w:spacing w:after="0"/>
              <w:ind w:left="0" w:right="0"/>
              <w:jc w:val="left"/>
              <w:rPr>
                <w:sz w:val="20"/>
              </w:rPr>
            </w:pPr>
            <w:r>
              <w:rPr>
                <w:sz w:val="20"/>
              </w:rPr>
              <w:t>Author(s):</w:t>
            </w:r>
          </w:p>
        </w:tc>
      </w:tr>
      <w:tr w:rsidR="006431B7" w:rsidRPr="006431B7" w:rsidTr="00BD41B3">
        <w:trPr>
          <w:jc w:val="center"/>
        </w:trPr>
        <w:tc>
          <w:tcPr>
            <w:tcW w:w="782" w:type="pct"/>
            <w:vAlign w:val="center"/>
          </w:tcPr>
          <w:p w:rsidR="006431B7" w:rsidRDefault="006431B7" w:rsidP="00BD41B3">
            <w:pPr>
              <w:pStyle w:val="T2"/>
              <w:spacing w:after="0"/>
              <w:ind w:left="0" w:right="0"/>
              <w:jc w:val="left"/>
              <w:rPr>
                <w:sz w:val="20"/>
              </w:rPr>
            </w:pPr>
            <w:r>
              <w:rPr>
                <w:sz w:val="20"/>
              </w:rPr>
              <w:t>Name</w:t>
            </w:r>
          </w:p>
        </w:tc>
        <w:tc>
          <w:tcPr>
            <w:tcW w:w="775" w:type="pct"/>
            <w:vAlign w:val="center"/>
          </w:tcPr>
          <w:p w:rsidR="006431B7" w:rsidRDefault="006431B7" w:rsidP="00BD41B3">
            <w:pPr>
              <w:pStyle w:val="T2"/>
              <w:spacing w:after="0"/>
              <w:ind w:left="0" w:right="0"/>
              <w:jc w:val="left"/>
              <w:rPr>
                <w:sz w:val="20"/>
              </w:rPr>
            </w:pPr>
            <w:r>
              <w:rPr>
                <w:sz w:val="20"/>
              </w:rPr>
              <w:t>Company</w:t>
            </w:r>
          </w:p>
        </w:tc>
        <w:tc>
          <w:tcPr>
            <w:tcW w:w="723" w:type="pct"/>
            <w:vAlign w:val="center"/>
          </w:tcPr>
          <w:p w:rsidR="006431B7" w:rsidRDefault="006431B7" w:rsidP="00BD41B3">
            <w:pPr>
              <w:pStyle w:val="T2"/>
              <w:spacing w:after="0"/>
              <w:ind w:left="0" w:right="0"/>
              <w:jc w:val="left"/>
              <w:rPr>
                <w:sz w:val="20"/>
              </w:rPr>
            </w:pPr>
            <w:r>
              <w:rPr>
                <w:sz w:val="20"/>
              </w:rPr>
              <w:t>Address</w:t>
            </w:r>
          </w:p>
        </w:tc>
        <w:tc>
          <w:tcPr>
            <w:tcW w:w="1006" w:type="pct"/>
            <w:vAlign w:val="center"/>
          </w:tcPr>
          <w:p w:rsidR="006431B7" w:rsidRDefault="006431B7" w:rsidP="00BD41B3">
            <w:pPr>
              <w:pStyle w:val="T2"/>
              <w:spacing w:after="0"/>
              <w:ind w:left="0" w:right="0"/>
              <w:jc w:val="left"/>
              <w:rPr>
                <w:sz w:val="20"/>
              </w:rPr>
            </w:pPr>
            <w:r>
              <w:rPr>
                <w:sz w:val="20"/>
              </w:rPr>
              <w:t>Phone</w:t>
            </w:r>
          </w:p>
        </w:tc>
        <w:tc>
          <w:tcPr>
            <w:tcW w:w="1714" w:type="pct"/>
            <w:vAlign w:val="center"/>
          </w:tcPr>
          <w:p w:rsidR="006431B7" w:rsidRDefault="006431B7" w:rsidP="00BD41B3">
            <w:pPr>
              <w:pStyle w:val="T2"/>
              <w:spacing w:after="0"/>
              <w:ind w:left="0" w:right="0"/>
              <w:jc w:val="left"/>
              <w:rPr>
                <w:sz w:val="20"/>
              </w:rPr>
            </w:pPr>
            <w:r>
              <w:rPr>
                <w:sz w:val="20"/>
              </w:rPr>
              <w:t>email</w:t>
            </w:r>
          </w:p>
        </w:tc>
      </w:tr>
      <w:tr w:rsidR="006431B7" w:rsidRPr="006431B7" w:rsidTr="00BD41B3">
        <w:trPr>
          <w:jc w:val="center"/>
        </w:trPr>
        <w:tc>
          <w:tcPr>
            <w:tcW w:w="782" w:type="pct"/>
            <w:vAlign w:val="center"/>
          </w:tcPr>
          <w:p w:rsidR="006431B7" w:rsidRDefault="006431B7" w:rsidP="00BD41B3">
            <w:pPr>
              <w:pStyle w:val="T2"/>
              <w:spacing w:after="0"/>
              <w:ind w:left="0" w:right="0"/>
              <w:rPr>
                <w:b w:val="0"/>
                <w:sz w:val="20"/>
              </w:rPr>
            </w:pPr>
            <w:r>
              <w:rPr>
                <w:b w:val="0"/>
                <w:sz w:val="20"/>
              </w:rPr>
              <w:t>Mark Hamilton</w:t>
            </w:r>
          </w:p>
        </w:tc>
        <w:tc>
          <w:tcPr>
            <w:tcW w:w="775" w:type="pct"/>
            <w:vAlign w:val="center"/>
          </w:tcPr>
          <w:p w:rsidR="006431B7" w:rsidRDefault="006431B7" w:rsidP="00BD41B3">
            <w:pPr>
              <w:pStyle w:val="T2"/>
              <w:spacing w:after="0"/>
              <w:ind w:left="0" w:right="0"/>
              <w:rPr>
                <w:b w:val="0"/>
                <w:sz w:val="20"/>
              </w:rPr>
            </w:pPr>
            <w:r>
              <w:rPr>
                <w:b w:val="0"/>
                <w:sz w:val="20"/>
              </w:rPr>
              <w:t>Spectralink</w:t>
            </w:r>
          </w:p>
        </w:tc>
        <w:tc>
          <w:tcPr>
            <w:tcW w:w="723" w:type="pct"/>
            <w:vAlign w:val="center"/>
          </w:tcPr>
          <w:p w:rsidR="006431B7" w:rsidRDefault="00AE6163" w:rsidP="00BD41B3">
            <w:pPr>
              <w:pStyle w:val="T2"/>
              <w:spacing w:after="0"/>
              <w:ind w:left="0" w:right="0"/>
              <w:rPr>
                <w:b w:val="0"/>
                <w:sz w:val="20"/>
              </w:rPr>
            </w:pPr>
            <w:r>
              <w:rPr>
                <w:b w:val="0"/>
                <w:sz w:val="20"/>
              </w:rPr>
              <w:t>2560 55</w:t>
            </w:r>
            <w:r w:rsidRPr="00AE6163">
              <w:rPr>
                <w:b w:val="0"/>
                <w:sz w:val="20"/>
                <w:vertAlign w:val="superscript"/>
              </w:rPr>
              <w:t>th</w:t>
            </w:r>
            <w:r>
              <w:rPr>
                <w:b w:val="0"/>
                <w:sz w:val="20"/>
              </w:rPr>
              <w:t xml:space="preserve"> St</w:t>
            </w:r>
          </w:p>
          <w:p w:rsidR="00AE6163" w:rsidRDefault="00AE6163" w:rsidP="00BD41B3">
            <w:pPr>
              <w:pStyle w:val="T2"/>
              <w:spacing w:after="0"/>
              <w:ind w:left="0" w:right="0"/>
              <w:rPr>
                <w:b w:val="0"/>
                <w:sz w:val="20"/>
              </w:rPr>
            </w:pPr>
            <w:r>
              <w:rPr>
                <w:b w:val="0"/>
                <w:sz w:val="20"/>
              </w:rPr>
              <w:t>Boulder, CO 80301 USA</w:t>
            </w:r>
          </w:p>
        </w:tc>
        <w:tc>
          <w:tcPr>
            <w:tcW w:w="1006" w:type="pct"/>
            <w:vAlign w:val="center"/>
          </w:tcPr>
          <w:p w:rsidR="006431B7" w:rsidRDefault="00AE6163" w:rsidP="00BD41B3">
            <w:pPr>
              <w:pStyle w:val="T2"/>
              <w:spacing w:after="0"/>
              <w:ind w:left="0" w:right="0"/>
              <w:rPr>
                <w:b w:val="0"/>
                <w:sz w:val="20"/>
              </w:rPr>
            </w:pPr>
            <w:r>
              <w:rPr>
                <w:b w:val="0"/>
                <w:sz w:val="20"/>
              </w:rPr>
              <w:t>+1.303.441.7553</w:t>
            </w:r>
          </w:p>
        </w:tc>
        <w:tc>
          <w:tcPr>
            <w:tcW w:w="1714" w:type="pct"/>
            <w:vAlign w:val="center"/>
          </w:tcPr>
          <w:p w:rsidR="006431B7" w:rsidRDefault="00630159" w:rsidP="006431B7">
            <w:pPr>
              <w:pStyle w:val="T2"/>
              <w:spacing w:after="0"/>
              <w:ind w:left="0" w:right="0"/>
              <w:rPr>
                <w:b w:val="0"/>
                <w:sz w:val="16"/>
              </w:rPr>
            </w:pPr>
            <w:hyperlink r:id="rId8" w:history="1">
              <w:r w:rsidR="006431B7" w:rsidRPr="004F6264">
                <w:rPr>
                  <w:rStyle w:val="Hyperlink"/>
                  <w:sz w:val="16"/>
                </w:rPr>
                <w:t>mark.hamilton@spectralink.com</w:t>
              </w:r>
            </w:hyperlink>
          </w:p>
        </w:tc>
      </w:tr>
    </w:tbl>
    <w:p w:rsidR="006431B7" w:rsidRDefault="006431B7" w:rsidP="006431B7">
      <w:pPr>
        <w:pStyle w:val="T1"/>
        <w:spacing w:after="120"/>
        <w:rPr>
          <w:sz w:val="22"/>
        </w:rPr>
      </w:pPr>
    </w:p>
    <w:p w:rsidR="006431B7" w:rsidRDefault="006431B7" w:rsidP="006431B7"/>
    <w:p w:rsidR="006431B7" w:rsidRDefault="00630159" w:rsidP="006431B7">
      <w:r>
        <w:rPr>
          <w:noProof/>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66654E" w:rsidRDefault="0066654E" w:rsidP="006431B7">
                  <w:pPr>
                    <w:pStyle w:val="T1"/>
                    <w:spacing w:after="120"/>
                  </w:pPr>
                  <w:r>
                    <w:t>Abstract</w:t>
                  </w:r>
                </w:p>
                <w:p w:rsidR="0066654E" w:rsidRDefault="0066654E" w:rsidP="006431B7">
                  <w:pPr>
                    <w:jc w:val="both"/>
                  </w:pPr>
                  <w:r>
                    <w:t>This submission propose</w:t>
                  </w:r>
                  <w:r w:rsidR="0038699D">
                    <w:t>s a resolution to REVmc CID 2462</w:t>
                  </w:r>
                  <w:r>
                    <w:t>.</w:t>
                  </w:r>
                </w:p>
                <w:p w:rsidR="0066654E" w:rsidRDefault="0066654E" w:rsidP="006431B7">
                  <w:pPr>
                    <w:jc w:val="both"/>
                  </w:pPr>
                </w:p>
                <w:p w:rsidR="0066654E" w:rsidRDefault="0066654E" w:rsidP="006431B7">
                  <w:pPr>
                    <w:jc w:val="both"/>
                  </w:pPr>
                  <w:r w:rsidRPr="002A3959">
                    <w:t xml:space="preserve">The </w:t>
                  </w:r>
                  <w:r>
                    <w:t>discussion is</w:t>
                  </w:r>
                  <w:r w:rsidRPr="002A3959">
                    <w:t xml:space="preserve"> in reference to </w:t>
                  </w:r>
                  <w:r w:rsidR="0038699D">
                    <w:t>Draft P802.11REVmc_D2.8</w:t>
                  </w:r>
                  <w:r w:rsidRPr="002A3959">
                    <w:t>.</w:t>
                  </w:r>
                </w:p>
                <w:p w:rsidR="0066654E" w:rsidRDefault="0066654E" w:rsidP="0066654E">
                  <w:pPr>
                    <w:spacing w:after="0"/>
                    <w:jc w:val="both"/>
                  </w:pPr>
                  <w:r>
                    <w:t>R0 – Initial draft</w:t>
                  </w:r>
                </w:p>
                <w:p w:rsidR="006704DF" w:rsidRDefault="006704DF" w:rsidP="0066654E">
                  <w:pPr>
                    <w:spacing w:after="0"/>
                    <w:jc w:val="both"/>
                  </w:pPr>
                  <w:r>
                    <w:t>R1 – edited per comments at face-to-face session</w:t>
                  </w:r>
                </w:p>
              </w:txbxContent>
            </v:textbox>
          </v:shape>
        </w:pict>
      </w:r>
    </w:p>
    <w:p w:rsidR="006431B7" w:rsidRDefault="006431B7" w:rsidP="006431B7"/>
    <w:p w:rsidR="006431B7" w:rsidRDefault="006431B7" w:rsidP="006431B7"/>
    <w:p w:rsidR="006431B7" w:rsidRDefault="006431B7" w:rsidP="006431B7"/>
    <w:p w:rsidR="0023404E" w:rsidRPr="006431B7" w:rsidRDefault="006431B7" w:rsidP="0023404E">
      <w:pPr>
        <w:rPr>
          <w:b/>
          <w:bCs/>
          <w:i/>
          <w:iCs/>
          <w:noProof/>
          <w:snapToGrid w:val="0"/>
          <w:color w:val="993300"/>
          <w:sz w:val="20"/>
          <w:lang w:eastAsia="ko-KR"/>
        </w:rPr>
      </w:pPr>
      <w:r>
        <w:rPr>
          <w:b/>
          <w:bCs/>
          <w:i/>
          <w:iCs/>
          <w:noProof/>
          <w:snapToGrid w:val="0"/>
          <w:color w:val="993300"/>
          <w:sz w:val="20"/>
          <w:lang w:eastAsia="ko-KR"/>
        </w:rPr>
        <w:br w:type="page"/>
      </w:r>
      <w:r w:rsidR="0023404E">
        <w:rPr>
          <w:sz w:val="24"/>
        </w:rPr>
        <w:lastRenderedPageBreak/>
        <w:t xml:space="preserve">This document presents </w:t>
      </w:r>
      <w:r w:rsidR="0038699D">
        <w:rPr>
          <w:sz w:val="24"/>
        </w:rPr>
        <w:t>a proposed resolution</w:t>
      </w:r>
      <w:r w:rsidR="0023404E">
        <w:rPr>
          <w:sz w:val="24"/>
        </w:rPr>
        <w:t xml:space="preserve"> to </w:t>
      </w:r>
      <w:r w:rsidR="0038699D">
        <w:rPr>
          <w:sz w:val="24"/>
        </w:rPr>
        <w:t>REVmc CID #2462</w:t>
      </w:r>
      <w:r w:rsidR="0023404E">
        <w:rPr>
          <w:sz w:val="24"/>
        </w:rPr>
        <w: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87"/>
        <w:gridCol w:w="3780"/>
        <w:gridCol w:w="2636"/>
        <w:gridCol w:w="814"/>
      </w:tblGrid>
      <w:tr w:rsidR="0023404E" w:rsidRPr="0023404E" w:rsidTr="0038699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Page</w:t>
            </w:r>
          </w:p>
        </w:tc>
        <w:tc>
          <w:tcPr>
            <w:tcW w:w="88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Clause</w:t>
            </w:r>
          </w:p>
        </w:tc>
        <w:tc>
          <w:tcPr>
            <w:tcW w:w="378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Comment</w:t>
            </w:r>
          </w:p>
        </w:tc>
        <w:tc>
          <w:tcPr>
            <w:tcW w:w="263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404E" w:rsidRPr="0023404E" w:rsidRDefault="0023404E" w:rsidP="0023404E">
            <w:pPr>
              <w:spacing w:after="0" w:line="240" w:lineRule="auto"/>
              <w:jc w:val="center"/>
              <w:rPr>
                <w:rFonts w:ascii="Times New Roman" w:hAnsi="Times New Roman"/>
                <w:b/>
                <w:bCs/>
                <w:sz w:val="24"/>
                <w:szCs w:val="24"/>
              </w:rPr>
            </w:pPr>
            <w:r w:rsidRPr="0023404E">
              <w:rPr>
                <w:rFonts w:ascii="Arial" w:hAnsi="Arial" w:cs="Arial"/>
                <w:b/>
                <w:bCs/>
                <w:color w:val="000000"/>
                <w:sz w:val="20"/>
                <w:szCs w:val="20"/>
              </w:rPr>
              <w:t>Owning Ad-hoc</w:t>
            </w:r>
          </w:p>
        </w:tc>
      </w:tr>
      <w:tr w:rsidR="0023404E" w:rsidRPr="0023404E" w:rsidTr="0038699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jc w:val="right"/>
              <w:rPr>
                <w:rFonts w:ascii="Times New Roman" w:hAnsi="Times New Roman"/>
                <w:sz w:val="24"/>
                <w:szCs w:val="24"/>
              </w:rPr>
            </w:pPr>
            <w:r>
              <w:rPr>
                <w:rFonts w:ascii="Arial" w:hAnsi="Arial" w:cs="Arial"/>
                <w:color w:val="000000"/>
                <w:sz w:val="20"/>
                <w:szCs w:val="20"/>
              </w:rPr>
              <w:t>2462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jc w:val="right"/>
              <w:rPr>
                <w:rFonts w:ascii="Times New Roman" w:hAnsi="Times New Roman"/>
                <w:sz w:val="24"/>
                <w:szCs w:val="24"/>
              </w:rPr>
            </w:pPr>
            <w:r w:rsidRPr="0038699D">
              <w:rPr>
                <w:rFonts w:ascii="Arial" w:hAnsi="Arial" w:cs="Arial"/>
                <w:color w:val="000000"/>
                <w:sz w:val="20"/>
                <w:szCs w:val="20"/>
              </w:rPr>
              <w:t>1417.42</w:t>
            </w:r>
          </w:p>
        </w:tc>
        <w:tc>
          <w:tcPr>
            <w:tcW w:w="887" w:type="dxa"/>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rPr>
                <w:rFonts w:ascii="Times New Roman" w:hAnsi="Times New Roman"/>
                <w:sz w:val="24"/>
                <w:szCs w:val="24"/>
              </w:rPr>
            </w:pPr>
            <w:r w:rsidRPr="0038699D">
              <w:rPr>
                <w:rFonts w:ascii="Arial" w:hAnsi="Arial" w:cs="Arial"/>
                <w:color w:val="000000"/>
                <w:sz w:val="20"/>
                <w:szCs w:val="20"/>
              </w:rPr>
              <w:t>10.3.5.4</w:t>
            </w:r>
          </w:p>
        </w:tc>
        <w:tc>
          <w:tcPr>
            <w:tcW w:w="3780" w:type="dxa"/>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rPr>
                <w:rFonts w:ascii="Times New Roman" w:hAnsi="Times New Roman"/>
                <w:sz w:val="24"/>
                <w:szCs w:val="24"/>
              </w:rPr>
            </w:pPr>
            <w:r w:rsidRPr="0038699D">
              <w:rPr>
                <w:rFonts w:ascii="Arial" w:hAnsi="Arial" w:cs="Arial"/>
                <w:color w:val="000000"/>
                <w:sz w:val="20"/>
                <w:szCs w:val="20"/>
              </w:rPr>
              <w:t xml:space="preserve">Reassociation to the same AP </w:t>
            </w:r>
            <w:proofErr w:type="spellStart"/>
            <w:r w:rsidRPr="0038699D">
              <w:rPr>
                <w:rFonts w:ascii="Arial" w:hAnsi="Arial" w:cs="Arial"/>
                <w:color w:val="000000"/>
                <w:sz w:val="20"/>
                <w:szCs w:val="20"/>
              </w:rPr>
              <w:t>behaviour</w:t>
            </w:r>
            <w:proofErr w:type="spellEnd"/>
            <w:r w:rsidRPr="0038699D">
              <w:rPr>
                <w:rFonts w:ascii="Arial" w:hAnsi="Arial" w:cs="Arial"/>
                <w:color w:val="000000"/>
                <w:sz w:val="20"/>
                <w:szCs w:val="20"/>
              </w:rPr>
              <w:t xml:space="preserve"> is not clearly defined (e.g. effect on </w:t>
            </w:r>
            <w:proofErr w:type="spellStart"/>
            <w:r w:rsidRPr="0038699D">
              <w:rPr>
                <w:rFonts w:ascii="Arial" w:hAnsi="Arial" w:cs="Arial"/>
                <w:color w:val="000000"/>
                <w:sz w:val="20"/>
                <w:szCs w:val="20"/>
              </w:rPr>
              <w:t>TSes</w:t>
            </w:r>
            <w:proofErr w:type="spellEnd"/>
            <w:r w:rsidRPr="0038699D">
              <w:rPr>
                <w:rFonts w:ascii="Arial" w:hAnsi="Arial" w:cs="Arial"/>
                <w:color w:val="000000"/>
                <w:sz w:val="20"/>
                <w:szCs w:val="20"/>
              </w:rPr>
              <w:t>, whether failure leaves you unassociated, whether you need to re-do 4WH, meaning of PM bit in Reassociation Request, etc.)</w:t>
            </w:r>
          </w:p>
        </w:tc>
        <w:tc>
          <w:tcPr>
            <w:tcW w:w="2636" w:type="dxa"/>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38699D" w:rsidP="0023404E">
            <w:pPr>
              <w:spacing w:after="0" w:line="240" w:lineRule="auto"/>
              <w:rPr>
                <w:rFonts w:ascii="Times New Roman" w:hAnsi="Times New Roman"/>
                <w:sz w:val="24"/>
                <w:szCs w:val="24"/>
              </w:rPr>
            </w:pPr>
            <w:r w:rsidRPr="0038699D">
              <w:rPr>
                <w:rFonts w:ascii="Arial" w:hAnsi="Arial" w:cs="Arial"/>
                <w:color w:val="000000"/>
                <w:sz w:val="20"/>
                <w:szCs w:val="20"/>
              </w:rPr>
              <w:t xml:space="preserve">Clarify that reassociation to the same </w:t>
            </w:r>
            <w:proofErr w:type="gramStart"/>
            <w:r w:rsidRPr="0038699D">
              <w:rPr>
                <w:rFonts w:ascii="Arial" w:hAnsi="Arial" w:cs="Arial"/>
                <w:color w:val="000000"/>
                <w:sz w:val="20"/>
                <w:szCs w:val="20"/>
              </w:rPr>
              <w:t>AP  transitions</w:t>
            </w:r>
            <w:proofErr w:type="gramEnd"/>
            <w:r w:rsidRPr="0038699D">
              <w:rPr>
                <w:rFonts w:ascii="Arial" w:hAnsi="Arial" w:cs="Arial"/>
                <w:color w:val="000000"/>
                <w:sz w:val="20"/>
                <w:szCs w:val="20"/>
              </w:rPr>
              <w:t xml:space="preserve"> the non-AP STA to not be in power save mode.  No other behaviors are affected.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23404E" w:rsidRPr="0023404E" w:rsidRDefault="0023404E" w:rsidP="0023404E">
            <w:pPr>
              <w:spacing w:after="0" w:line="240" w:lineRule="auto"/>
              <w:rPr>
                <w:rFonts w:ascii="Times New Roman" w:hAnsi="Times New Roman"/>
                <w:sz w:val="24"/>
                <w:szCs w:val="24"/>
              </w:rPr>
            </w:pPr>
            <w:r w:rsidRPr="0023404E">
              <w:rPr>
                <w:rFonts w:ascii="Arial" w:hAnsi="Arial" w:cs="Arial"/>
                <w:color w:val="000000"/>
                <w:sz w:val="20"/>
                <w:szCs w:val="20"/>
              </w:rPr>
              <w:t>MAC</w:t>
            </w:r>
          </w:p>
        </w:tc>
      </w:tr>
    </w:tbl>
    <w:p w:rsidR="0023404E" w:rsidRDefault="0023404E" w:rsidP="000E0AC9">
      <w:pPr>
        <w:rPr>
          <w:sz w:val="24"/>
        </w:rPr>
      </w:pPr>
    </w:p>
    <w:p w:rsidR="000E0AC9" w:rsidRPr="008E1F89" w:rsidRDefault="000E0AC9" w:rsidP="000E0AC9">
      <w:pPr>
        <w:rPr>
          <w:b/>
          <w:sz w:val="32"/>
        </w:rPr>
      </w:pPr>
      <w:r w:rsidRPr="008E1F89">
        <w:rPr>
          <w:b/>
          <w:sz w:val="32"/>
        </w:rPr>
        <w:t>Discussion:</w:t>
      </w:r>
    </w:p>
    <w:p w:rsidR="00E80DFD" w:rsidRDefault="00E80DFD" w:rsidP="000E0AC9">
      <w:pPr>
        <w:rPr>
          <w:sz w:val="24"/>
        </w:rPr>
      </w:pPr>
      <w:r>
        <w:rPr>
          <w:sz w:val="24"/>
        </w:rPr>
        <w:t xml:space="preserve">4.5.3.4 </w:t>
      </w:r>
      <w:proofErr w:type="gramStart"/>
      <w:r>
        <w:rPr>
          <w:sz w:val="24"/>
        </w:rPr>
        <w:t>states</w:t>
      </w:r>
      <w:proofErr w:type="gramEnd"/>
      <w:r>
        <w:rPr>
          <w:sz w:val="24"/>
        </w:rPr>
        <w:t xml:space="preserve">: </w:t>
      </w:r>
    </w:p>
    <w:p w:rsidR="00E80DFD" w:rsidRPr="00D4373D" w:rsidRDefault="00E80DFD" w:rsidP="00D4373D">
      <w:pPr>
        <w:autoSpaceDE w:val="0"/>
        <w:autoSpaceDN w:val="0"/>
        <w:adjustRightInd w:val="0"/>
        <w:spacing w:line="240" w:lineRule="auto"/>
        <w:ind w:left="720"/>
        <w:rPr>
          <w:rFonts w:ascii="TimesNewRomanPSMT" w:hAnsi="TimesNewRomanPSMT" w:cs="TimesNewRomanPSMT"/>
          <w:sz w:val="20"/>
          <w:szCs w:val="20"/>
        </w:rPr>
      </w:pPr>
      <w:r w:rsidRPr="00D4373D">
        <w:rPr>
          <w:rFonts w:ascii="TimesNewRomanPSMT" w:hAnsi="TimesNewRomanPSMT" w:cs="TimesNewRomanPSMT"/>
          <w:sz w:val="20"/>
          <w:szCs w:val="20"/>
        </w:rPr>
        <w:t>Reassociation also enables changing association attributes of an established association while the STA r</w:t>
      </w:r>
      <w:r w:rsidRPr="00D4373D">
        <w:rPr>
          <w:rFonts w:ascii="TimesNewRomanPSMT" w:hAnsi="TimesNewRomanPSMT" w:cs="TimesNewRomanPSMT"/>
          <w:sz w:val="20"/>
          <w:szCs w:val="20"/>
        </w:rPr>
        <w:t>e</w:t>
      </w:r>
      <w:r w:rsidRPr="00D4373D">
        <w:rPr>
          <w:rFonts w:ascii="TimesNewRomanPSMT" w:hAnsi="TimesNewRomanPSMT" w:cs="TimesNewRomanPSMT"/>
          <w:sz w:val="20"/>
          <w:szCs w:val="20"/>
        </w:rPr>
        <w:t>mains associated with the same AP.</w:t>
      </w:r>
    </w:p>
    <w:p w:rsidR="00E80DFD" w:rsidRDefault="00E80DFD" w:rsidP="000E0AC9">
      <w:pPr>
        <w:rPr>
          <w:sz w:val="24"/>
        </w:rPr>
      </w:pPr>
      <w:r>
        <w:rPr>
          <w:sz w:val="24"/>
        </w:rPr>
        <w:t>So, some special behavior is anticipated, otherwise the STA could simply do a new (full) Associ</w:t>
      </w:r>
      <w:r>
        <w:rPr>
          <w:sz w:val="24"/>
        </w:rPr>
        <w:t>a</w:t>
      </w:r>
      <w:r>
        <w:rPr>
          <w:sz w:val="24"/>
        </w:rPr>
        <w:t>tion.  The question is what behavior differences are there from a (full) Association, or from a Reassociation to a different AP.</w:t>
      </w:r>
    </w:p>
    <w:p w:rsidR="003032F1" w:rsidRDefault="00E80DFD" w:rsidP="000E0AC9">
      <w:pPr>
        <w:rPr>
          <w:sz w:val="24"/>
        </w:rPr>
      </w:pPr>
      <w:r>
        <w:rPr>
          <w:sz w:val="24"/>
        </w:rPr>
        <w:t>Thus, we c</w:t>
      </w:r>
      <w:r w:rsidR="003032F1">
        <w:rPr>
          <w:sz w:val="24"/>
        </w:rPr>
        <w:t>onsider the various state variables, state information and agreements that exist and are shared between the AP and non-AP STAs</w:t>
      </w:r>
      <w:r>
        <w:rPr>
          <w:sz w:val="24"/>
        </w:rPr>
        <w:t>, and the effect on each of a Reassociation to the same AP</w:t>
      </w:r>
      <w:r w:rsidR="003032F1">
        <w:rPr>
          <w:sz w:val="24"/>
        </w:rPr>
        <w:t>:</w:t>
      </w:r>
    </w:p>
    <w:p w:rsidR="005C54FE" w:rsidRDefault="005C54FE" w:rsidP="000E0AC9">
      <w:pPr>
        <w:rPr>
          <w:sz w:val="24"/>
        </w:rPr>
      </w:pPr>
      <w:r>
        <w:rPr>
          <w:sz w:val="24"/>
        </w:rPr>
        <w:t xml:space="preserve">Obviously, </w:t>
      </w:r>
      <w:r w:rsidR="003032F1">
        <w:rPr>
          <w:sz w:val="24"/>
        </w:rPr>
        <w:t xml:space="preserve">the </w:t>
      </w:r>
      <w:r>
        <w:rPr>
          <w:sz w:val="24"/>
        </w:rPr>
        <w:t>link</w:t>
      </w:r>
      <w:r w:rsidR="00FA7866">
        <w:rPr>
          <w:sz w:val="24"/>
        </w:rPr>
        <w:t>/association</w:t>
      </w:r>
      <w:r>
        <w:rPr>
          <w:sz w:val="24"/>
        </w:rPr>
        <w:t xml:space="preserve"> state is as described in 10.3, and reassociation does affect this per those rules.</w:t>
      </w:r>
    </w:p>
    <w:p w:rsidR="000E0AC9" w:rsidRDefault="000E0AC9" w:rsidP="000E0AC9">
      <w:pPr>
        <w:rPr>
          <w:sz w:val="24"/>
        </w:rPr>
      </w:pPr>
      <w:r>
        <w:rPr>
          <w:sz w:val="24"/>
        </w:rPr>
        <w:t>Security expe</w:t>
      </w:r>
      <w:r w:rsidR="00CC7F5F">
        <w:rPr>
          <w:sz w:val="24"/>
        </w:rPr>
        <w:t>rts have confirmed that a new PT</w:t>
      </w:r>
      <w:r>
        <w:rPr>
          <w:sz w:val="24"/>
        </w:rPr>
        <w:t>KSA</w:t>
      </w:r>
      <w:r w:rsidR="00CC7F5F">
        <w:rPr>
          <w:sz w:val="24"/>
        </w:rPr>
        <w:t xml:space="preserve"> (and GTKSA and IGTKSA)</w:t>
      </w:r>
      <w:r>
        <w:rPr>
          <w:sz w:val="24"/>
        </w:rPr>
        <w:t xml:space="preserve"> needs to be esta</w:t>
      </w:r>
      <w:r>
        <w:rPr>
          <w:sz w:val="24"/>
        </w:rPr>
        <w:t>b</w:t>
      </w:r>
      <w:r>
        <w:rPr>
          <w:sz w:val="24"/>
        </w:rPr>
        <w:t>lished after a reassociation, even a reassociation to the same AP</w:t>
      </w:r>
      <w:r w:rsidR="00CC7F5F">
        <w:rPr>
          <w:sz w:val="24"/>
        </w:rPr>
        <w:t xml:space="preserve"> (assuming not FT – can one FT to the same AP?)</w:t>
      </w:r>
      <w:r>
        <w:rPr>
          <w:sz w:val="24"/>
        </w:rPr>
        <w:t>.  This is already present in the current text:</w:t>
      </w:r>
    </w:p>
    <w:p w:rsidR="000E0AC9" w:rsidRDefault="00CC7F5F" w:rsidP="00CC7F5F">
      <w:pPr>
        <w:ind w:left="720"/>
        <w:rPr>
          <w:sz w:val="24"/>
        </w:rPr>
      </w:pPr>
      <w:r>
        <w:rPr>
          <w:sz w:val="24"/>
        </w:rPr>
        <w:t xml:space="preserve">10.3.5.4: </w:t>
      </w:r>
      <w:r w:rsidRPr="00D4373D">
        <w:rPr>
          <w:rFonts w:ascii="TimesNewRomanPSMT" w:hAnsi="TimesNewRomanPSMT" w:cs="TimesNewRomanPSMT"/>
          <w:sz w:val="20"/>
          <w:szCs w:val="20"/>
        </w:rPr>
        <w:t>“Except when the association is part of a fast BSS transition, the SME shall delete any PTKSA and temporal keys held for communication with the AP or PCP(11ad) by using the MLME-</w:t>
      </w:r>
      <w:proofErr w:type="spellStart"/>
      <w:r w:rsidRPr="00D4373D">
        <w:rPr>
          <w:rFonts w:ascii="TimesNewRomanPSMT" w:hAnsi="TimesNewRomanPSMT" w:cs="TimesNewRomanPSMT"/>
          <w:sz w:val="20"/>
          <w:szCs w:val="20"/>
        </w:rPr>
        <w:t>DELETEKEYS.request</w:t>
      </w:r>
      <w:proofErr w:type="spellEnd"/>
      <w:r w:rsidRPr="00D4373D">
        <w:rPr>
          <w:rFonts w:ascii="TimesNewRomanPSMT" w:hAnsi="TimesNewRomanPSMT" w:cs="TimesNewRomanPSMT"/>
          <w:sz w:val="20"/>
          <w:szCs w:val="20"/>
        </w:rPr>
        <w:t xml:space="preserve"> primitive”</w:t>
      </w:r>
    </w:p>
    <w:p w:rsidR="00CC7F5F" w:rsidRDefault="003032F1" w:rsidP="000E0AC9">
      <w:pPr>
        <w:rPr>
          <w:sz w:val="24"/>
        </w:rPr>
      </w:pPr>
      <w:r>
        <w:rPr>
          <w:sz w:val="24"/>
        </w:rPr>
        <w:t>The 802.1X c</w:t>
      </w:r>
      <w:r w:rsidR="009E3C6E">
        <w:rPr>
          <w:sz w:val="24"/>
        </w:rPr>
        <w:t>ontrolled port state is reset, of course, to match the PTKSA reset.</w:t>
      </w:r>
      <w:r w:rsidR="004E542E">
        <w:rPr>
          <w:sz w:val="24"/>
        </w:rPr>
        <w:t xml:space="preserve">  Likewise, Suppl</w:t>
      </w:r>
      <w:r w:rsidR="004E542E">
        <w:rPr>
          <w:sz w:val="24"/>
        </w:rPr>
        <w:t>i</w:t>
      </w:r>
      <w:r w:rsidR="004E542E">
        <w:rPr>
          <w:sz w:val="24"/>
        </w:rPr>
        <w:t>cant state machinery al</w:t>
      </w:r>
      <w:r w:rsidR="0052018D">
        <w:rPr>
          <w:sz w:val="24"/>
        </w:rPr>
        <w:t>l reset – but only for the link to the AP (not for other security sessions, if any).</w:t>
      </w:r>
    </w:p>
    <w:p w:rsidR="000E0AC9" w:rsidRDefault="000E0AC9" w:rsidP="000E0AC9">
      <w:pPr>
        <w:rPr>
          <w:sz w:val="24"/>
        </w:rPr>
      </w:pPr>
      <w:r>
        <w:rPr>
          <w:sz w:val="24"/>
        </w:rPr>
        <w:t xml:space="preserve">Specification and testing by a </w:t>
      </w:r>
      <w:r w:rsidR="00CC7F5F">
        <w:rPr>
          <w:sz w:val="24"/>
        </w:rPr>
        <w:t>‘</w:t>
      </w:r>
      <w:r>
        <w:rPr>
          <w:sz w:val="24"/>
        </w:rPr>
        <w:t>major certification organization</w:t>
      </w:r>
      <w:r w:rsidR="00CC7F5F">
        <w:rPr>
          <w:sz w:val="24"/>
        </w:rPr>
        <w:t>’</w:t>
      </w:r>
      <w:r>
        <w:rPr>
          <w:sz w:val="24"/>
        </w:rPr>
        <w:t xml:space="preserve"> </w:t>
      </w:r>
      <w:r w:rsidR="003032F1">
        <w:rPr>
          <w:sz w:val="24"/>
        </w:rPr>
        <w:t>defines</w:t>
      </w:r>
      <w:r w:rsidR="00CC7F5F">
        <w:rPr>
          <w:sz w:val="24"/>
        </w:rPr>
        <w:t xml:space="preserve"> (and explicitly tests)</w:t>
      </w:r>
      <w:r>
        <w:rPr>
          <w:sz w:val="24"/>
        </w:rPr>
        <w:t xml:space="preserve"> that any Traffic Streams in place at the time of a reassociation to the same AP will remain in effect after the reassociation.  If the reassociation fails, the non-AP STA is assumed to be disassociated and all </w:t>
      </w:r>
      <w:proofErr w:type="spellStart"/>
      <w:r>
        <w:rPr>
          <w:sz w:val="24"/>
        </w:rPr>
        <w:t>TSes</w:t>
      </w:r>
      <w:proofErr w:type="spellEnd"/>
      <w:r>
        <w:rPr>
          <w:sz w:val="24"/>
        </w:rPr>
        <w:t xml:space="preserve"> are, of course, deleted then.</w:t>
      </w:r>
    </w:p>
    <w:p w:rsidR="00D4373D" w:rsidRDefault="00D4373D" w:rsidP="00D4373D">
      <w:pPr>
        <w:rPr>
          <w:sz w:val="24"/>
        </w:rPr>
      </w:pPr>
      <w:r>
        <w:rPr>
          <w:sz w:val="24"/>
        </w:rPr>
        <w:lastRenderedPageBreak/>
        <w:t xml:space="preserve">10.4.9.1 </w:t>
      </w:r>
      <w:proofErr w:type="gramStart"/>
      <w:r>
        <w:rPr>
          <w:sz w:val="24"/>
        </w:rPr>
        <w:t>says</w:t>
      </w:r>
      <w:proofErr w:type="gramEnd"/>
      <w:r>
        <w:rPr>
          <w:sz w:val="24"/>
        </w:rPr>
        <w:t xml:space="preserve">: </w:t>
      </w:r>
    </w:p>
    <w:p w:rsidR="00D4373D" w:rsidRDefault="00D4373D" w:rsidP="00D4373D">
      <w:pPr>
        <w:autoSpaceDE w:val="0"/>
        <w:autoSpaceDN w:val="0"/>
        <w:adjustRightInd w:val="0"/>
        <w:spacing w:line="240" w:lineRule="auto"/>
        <w:ind w:left="720"/>
        <w:rPr>
          <w:sz w:val="24"/>
        </w:rPr>
      </w:pPr>
      <w:r w:rsidRPr="00D4373D">
        <w:rPr>
          <w:rFonts w:ascii="TimesNewRomanPSMT" w:hAnsi="TimesNewRomanPSMT" w:cs="TimesNewRomanPSMT"/>
          <w:sz w:val="20"/>
          <w:szCs w:val="20"/>
        </w:rPr>
        <w:t>All TSPECs that have been set up shall be deleted upon disassociation and reassociation. Reassociation causes the non-PCP and non-AP STA and HC, DMG AP, or PCP to clear their state, and the non-PCP and non-AP STA has</w:t>
      </w:r>
      <w:r w:rsidR="00A64079">
        <w:rPr>
          <w:rFonts w:ascii="TimesNewRomanPSMT" w:hAnsi="TimesNewRomanPSMT" w:cs="TimesNewRomanPSMT"/>
          <w:sz w:val="20"/>
          <w:szCs w:val="20"/>
        </w:rPr>
        <w:t xml:space="preserve"> to reinitiate the setup.</w:t>
      </w:r>
    </w:p>
    <w:p w:rsidR="00D4373D" w:rsidRDefault="00D4373D" w:rsidP="00D4373D">
      <w:pPr>
        <w:rPr>
          <w:sz w:val="24"/>
        </w:rPr>
      </w:pPr>
      <w:r>
        <w:rPr>
          <w:sz w:val="24"/>
        </w:rPr>
        <w:t>This doesn’t unambiguously cover the reassociation to the same AP case, but since it doesn’t say otherwise, it must be assumed to cover that case.  Thus, the current text is not aligned with the certification testing.</w:t>
      </w:r>
    </w:p>
    <w:p w:rsidR="00132F32" w:rsidRDefault="00A64079" w:rsidP="000E0AC9">
      <w:pPr>
        <w:rPr>
          <w:sz w:val="24"/>
        </w:rPr>
      </w:pPr>
      <w:r>
        <w:rPr>
          <w:sz w:val="24"/>
        </w:rPr>
        <w:t>The</w:t>
      </w:r>
      <w:r w:rsidR="003032F1">
        <w:rPr>
          <w:sz w:val="24"/>
        </w:rPr>
        <w:t xml:space="preserve"> discussion </w:t>
      </w:r>
      <w:r>
        <w:rPr>
          <w:sz w:val="24"/>
        </w:rPr>
        <w:t xml:space="preserve">of reassociation to the same AP </w:t>
      </w:r>
      <w:r w:rsidR="003032F1">
        <w:rPr>
          <w:sz w:val="24"/>
        </w:rPr>
        <w:t>is a</w:t>
      </w:r>
      <w:r w:rsidR="005C54FE">
        <w:rPr>
          <w:sz w:val="24"/>
        </w:rPr>
        <w:t>ll moot for mesh</w:t>
      </w:r>
      <w:r w:rsidR="003032F1">
        <w:rPr>
          <w:sz w:val="24"/>
        </w:rPr>
        <w:t xml:space="preserve"> STAs, which are </w:t>
      </w:r>
      <w:r w:rsidR="00132F32">
        <w:rPr>
          <w:sz w:val="24"/>
        </w:rPr>
        <w:t xml:space="preserve">covered by 13.3 </w:t>
      </w:r>
      <w:r w:rsidR="003032F1">
        <w:rPr>
          <w:sz w:val="24"/>
        </w:rPr>
        <w:t>peering procedure instead of (re)association.</w:t>
      </w:r>
    </w:p>
    <w:p w:rsidR="00132F32" w:rsidRDefault="003032F1" w:rsidP="000E0AC9">
      <w:pPr>
        <w:rPr>
          <w:sz w:val="24"/>
        </w:rPr>
      </w:pPr>
      <w:r>
        <w:rPr>
          <w:sz w:val="24"/>
        </w:rPr>
        <w:t xml:space="preserve">Similarly, </w:t>
      </w:r>
      <w:r w:rsidR="007140F0">
        <w:rPr>
          <w:sz w:val="24"/>
        </w:rPr>
        <w:t>IBSS has no association (and presumabl</w:t>
      </w:r>
      <w:r>
        <w:rPr>
          <w:sz w:val="24"/>
        </w:rPr>
        <w:t>y, no reassociation, therefore), and so is also moot.</w:t>
      </w:r>
    </w:p>
    <w:p w:rsidR="005C54FE" w:rsidRDefault="003032F1" w:rsidP="000E0AC9">
      <w:pPr>
        <w:rPr>
          <w:sz w:val="24"/>
        </w:rPr>
      </w:pPr>
      <w:r>
        <w:rPr>
          <w:sz w:val="24"/>
        </w:rPr>
        <w:t xml:space="preserve">What about </w:t>
      </w:r>
      <w:r w:rsidR="003D5564">
        <w:rPr>
          <w:sz w:val="24"/>
        </w:rPr>
        <w:t>PBSS?</w:t>
      </w:r>
      <w:r>
        <w:rPr>
          <w:sz w:val="24"/>
        </w:rPr>
        <w:t xml:space="preserve">  </w:t>
      </w:r>
      <w:r w:rsidR="00EF7D00">
        <w:rPr>
          <w:sz w:val="24"/>
        </w:rPr>
        <w:t xml:space="preserve">Is Reassociation with PCP allowed?  Nothing </w:t>
      </w:r>
      <w:r>
        <w:rPr>
          <w:sz w:val="24"/>
        </w:rPr>
        <w:t>seems to say</w:t>
      </w:r>
      <w:r w:rsidR="00EF7D00">
        <w:rPr>
          <w:sz w:val="24"/>
        </w:rPr>
        <w:t xml:space="preserve"> it isn’t.  S</w:t>
      </w:r>
      <w:r>
        <w:rPr>
          <w:sz w:val="24"/>
        </w:rPr>
        <w:t xml:space="preserve">o, </w:t>
      </w:r>
      <w:r w:rsidR="00A64079">
        <w:rPr>
          <w:sz w:val="24"/>
        </w:rPr>
        <w:t xml:space="preserve">the proposal is to </w:t>
      </w:r>
      <w:r>
        <w:rPr>
          <w:sz w:val="24"/>
        </w:rPr>
        <w:t xml:space="preserve">treat this </w:t>
      </w:r>
      <w:r w:rsidR="00A64079">
        <w:rPr>
          <w:sz w:val="24"/>
        </w:rPr>
        <w:t xml:space="preserve">case </w:t>
      </w:r>
      <w:r>
        <w:rPr>
          <w:sz w:val="24"/>
        </w:rPr>
        <w:t>the s</w:t>
      </w:r>
      <w:r w:rsidR="00EF7D00">
        <w:rPr>
          <w:sz w:val="24"/>
        </w:rPr>
        <w:t>ame as AP</w:t>
      </w:r>
      <w:r>
        <w:rPr>
          <w:sz w:val="24"/>
        </w:rPr>
        <w:t xml:space="preserve"> reassociation</w:t>
      </w:r>
      <w:r w:rsidR="00A64079">
        <w:rPr>
          <w:sz w:val="24"/>
        </w:rPr>
        <w:t>.</w:t>
      </w:r>
    </w:p>
    <w:p w:rsidR="00240A8B" w:rsidRDefault="00B13D20" w:rsidP="000E0AC9">
      <w:pPr>
        <w:rPr>
          <w:sz w:val="24"/>
        </w:rPr>
      </w:pPr>
      <w:r>
        <w:rPr>
          <w:sz w:val="24"/>
        </w:rPr>
        <w:t>An exhausted[sic] search leads to these o</w:t>
      </w:r>
      <w:r w:rsidR="00240A8B">
        <w:rPr>
          <w:sz w:val="24"/>
        </w:rPr>
        <w:t>ther “state variables”</w:t>
      </w:r>
      <w:r>
        <w:rPr>
          <w:sz w:val="24"/>
        </w:rPr>
        <w:t xml:space="preserve">, “state information”, “sessions”, “relationships”, “allocations”, and </w:t>
      </w:r>
      <w:r w:rsidR="00240A8B">
        <w:rPr>
          <w:sz w:val="24"/>
        </w:rPr>
        <w:t>“agreements” to consider</w:t>
      </w:r>
      <w:r w:rsidR="00B36410">
        <w:rPr>
          <w:sz w:val="24"/>
        </w:rPr>
        <w:t xml:space="preserve"> (open to discussion – the trea</w:t>
      </w:r>
      <w:r w:rsidR="00B36410">
        <w:rPr>
          <w:sz w:val="24"/>
        </w:rPr>
        <w:t>t</w:t>
      </w:r>
      <w:r w:rsidR="00B36410">
        <w:rPr>
          <w:sz w:val="24"/>
        </w:rPr>
        <w:t>ment of these is somewhat arbitrary and subjective, but this seems like a reasonable set)</w:t>
      </w:r>
      <w:r w:rsidR="00240A8B">
        <w:rPr>
          <w:sz w:val="24"/>
        </w:rPr>
        <w:t>:</w:t>
      </w:r>
    </w:p>
    <w:p w:rsidR="008B2B93" w:rsidRDefault="00F849C7" w:rsidP="00353465">
      <w:pPr>
        <w:rPr>
          <w:sz w:val="24"/>
        </w:rPr>
      </w:pPr>
      <w:r>
        <w:rPr>
          <w:sz w:val="24"/>
        </w:rPr>
        <w:t xml:space="preserve">Propose to </w:t>
      </w:r>
      <w:r w:rsidRPr="00907478">
        <w:rPr>
          <w:b/>
          <w:sz w:val="24"/>
        </w:rPr>
        <w:t>reset/re-initialize</w:t>
      </w:r>
      <w:r w:rsidR="008E1F89">
        <w:rPr>
          <w:b/>
          <w:sz w:val="24"/>
        </w:rPr>
        <w:t>/delete</w:t>
      </w:r>
      <w:r>
        <w:rPr>
          <w:sz w:val="24"/>
        </w:rPr>
        <w:t>:</w:t>
      </w:r>
      <w:r>
        <w:rPr>
          <w:sz w:val="24"/>
        </w:rPr>
        <w:br/>
      </w:r>
      <w:r w:rsidR="00240A8B">
        <w:rPr>
          <w:sz w:val="24"/>
        </w:rPr>
        <w:t>- EDCAF state (</w:t>
      </w:r>
      <w:r>
        <w:rPr>
          <w:sz w:val="24"/>
        </w:rPr>
        <w:t>largely moot, since a frame exchange just completed, but to be clear, any TXOP also ends</w:t>
      </w:r>
      <w:r w:rsidR="00240A8B">
        <w:rPr>
          <w:sz w:val="24"/>
        </w:rPr>
        <w:t>)</w:t>
      </w:r>
      <w:r>
        <w:rPr>
          <w:sz w:val="24"/>
        </w:rPr>
        <w:br/>
      </w:r>
      <w:r w:rsidR="006F718F">
        <w:rPr>
          <w:sz w:val="24"/>
        </w:rPr>
        <w:t xml:space="preserve">- </w:t>
      </w:r>
      <w:r w:rsidR="003032F1">
        <w:rPr>
          <w:sz w:val="24"/>
        </w:rPr>
        <w:t xml:space="preserve">Various types of </w:t>
      </w:r>
      <w:r w:rsidR="006F718F">
        <w:rPr>
          <w:sz w:val="24"/>
        </w:rPr>
        <w:t xml:space="preserve">Block </w:t>
      </w:r>
      <w:proofErr w:type="spellStart"/>
      <w:r w:rsidR="006F718F">
        <w:rPr>
          <w:sz w:val="24"/>
        </w:rPr>
        <w:t>Ack</w:t>
      </w:r>
      <w:proofErr w:type="spellEnd"/>
      <w:r>
        <w:rPr>
          <w:sz w:val="24"/>
        </w:rPr>
        <w:t xml:space="preserve"> agreements</w:t>
      </w:r>
      <w:r>
        <w:rPr>
          <w:sz w:val="24"/>
        </w:rPr>
        <w:br/>
        <w:t>- Sequence number(s)</w:t>
      </w:r>
      <w:r w:rsidR="00C32CA0">
        <w:rPr>
          <w:sz w:val="24"/>
        </w:rPr>
        <w:t xml:space="preserve"> </w:t>
      </w:r>
      <w:r w:rsidR="00C32CA0" w:rsidRPr="00C32CA0">
        <w:rPr>
          <w:i/>
          <w:sz w:val="24"/>
        </w:rPr>
        <w:t>– implies duplicate cache</w:t>
      </w:r>
      <w:r>
        <w:rPr>
          <w:sz w:val="24"/>
        </w:rPr>
        <w:br/>
      </w:r>
      <w:r w:rsidR="006F718F">
        <w:rPr>
          <w:sz w:val="24"/>
        </w:rPr>
        <w:t xml:space="preserve">- PN </w:t>
      </w:r>
      <w:r>
        <w:rPr>
          <w:sz w:val="24"/>
        </w:rPr>
        <w:t>counter(s)</w:t>
      </w:r>
    </w:p>
    <w:p w:rsidR="00196865" w:rsidRDefault="008B2B93" w:rsidP="00353465">
      <w:pPr>
        <w:rPr>
          <w:sz w:val="24"/>
        </w:rPr>
      </w:pPr>
      <w:r>
        <w:rPr>
          <w:sz w:val="24"/>
        </w:rPr>
        <w:t>- Flush all transmit packets waiting in queues</w:t>
      </w:r>
      <w:r w:rsidR="003E5512">
        <w:rPr>
          <w:sz w:val="24"/>
        </w:rPr>
        <w:br/>
        <w:t>- Power Management mode (PM bit should be ignored on Reassociation frame – part of anot</w:t>
      </w:r>
      <w:r w:rsidR="003E5512">
        <w:rPr>
          <w:sz w:val="24"/>
        </w:rPr>
        <w:t>h</w:t>
      </w:r>
      <w:r w:rsidR="003E5512">
        <w:rPr>
          <w:sz w:val="24"/>
        </w:rPr>
        <w:t>er comment)</w:t>
      </w:r>
      <w:r w:rsidR="00353465">
        <w:rPr>
          <w:sz w:val="24"/>
        </w:rPr>
        <w:br/>
      </w:r>
      <w:r w:rsidR="00353465">
        <w:rPr>
          <w:sz w:val="24"/>
        </w:rPr>
        <w:tab/>
      </w:r>
      <w:r w:rsidR="00353465" w:rsidRPr="00353465">
        <w:rPr>
          <w:i/>
        </w:rPr>
        <w:t>Already covered in current text, in 10.2.</w:t>
      </w:r>
      <w:r w:rsidR="00353465">
        <w:rPr>
          <w:i/>
        </w:rPr>
        <w:t>2.2</w:t>
      </w:r>
      <w:r w:rsidR="00353465" w:rsidRPr="00353465">
        <w:rPr>
          <w:i/>
        </w:rPr>
        <w:t xml:space="preserve">: </w:t>
      </w:r>
      <w:r w:rsidR="00353465" w:rsidRPr="00D4373D">
        <w:rPr>
          <w:rFonts w:ascii="TimesNewRomanPSMT" w:hAnsi="TimesNewRomanPSMT" w:cs="TimesNewRomanPSMT"/>
          <w:sz w:val="20"/>
          <w:szCs w:val="20"/>
        </w:rPr>
        <w:t>A non-AP STA shall be in Active mode upon Association or Reassociation.(#79)</w:t>
      </w:r>
      <w:r w:rsidR="003E5512" w:rsidRPr="00353465">
        <w:rPr>
          <w:i/>
        </w:rPr>
        <w:br/>
      </w:r>
      <w:r w:rsidR="003E5512">
        <w:rPr>
          <w:sz w:val="24"/>
        </w:rPr>
        <w:t>- WNM Sleep mode</w:t>
      </w:r>
    </w:p>
    <w:p w:rsidR="00F15615" w:rsidRDefault="00F849C7" w:rsidP="00274F10">
      <w:pPr>
        <w:autoSpaceDE w:val="0"/>
        <w:autoSpaceDN w:val="0"/>
        <w:adjustRightInd w:val="0"/>
        <w:spacing w:after="0" w:line="240" w:lineRule="auto"/>
        <w:rPr>
          <w:sz w:val="24"/>
        </w:rPr>
      </w:pPr>
      <w:r>
        <w:rPr>
          <w:sz w:val="24"/>
        </w:rPr>
        <w:t xml:space="preserve">Propose to </w:t>
      </w:r>
      <w:r w:rsidRPr="00907478">
        <w:rPr>
          <w:b/>
          <w:sz w:val="24"/>
        </w:rPr>
        <w:t>maintain the state</w:t>
      </w:r>
      <w:r>
        <w:rPr>
          <w:sz w:val="24"/>
        </w:rPr>
        <w:t xml:space="preserve"> across the reassociation</w:t>
      </w:r>
      <w:proofErr w:type="gramStart"/>
      <w:r>
        <w:rPr>
          <w:sz w:val="24"/>
        </w:rPr>
        <w:t>:</w:t>
      </w:r>
      <w:proofErr w:type="gramEnd"/>
      <w:r w:rsidR="00353465">
        <w:rPr>
          <w:sz w:val="24"/>
        </w:rPr>
        <w:br/>
        <w:t>- PSMP session</w:t>
      </w:r>
      <w:r w:rsidR="005E3683">
        <w:rPr>
          <w:sz w:val="24"/>
        </w:rPr>
        <w:t>s</w:t>
      </w:r>
      <w:r w:rsidR="00353465">
        <w:rPr>
          <w:sz w:val="24"/>
        </w:rPr>
        <w:t xml:space="preserve"> (because </w:t>
      </w:r>
      <w:proofErr w:type="spellStart"/>
      <w:r w:rsidR="00353465">
        <w:rPr>
          <w:sz w:val="24"/>
        </w:rPr>
        <w:t>TSes</w:t>
      </w:r>
      <w:proofErr w:type="spellEnd"/>
      <w:r w:rsidR="00353465">
        <w:rPr>
          <w:sz w:val="24"/>
        </w:rPr>
        <w:t xml:space="preserve"> are maintained)</w:t>
      </w:r>
      <w:r>
        <w:rPr>
          <w:sz w:val="24"/>
        </w:rPr>
        <w:br/>
        <w:t>- Enablement/</w:t>
      </w:r>
      <w:proofErr w:type="spellStart"/>
      <w:r>
        <w:rPr>
          <w:sz w:val="24"/>
        </w:rPr>
        <w:t>Deenablement</w:t>
      </w:r>
      <w:proofErr w:type="spellEnd"/>
      <w:r>
        <w:rPr>
          <w:sz w:val="24"/>
        </w:rPr>
        <w:t xml:space="preserve"> (10.12.2) – why not?</w:t>
      </w:r>
      <w:r>
        <w:rPr>
          <w:sz w:val="24"/>
        </w:rPr>
        <w:br/>
      </w:r>
      <w:r w:rsidR="00CC7F5F">
        <w:rPr>
          <w:sz w:val="24"/>
        </w:rPr>
        <w:t>- GDD enablement</w:t>
      </w:r>
      <w:r>
        <w:rPr>
          <w:sz w:val="24"/>
        </w:rPr>
        <w:t xml:space="preserve"> – w</w:t>
      </w:r>
      <w:r w:rsidR="00BD495B">
        <w:rPr>
          <w:sz w:val="24"/>
        </w:rPr>
        <w:t xml:space="preserve">hy </w:t>
      </w:r>
      <w:r>
        <w:rPr>
          <w:sz w:val="24"/>
        </w:rPr>
        <w:t>not?</w:t>
      </w:r>
      <w:r w:rsidR="00F15615" w:rsidRPr="00F15615">
        <w:rPr>
          <w:sz w:val="24"/>
        </w:rPr>
        <w:t xml:space="preserve"> </w:t>
      </w:r>
      <w:r w:rsidR="00F15615">
        <w:rPr>
          <w:sz w:val="24"/>
        </w:rPr>
        <w:br/>
      </w:r>
      <w:r w:rsidR="00BD495B">
        <w:rPr>
          <w:sz w:val="24"/>
        </w:rPr>
        <w:t xml:space="preserve">- </w:t>
      </w:r>
      <w:r w:rsidR="00F15615">
        <w:rPr>
          <w:sz w:val="24"/>
        </w:rPr>
        <w:t xml:space="preserve">STSL, DLS agreements, TDLS agreements, </w:t>
      </w:r>
      <w:r w:rsidR="00BD495B">
        <w:rPr>
          <w:sz w:val="24"/>
        </w:rPr>
        <w:t>SMKSA, STKSA</w:t>
      </w:r>
      <w:r w:rsidR="00C46978">
        <w:rPr>
          <w:sz w:val="24"/>
        </w:rPr>
        <w:t xml:space="preserve">, </w:t>
      </w:r>
      <w:proofErr w:type="gramStart"/>
      <w:r w:rsidR="00C46978">
        <w:rPr>
          <w:sz w:val="24"/>
        </w:rPr>
        <w:t>TPKSA</w:t>
      </w:r>
      <w:proofErr w:type="gramEnd"/>
      <w:r>
        <w:rPr>
          <w:sz w:val="24"/>
        </w:rPr>
        <w:t xml:space="preserve"> – k</w:t>
      </w:r>
      <w:r w:rsidR="00BD495B">
        <w:rPr>
          <w:sz w:val="24"/>
        </w:rPr>
        <w:t>ept, with all peers</w:t>
      </w:r>
      <w:r>
        <w:rPr>
          <w:sz w:val="24"/>
        </w:rPr>
        <w:t xml:space="preserve">, </w:t>
      </w:r>
      <w:r w:rsidR="00BD495B">
        <w:rPr>
          <w:sz w:val="24"/>
        </w:rPr>
        <w:t>which aren’t aware of the reassociation</w:t>
      </w:r>
      <w:r w:rsidR="009E3C6E">
        <w:rPr>
          <w:sz w:val="24"/>
        </w:rPr>
        <w:t>, anyway</w:t>
      </w:r>
      <w:r w:rsidR="00D4373D">
        <w:rPr>
          <w:sz w:val="24"/>
        </w:rPr>
        <w:t>.  However, 10.7.6 says: “</w:t>
      </w:r>
      <w:r w:rsidR="00D4373D">
        <w:rPr>
          <w:rFonts w:ascii="TimesNewRomanPSMT" w:hAnsi="TimesNewRomanPSMT" w:cs="TimesNewRomanPSMT"/>
          <w:sz w:val="20"/>
          <w:szCs w:val="20"/>
        </w:rPr>
        <w:t xml:space="preserve">The STKSA remains valid even if </w:t>
      </w:r>
      <w:r w:rsidR="00D4373D">
        <w:rPr>
          <w:rFonts w:ascii="TimesNewRomanPSMT" w:hAnsi="TimesNewRomanPSMT" w:cs="TimesNewRomanPSMT"/>
          <w:sz w:val="20"/>
          <w:szCs w:val="20"/>
        </w:rPr>
        <w:lastRenderedPageBreak/>
        <w:t>the STA disassociates from the originating AP, but the STKSA shall be deleted before a STA attempts another ass</w:t>
      </w:r>
      <w:r w:rsidR="00D4373D">
        <w:rPr>
          <w:rFonts w:ascii="TimesNewRomanPSMT" w:hAnsi="TimesNewRomanPSMT" w:cs="TimesNewRomanPSMT"/>
          <w:sz w:val="20"/>
          <w:szCs w:val="20"/>
        </w:rPr>
        <w:t>o</w:t>
      </w:r>
      <w:r w:rsidR="00D4373D">
        <w:rPr>
          <w:rFonts w:ascii="TimesNewRomanPSMT" w:hAnsi="TimesNewRomanPSMT" w:cs="TimesNewRomanPSMT"/>
          <w:sz w:val="20"/>
          <w:szCs w:val="20"/>
        </w:rPr>
        <w:t xml:space="preserve">ciation or reassociation.”  </w:t>
      </w:r>
      <w:r w:rsidR="00D4373D" w:rsidRPr="00D4373D">
        <w:rPr>
          <w:sz w:val="24"/>
        </w:rPr>
        <w:t xml:space="preserve">So, </w:t>
      </w:r>
      <w:r w:rsidR="00F15615">
        <w:rPr>
          <w:sz w:val="24"/>
        </w:rPr>
        <w:t>clarify that there is an exception for reassociation to the same AP</w:t>
      </w:r>
    </w:p>
    <w:p w:rsidR="001379D7" w:rsidRDefault="00E75345" w:rsidP="001379D7">
      <w:pPr>
        <w:autoSpaceDE w:val="0"/>
        <w:autoSpaceDN w:val="0"/>
        <w:adjustRightInd w:val="0"/>
        <w:spacing w:after="0" w:line="240" w:lineRule="auto"/>
        <w:rPr>
          <w:sz w:val="24"/>
        </w:rPr>
      </w:pPr>
      <w:r>
        <w:rPr>
          <w:sz w:val="24"/>
        </w:rPr>
        <w:t>- MMSL – kept, with all peers, (some of) which aren’t aware of the reassociation, anyway</w:t>
      </w:r>
      <w:r w:rsidR="00F849C7">
        <w:rPr>
          <w:sz w:val="24"/>
        </w:rPr>
        <w:br/>
        <w:t>- GCR agreement – w</w:t>
      </w:r>
      <w:r w:rsidR="004D147A">
        <w:rPr>
          <w:sz w:val="24"/>
        </w:rPr>
        <w:t xml:space="preserve">hy </w:t>
      </w:r>
      <w:r w:rsidR="00F849C7">
        <w:rPr>
          <w:sz w:val="24"/>
        </w:rPr>
        <w:t>not?</w:t>
      </w:r>
      <w:r w:rsidR="00FA7866">
        <w:rPr>
          <w:sz w:val="24"/>
        </w:rPr>
        <w:br/>
        <w:t>- DMS agreement</w:t>
      </w:r>
      <w:r w:rsidR="003E7F9F">
        <w:rPr>
          <w:sz w:val="24"/>
        </w:rPr>
        <w:t xml:space="preserve">.  Note that this procedure is already (almost) explicit, in 10.24.16.2: </w:t>
      </w:r>
      <w:r w:rsidR="003E7F9F">
        <w:rPr>
          <w:sz w:val="24"/>
        </w:rPr>
        <w:br/>
      </w:r>
      <w:r w:rsidR="00752FFE">
        <w:rPr>
          <w:rFonts w:ascii="TimesNewRomanPSMT" w:hAnsi="TimesNewRomanPSMT" w:cs="TimesNewRomanPSMT"/>
          <w:color w:val="000000"/>
          <w:sz w:val="20"/>
          <w:szCs w:val="20"/>
        </w:rPr>
        <w:tab/>
        <w:t>A</w:t>
      </w:r>
      <w:r w:rsidR="003E7F9F">
        <w:rPr>
          <w:rFonts w:ascii="TimesNewRomanPSMT" w:hAnsi="TimesNewRomanPSMT" w:cs="TimesNewRomanPSMT"/>
          <w:color w:val="000000"/>
          <w:sz w:val="20"/>
          <w:szCs w:val="20"/>
        </w:rPr>
        <w:t xml:space="preserve"> DMS recipient</w:t>
      </w:r>
      <w:r w:rsidR="003E7F9F">
        <w:rPr>
          <w:rFonts w:ascii="TimesNewRomanPSMT" w:hAnsi="TimesNewRomanPSMT" w:cs="TimesNewRomanPSMT"/>
          <w:color w:val="218B21"/>
          <w:sz w:val="20"/>
          <w:szCs w:val="20"/>
        </w:rPr>
        <w:t xml:space="preserve">(#2050) </w:t>
      </w:r>
      <w:r w:rsidR="003E7F9F">
        <w:rPr>
          <w:rFonts w:ascii="TimesNewRomanPSMT" w:hAnsi="TimesNewRomanPSMT" w:cs="TimesNewRomanPSMT"/>
          <w:color w:val="000000"/>
          <w:sz w:val="20"/>
          <w:szCs w:val="20"/>
        </w:rPr>
        <w:t>may request modification of the traffic characteristics or attributes of one or more</w:t>
      </w:r>
      <w:r w:rsidR="005E3683">
        <w:rPr>
          <w:rFonts w:ascii="TimesNewRomanPSMT" w:hAnsi="TimesNewRomanPSMT" w:cs="TimesNewRomanPSMT"/>
          <w:color w:val="000000"/>
          <w:sz w:val="20"/>
          <w:szCs w:val="20"/>
        </w:rPr>
        <w:t xml:space="preserve"> </w:t>
      </w:r>
      <w:r w:rsidR="003E7F9F">
        <w:rPr>
          <w:rFonts w:ascii="TimesNewRomanPSMT" w:hAnsi="TimesNewRomanPSMT" w:cs="TimesNewRomanPSMT"/>
          <w:color w:val="000000"/>
          <w:sz w:val="20"/>
          <w:szCs w:val="20"/>
        </w:rPr>
        <w:t>accepted DMS traffic flows by sending a DMS Request frame or Reassociation Request frame containing</w:t>
      </w:r>
      <w:r w:rsidR="005E3683">
        <w:rPr>
          <w:rFonts w:ascii="TimesNewRomanPSMT" w:hAnsi="TimesNewRomanPSMT" w:cs="TimesNewRomanPSMT"/>
          <w:color w:val="000000"/>
          <w:sz w:val="20"/>
          <w:szCs w:val="20"/>
        </w:rPr>
        <w:t xml:space="preserve"> </w:t>
      </w:r>
      <w:r w:rsidR="003E7F9F">
        <w:rPr>
          <w:rFonts w:ascii="TimesNewRomanPSMT" w:hAnsi="TimesNewRomanPSMT" w:cs="TimesNewRomanPSMT"/>
          <w:color w:val="000000"/>
          <w:sz w:val="20"/>
          <w:szCs w:val="20"/>
        </w:rPr>
        <w:t>one or more DMS Descriptors with the Request Type set to “Change”</w:t>
      </w:r>
      <w:r w:rsidR="00752FFE">
        <w:rPr>
          <w:rFonts w:ascii="TimesNewRomanPSMT" w:hAnsi="TimesNewRomanPSMT" w:cs="TimesNewRomanPSMT"/>
          <w:color w:val="000000"/>
          <w:sz w:val="20"/>
          <w:szCs w:val="20"/>
        </w:rPr>
        <w:t xml:space="preserve"> …</w:t>
      </w:r>
      <w:r w:rsidR="00A64079">
        <w:rPr>
          <w:rFonts w:ascii="TimesNewRomanPSMT" w:hAnsi="TimesNewRomanPSMT" w:cs="TimesNewRomanPSMT"/>
          <w:color w:val="000000"/>
          <w:sz w:val="20"/>
          <w:szCs w:val="20"/>
        </w:rPr>
        <w:t xml:space="preserve">  </w:t>
      </w:r>
      <w:r w:rsidR="00A64079">
        <w:rPr>
          <w:rFonts w:ascii="TimesNewRomanPSMT" w:hAnsi="TimesNewRomanPSMT" w:cs="TimesNewRomanPSMT"/>
          <w:i/>
          <w:color w:val="000000"/>
          <w:sz w:val="20"/>
          <w:szCs w:val="20"/>
        </w:rPr>
        <w:t>(And, similar for the “Delete” case.)</w:t>
      </w:r>
      <w:r w:rsidR="00186A4A">
        <w:rPr>
          <w:sz w:val="24"/>
        </w:rPr>
        <w:br/>
        <w:t>- TFS agreement – why not?</w:t>
      </w:r>
      <w:r w:rsidR="00B36410">
        <w:rPr>
          <w:sz w:val="24"/>
        </w:rPr>
        <w:br/>
        <w:t>- FMS agreement – why not?</w:t>
      </w:r>
      <w:r w:rsidR="00274F10">
        <w:rPr>
          <w:sz w:val="24"/>
        </w:rPr>
        <w:br/>
        <w:t>- Triggered autonomous reporting (of measurements).  This is already covered explicitly in 10.11.8:</w:t>
      </w:r>
      <w:r w:rsidR="00274F10">
        <w:rPr>
          <w:sz w:val="24"/>
        </w:rPr>
        <w:br/>
      </w:r>
      <w:r w:rsidR="00274F10">
        <w:rPr>
          <w:rFonts w:ascii="TimesNewRomanPSMT" w:hAnsi="TimesNewRomanPSMT" w:cs="TimesNewRomanPSMT"/>
          <w:color w:val="000000"/>
          <w:sz w:val="20"/>
          <w:szCs w:val="20"/>
        </w:rPr>
        <w:tab/>
        <w:t>A STA in an infrastructure BSS or PBSS</w:t>
      </w:r>
      <w:r w:rsidR="00274F10">
        <w:rPr>
          <w:rFonts w:ascii="TimesNewRomanPSMT" w:hAnsi="TimesNewRomanPSMT" w:cs="TimesNewRomanPSMT"/>
          <w:color w:val="218B21"/>
          <w:sz w:val="20"/>
          <w:szCs w:val="20"/>
        </w:rPr>
        <w:t xml:space="preserve">(11ad) </w:t>
      </w:r>
      <w:r w:rsidR="00274F10">
        <w:rPr>
          <w:rFonts w:ascii="TimesNewRomanPSMT" w:hAnsi="TimesNewRomanPSMT" w:cs="TimesNewRomanPSMT"/>
          <w:color w:val="000000"/>
          <w:sz w:val="20"/>
          <w:szCs w:val="20"/>
        </w:rPr>
        <w:t>shall cease all triggered autonomous reporting if it</w:t>
      </w:r>
      <w:r w:rsidR="005E3683">
        <w:rPr>
          <w:rFonts w:ascii="TimesNewRomanPSMT" w:hAnsi="TimesNewRomanPSMT" w:cs="TimesNewRomanPSMT"/>
          <w:color w:val="000000"/>
          <w:sz w:val="20"/>
          <w:szCs w:val="20"/>
        </w:rPr>
        <w:t xml:space="preserve"> </w:t>
      </w:r>
      <w:r w:rsidR="00274F10">
        <w:rPr>
          <w:rFonts w:ascii="TimesNewRomanPSMT" w:hAnsi="TimesNewRomanPSMT" w:cs="TimesNewRomanPSMT"/>
          <w:color w:val="000000"/>
          <w:sz w:val="20"/>
          <w:szCs w:val="20"/>
        </w:rPr>
        <w:t>disass</w:t>
      </w:r>
      <w:r w:rsidR="00274F10">
        <w:rPr>
          <w:rFonts w:ascii="TimesNewRomanPSMT" w:hAnsi="TimesNewRomanPSMT" w:cs="TimesNewRomanPSMT"/>
          <w:color w:val="000000"/>
          <w:sz w:val="20"/>
          <w:szCs w:val="20"/>
        </w:rPr>
        <w:t>o</w:t>
      </w:r>
      <w:r w:rsidR="00274F10">
        <w:rPr>
          <w:rFonts w:ascii="TimesNewRomanPSMT" w:hAnsi="TimesNewRomanPSMT" w:cs="TimesNewRomanPSMT"/>
          <w:color w:val="000000"/>
          <w:sz w:val="20"/>
          <w:szCs w:val="20"/>
        </w:rPr>
        <w:t xml:space="preserve">ciates, or </w:t>
      </w:r>
      <w:proofErr w:type="spellStart"/>
      <w:r w:rsidR="00274F10">
        <w:rPr>
          <w:rFonts w:ascii="TimesNewRomanPSMT" w:hAnsi="TimesNewRomanPSMT" w:cs="TimesNewRomanPSMT"/>
          <w:color w:val="000000"/>
          <w:sz w:val="20"/>
          <w:szCs w:val="20"/>
        </w:rPr>
        <w:t>reassociates</w:t>
      </w:r>
      <w:proofErr w:type="spellEnd"/>
      <w:r w:rsidR="00274F10">
        <w:rPr>
          <w:rFonts w:ascii="TimesNewRomanPSMT" w:hAnsi="TimesNewRomanPSMT" w:cs="TimesNewRomanPSMT"/>
          <w:color w:val="000000"/>
          <w:sz w:val="20"/>
          <w:szCs w:val="20"/>
        </w:rPr>
        <w:t xml:space="preserve"> to a different BSS (reassociation to the same BSS shall not affect triggered</w:t>
      </w:r>
      <w:r w:rsidR="005E3683">
        <w:rPr>
          <w:rFonts w:ascii="TimesNewRomanPSMT" w:hAnsi="TimesNewRomanPSMT" w:cs="TimesNewRomanPSMT"/>
          <w:color w:val="000000"/>
          <w:sz w:val="20"/>
          <w:szCs w:val="20"/>
        </w:rPr>
        <w:t xml:space="preserve"> </w:t>
      </w:r>
      <w:r w:rsidR="00274F10">
        <w:rPr>
          <w:rFonts w:ascii="TimesNewRomanPSMT" w:hAnsi="TimesNewRomanPSMT" w:cs="TimesNewRomanPSMT"/>
          <w:color w:val="000000"/>
          <w:sz w:val="20"/>
          <w:szCs w:val="20"/>
        </w:rPr>
        <w:t>reporting).</w:t>
      </w:r>
      <w:r w:rsidR="005E3683">
        <w:rPr>
          <w:rFonts w:ascii="TimesNewRomanPSMT" w:hAnsi="TimesNewRomanPSMT" w:cs="TimesNewRomanPSMT"/>
          <w:color w:val="000000"/>
          <w:sz w:val="20"/>
          <w:szCs w:val="20"/>
        </w:rPr>
        <w:br/>
        <w:t xml:space="preserve">- </w:t>
      </w:r>
      <w:r w:rsidR="00D82187">
        <w:rPr>
          <w:sz w:val="24"/>
        </w:rPr>
        <w:t>F</w:t>
      </w:r>
      <w:r w:rsidR="005E3683">
        <w:rPr>
          <w:sz w:val="24"/>
        </w:rPr>
        <w:t>TM session, because it is analogous to</w:t>
      </w:r>
      <w:r w:rsidR="001379D7">
        <w:rPr>
          <w:sz w:val="24"/>
        </w:rPr>
        <w:t xml:space="preserve"> triggered autonomous reporting.</w:t>
      </w:r>
    </w:p>
    <w:p w:rsidR="001379D7" w:rsidRDefault="001379D7" w:rsidP="001379D7">
      <w:pPr>
        <w:autoSpaceDE w:val="0"/>
        <w:autoSpaceDN w:val="0"/>
        <w:adjustRightInd w:val="0"/>
        <w:spacing w:after="0" w:line="240" w:lineRule="auto"/>
        <w:rPr>
          <w:sz w:val="24"/>
        </w:rPr>
      </w:pPr>
      <w:r>
        <w:rPr>
          <w:sz w:val="24"/>
        </w:rPr>
        <w:t>- DMG SP allocation and CBAP allocation</w:t>
      </w:r>
      <w:r w:rsidR="00942D03">
        <w:rPr>
          <w:sz w:val="24"/>
        </w:rPr>
        <w:t xml:space="preserve"> (pseudo-static or dynamic) – treat </w:t>
      </w:r>
      <w:r w:rsidR="009B2C85">
        <w:rPr>
          <w:sz w:val="24"/>
        </w:rPr>
        <w:t xml:space="preserve">the same as </w:t>
      </w:r>
      <w:proofErr w:type="spellStart"/>
      <w:r w:rsidR="009B2C85">
        <w:rPr>
          <w:sz w:val="24"/>
        </w:rPr>
        <w:t>TSes</w:t>
      </w:r>
      <w:proofErr w:type="spellEnd"/>
      <w:r w:rsidR="009B2C85">
        <w:rPr>
          <w:sz w:val="24"/>
        </w:rPr>
        <w:t>.</w:t>
      </w:r>
      <w:r w:rsidR="00014133">
        <w:rPr>
          <w:sz w:val="24"/>
        </w:rPr>
        <w:t xml:space="preserve">  (</w:t>
      </w:r>
      <w:r w:rsidR="008E1F89">
        <w:rPr>
          <w:sz w:val="24"/>
        </w:rPr>
        <w:t>Note, t</w:t>
      </w:r>
      <w:r w:rsidR="00014133">
        <w:rPr>
          <w:sz w:val="24"/>
        </w:rPr>
        <w:t xml:space="preserve">he dynamic allocations lifetime </w:t>
      </w:r>
      <w:r w:rsidR="003A1634">
        <w:rPr>
          <w:sz w:val="24"/>
        </w:rPr>
        <w:t xml:space="preserve">is limited to a beacon interval, which barely </w:t>
      </w:r>
      <w:r w:rsidR="00014133">
        <w:rPr>
          <w:sz w:val="24"/>
        </w:rPr>
        <w:t>makes sense across a Reassocia</w:t>
      </w:r>
      <w:r w:rsidR="003A1634">
        <w:rPr>
          <w:sz w:val="24"/>
        </w:rPr>
        <w:t>tion</w:t>
      </w:r>
      <w:r w:rsidR="00014133">
        <w:rPr>
          <w:sz w:val="24"/>
        </w:rPr>
        <w:t>)</w:t>
      </w:r>
    </w:p>
    <w:p w:rsidR="001379D7" w:rsidRDefault="001379D7" w:rsidP="001379D7">
      <w:pPr>
        <w:autoSpaceDE w:val="0"/>
        <w:autoSpaceDN w:val="0"/>
        <w:adjustRightInd w:val="0"/>
        <w:spacing w:after="0" w:line="240" w:lineRule="auto"/>
        <w:rPr>
          <w:sz w:val="24"/>
        </w:rPr>
      </w:pPr>
    </w:p>
    <w:p w:rsidR="008E1F89" w:rsidRDefault="008E1F89" w:rsidP="001379D7">
      <w:pPr>
        <w:autoSpaceDE w:val="0"/>
        <w:autoSpaceDN w:val="0"/>
        <w:adjustRightInd w:val="0"/>
        <w:spacing w:after="0" w:line="240" w:lineRule="auto"/>
        <w:rPr>
          <w:sz w:val="24"/>
        </w:rPr>
      </w:pPr>
    </w:p>
    <w:p w:rsidR="005F1C00" w:rsidRDefault="005F1C00" w:rsidP="001379D7">
      <w:pPr>
        <w:autoSpaceDE w:val="0"/>
        <w:autoSpaceDN w:val="0"/>
        <w:adjustRightInd w:val="0"/>
        <w:spacing w:after="0" w:line="240" w:lineRule="auto"/>
        <w:rPr>
          <w:sz w:val="24"/>
        </w:rPr>
      </w:pPr>
      <w:r w:rsidRPr="008E1F89">
        <w:rPr>
          <w:b/>
          <w:sz w:val="32"/>
        </w:rPr>
        <w:t>Proposed changes</w:t>
      </w:r>
      <w:r w:rsidRPr="008E1F89">
        <w:rPr>
          <w:sz w:val="32"/>
        </w:rPr>
        <w:t xml:space="preserve"> </w:t>
      </w:r>
      <w:r>
        <w:rPr>
          <w:sz w:val="24"/>
        </w:rPr>
        <w:t>(referenced to D2.8):</w:t>
      </w:r>
    </w:p>
    <w:p w:rsidR="005F1C00" w:rsidRDefault="005F1C00" w:rsidP="001379D7">
      <w:pPr>
        <w:autoSpaceDE w:val="0"/>
        <w:autoSpaceDN w:val="0"/>
        <w:adjustRightInd w:val="0"/>
        <w:spacing w:after="0" w:line="240" w:lineRule="auto"/>
        <w:rPr>
          <w:sz w:val="24"/>
        </w:rPr>
      </w:pPr>
    </w:p>
    <w:p w:rsidR="00B66711" w:rsidRDefault="005F1C00" w:rsidP="00B66711">
      <w:pPr>
        <w:autoSpaceDE w:val="0"/>
        <w:autoSpaceDN w:val="0"/>
        <w:adjustRightInd w:val="0"/>
        <w:spacing w:after="0" w:line="240" w:lineRule="auto"/>
        <w:rPr>
          <w:sz w:val="24"/>
        </w:rPr>
      </w:pPr>
      <w:r>
        <w:rPr>
          <w:sz w:val="24"/>
        </w:rPr>
        <w:t>At P1598.51, at the end of bullet (c), insert the following:</w:t>
      </w:r>
    </w:p>
    <w:p w:rsidR="005F1C00" w:rsidRDefault="005F1C00" w:rsidP="005F1C00">
      <w:pPr>
        <w:autoSpaceDE w:val="0"/>
        <w:autoSpaceDN w:val="0"/>
        <w:adjustRightInd w:val="0"/>
        <w:spacing w:after="0" w:line="240" w:lineRule="auto"/>
        <w:ind w:left="720"/>
        <w:rPr>
          <w:sz w:val="24"/>
        </w:rPr>
      </w:pPr>
      <w:r>
        <w:rPr>
          <w:sz w:val="24"/>
        </w:rPr>
        <w:t>If the MLME-</w:t>
      </w:r>
      <w:proofErr w:type="spellStart"/>
      <w:r>
        <w:rPr>
          <w:sz w:val="24"/>
        </w:rPr>
        <w:t>REASSOCIATION.request</w:t>
      </w:r>
      <w:proofErr w:type="spellEnd"/>
      <w:r>
        <w:rPr>
          <w:sz w:val="24"/>
        </w:rPr>
        <w:t xml:space="preserve"> has the new AP’s BSSID in the </w:t>
      </w:r>
      <w:proofErr w:type="spellStart"/>
      <w:r>
        <w:rPr>
          <w:sz w:val="24"/>
        </w:rPr>
        <w:t>CurrentAPAddress</w:t>
      </w:r>
      <w:proofErr w:type="spellEnd"/>
      <w:r>
        <w:rPr>
          <w:sz w:val="24"/>
        </w:rPr>
        <w:t xml:space="preserve"> parameter (reassociation to the same AP), the following states, agreements and alloc</w:t>
      </w:r>
      <w:r>
        <w:rPr>
          <w:sz w:val="24"/>
        </w:rPr>
        <w:t>a</w:t>
      </w:r>
      <w:r>
        <w:rPr>
          <w:sz w:val="24"/>
        </w:rPr>
        <w:t xml:space="preserve">tions </w:t>
      </w:r>
      <w:r w:rsidR="008B2B93">
        <w:rPr>
          <w:sz w:val="24"/>
        </w:rPr>
        <w:t>shall be</w:t>
      </w:r>
      <w:r>
        <w:rPr>
          <w:sz w:val="24"/>
        </w:rPr>
        <w:t xml:space="preserve"> </w:t>
      </w:r>
      <w:bookmarkStart w:id="1" w:name="_GoBack"/>
      <w:r>
        <w:rPr>
          <w:sz w:val="24"/>
        </w:rPr>
        <w:t xml:space="preserve">deleted or reset to </w:t>
      </w:r>
      <w:bookmarkEnd w:id="1"/>
      <w:r>
        <w:rPr>
          <w:sz w:val="24"/>
        </w:rPr>
        <w:t xml:space="preserve">initial values: all EDCAF state, any Block </w:t>
      </w:r>
      <w:proofErr w:type="spellStart"/>
      <w:r>
        <w:rPr>
          <w:sz w:val="24"/>
        </w:rPr>
        <w:t>Ack</w:t>
      </w:r>
      <w:proofErr w:type="spellEnd"/>
      <w:r>
        <w:rPr>
          <w:sz w:val="24"/>
        </w:rPr>
        <w:t xml:space="preserve"> agre</w:t>
      </w:r>
      <w:r>
        <w:rPr>
          <w:sz w:val="24"/>
        </w:rPr>
        <w:t>e</w:t>
      </w:r>
      <w:r>
        <w:rPr>
          <w:sz w:val="24"/>
        </w:rPr>
        <w:t>ments, sequence number, packet number,</w:t>
      </w:r>
      <w:r w:rsidR="008B2B93">
        <w:rPr>
          <w:sz w:val="24"/>
        </w:rPr>
        <w:t xml:space="preserve"> duplicate detection caches, anything queued for transmission,</w:t>
      </w:r>
      <w:r>
        <w:rPr>
          <w:sz w:val="24"/>
        </w:rPr>
        <w:t xml:space="preserve"> </w:t>
      </w:r>
      <w:r w:rsidR="008B2B93">
        <w:rPr>
          <w:sz w:val="24"/>
        </w:rPr>
        <w:t xml:space="preserve">fragmentation and reassembly buffers, </w:t>
      </w:r>
      <w:r>
        <w:rPr>
          <w:sz w:val="24"/>
        </w:rPr>
        <w:t xml:space="preserve">power management mode, and WNM Sleep mode.  </w:t>
      </w:r>
      <w:r w:rsidR="008B2B93">
        <w:rPr>
          <w:sz w:val="24"/>
        </w:rPr>
        <w:t>T</w:t>
      </w:r>
      <w:r>
        <w:rPr>
          <w:sz w:val="24"/>
        </w:rPr>
        <w:t xml:space="preserve">he following states, agreements and allocations are not affected by the reassociation procedure: </w:t>
      </w:r>
      <w:r w:rsidR="008E1F89">
        <w:rPr>
          <w:sz w:val="24"/>
        </w:rPr>
        <w:t>PSMP sessions, Enablement/</w:t>
      </w:r>
      <w:proofErr w:type="spellStart"/>
      <w:r w:rsidR="008E1F89">
        <w:rPr>
          <w:sz w:val="24"/>
        </w:rPr>
        <w:t>Deenablement</w:t>
      </w:r>
      <w:proofErr w:type="spellEnd"/>
      <w:r w:rsidR="008E1F89">
        <w:rPr>
          <w:sz w:val="24"/>
        </w:rPr>
        <w:t>, GDD enabl</w:t>
      </w:r>
      <w:r w:rsidR="008E1F89">
        <w:rPr>
          <w:sz w:val="24"/>
        </w:rPr>
        <w:t>e</w:t>
      </w:r>
      <w:r w:rsidR="008E1F89">
        <w:rPr>
          <w:sz w:val="24"/>
        </w:rPr>
        <w:t>me</w:t>
      </w:r>
      <w:r w:rsidR="008B2B93">
        <w:rPr>
          <w:sz w:val="24"/>
        </w:rPr>
        <w:t>n</w:t>
      </w:r>
      <w:r w:rsidR="008E1F89">
        <w:rPr>
          <w:sz w:val="24"/>
        </w:rPr>
        <w:t>t, STSL, DLS and TDLS agreements, SMKSAs, STKSAs and TPKSAs established with any peers, MMSLs, GCR agreements, DMS agreements, TFS agreements, FMS agre</w:t>
      </w:r>
      <w:r w:rsidR="008E1F89">
        <w:rPr>
          <w:sz w:val="24"/>
        </w:rPr>
        <w:t>e</w:t>
      </w:r>
      <w:r w:rsidR="008E1F89">
        <w:rPr>
          <w:sz w:val="24"/>
        </w:rPr>
        <w:t>ments, Triggered autonomous reporting agreements, FTM sessions, and DMG SP and CBAP alloc</w:t>
      </w:r>
      <w:r w:rsidR="008E1F89">
        <w:rPr>
          <w:sz w:val="24"/>
        </w:rPr>
        <w:t>a</w:t>
      </w:r>
      <w:r w:rsidR="008E1F89">
        <w:rPr>
          <w:sz w:val="24"/>
        </w:rPr>
        <w:t>tions.</w:t>
      </w:r>
    </w:p>
    <w:p w:rsidR="005F1C00" w:rsidRDefault="005F1C00" w:rsidP="00B66711">
      <w:pPr>
        <w:autoSpaceDE w:val="0"/>
        <w:autoSpaceDN w:val="0"/>
        <w:adjustRightInd w:val="0"/>
        <w:spacing w:after="0" w:line="240" w:lineRule="auto"/>
        <w:rPr>
          <w:sz w:val="24"/>
        </w:rPr>
      </w:pP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r>
        <w:rPr>
          <w:sz w:val="24"/>
        </w:rPr>
        <w:t>At P1618.52, change “</w:t>
      </w:r>
      <w:r>
        <w:rPr>
          <w:rFonts w:ascii="TimesNewRomanPSMT" w:hAnsi="TimesNewRomanPSMT" w:cs="TimesNewRomanPSMT"/>
          <w:sz w:val="20"/>
          <w:szCs w:val="20"/>
        </w:rPr>
        <w:t xml:space="preserve">A non-AP and non-PCP STA that associates, disassociates or re-associates shall locally delete all existing allocations and all TSs that have been established using a PTP TSPEC.” </w:t>
      </w:r>
      <w:r w:rsidRPr="00633E65">
        <w:rPr>
          <w:sz w:val="24"/>
        </w:rPr>
        <w:t>by adding</w:t>
      </w:r>
      <w:r w:rsidR="006D47A9">
        <w:rPr>
          <w:rFonts w:ascii="TimesNewRomanPSMT" w:hAnsi="TimesNewRomanPSMT" w:cs="TimesNewRomanPSMT"/>
          <w:sz w:val="20"/>
          <w:szCs w:val="20"/>
        </w:rPr>
        <w:t>, “(except for re</w:t>
      </w:r>
      <w:r>
        <w:rPr>
          <w:rFonts w:ascii="TimesNewRomanPSMT" w:hAnsi="TimesNewRomanPSMT" w:cs="TimesNewRomanPSMT"/>
          <w:sz w:val="20"/>
          <w:szCs w:val="20"/>
        </w:rPr>
        <w:t xml:space="preserve">association to the same AP)” </w:t>
      </w:r>
      <w:r w:rsidRPr="00633E65">
        <w:rPr>
          <w:sz w:val="24"/>
        </w:rPr>
        <w:t>following</w:t>
      </w:r>
      <w:r>
        <w:rPr>
          <w:rFonts w:ascii="TimesNewRomanPSMT" w:hAnsi="TimesNewRomanPSMT" w:cs="TimesNewRomanPSMT"/>
          <w:sz w:val="20"/>
          <w:szCs w:val="20"/>
        </w:rPr>
        <w:t xml:space="preserve"> “re-associates”.  </w:t>
      </w:r>
      <w:r w:rsidRPr="00633E65">
        <w:rPr>
          <w:sz w:val="24"/>
        </w:rPr>
        <w:t>Also change</w:t>
      </w:r>
      <w:r>
        <w:rPr>
          <w:rFonts w:ascii="TimesNewRomanPSMT" w:hAnsi="TimesNewRomanPSMT" w:cs="TimesNewRomanPSMT"/>
          <w:sz w:val="20"/>
          <w:szCs w:val="20"/>
        </w:rPr>
        <w:t xml:space="preserve"> “re-associates” </w:t>
      </w:r>
      <w:r w:rsidRPr="00633E65">
        <w:rPr>
          <w:sz w:val="24"/>
        </w:rPr>
        <w:t>to</w:t>
      </w:r>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reassociates</w:t>
      </w:r>
      <w:proofErr w:type="spellEnd"/>
      <w:r>
        <w:rPr>
          <w:rFonts w:ascii="TimesNewRomanPSMT" w:hAnsi="TimesNewRomanPSMT" w:cs="TimesNewRomanPSMT"/>
          <w:sz w:val="20"/>
          <w:szCs w:val="20"/>
        </w:rPr>
        <w:t>”.</w:t>
      </w: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r>
        <w:rPr>
          <w:sz w:val="24"/>
        </w:rPr>
        <w:t>At P1618.56, change “</w:t>
      </w:r>
      <w:r>
        <w:rPr>
          <w:rFonts w:ascii="TimesNewRomanPSMT" w:hAnsi="TimesNewRomanPSMT" w:cs="TimesNewRomanPSMT"/>
          <w:sz w:val="20"/>
          <w:szCs w:val="20"/>
        </w:rPr>
        <w:t>An AP or PCP that receives an MLME-</w:t>
      </w:r>
      <w:proofErr w:type="spellStart"/>
      <w:r>
        <w:rPr>
          <w:rFonts w:ascii="TimesNewRomanPSMT" w:hAnsi="TimesNewRomanPSMT" w:cs="TimesNewRomanPSMT"/>
          <w:sz w:val="20"/>
          <w:szCs w:val="20"/>
        </w:rPr>
        <w:t>ASSOCIATE.indication</w:t>
      </w:r>
      <w:proofErr w:type="spellEnd"/>
      <w:r>
        <w:rPr>
          <w:rFonts w:ascii="TimesNewRomanPSMT" w:hAnsi="TimesNewRomanPSMT" w:cs="TimesNewRomanPSMT"/>
          <w:sz w:val="20"/>
          <w:szCs w:val="20"/>
        </w:rPr>
        <w:t>, MLME-</w:t>
      </w:r>
      <w:proofErr w:type="spellStart"/>
      <w:r>
        <w:rPr>
          <w:rFonts w:ascii="TimesNewRomanPSMT" w:hAnsi="TimesNewRomanPSMT" w:cs="TimesNewRomanPSMT"/>
          <w:sz w:val="20"/>
          <w:szCs w:val="20"/>
        </w:rPr>
        <w:t>REASSOCIATE.indication</w:t>
      </w:r>
      <w:proofErr w:type="spellEnd"/>
      <w:r>
        <w:rPr>
          <w:rFonts w:ascii="TimesNewRomanPSMT" w:hAnsi="TimesNewRomanPSMT" w:cs="TimesNewRomanPSMT"/>
          <w:sz w:val="20"/>
          <w:szCs w:val="20"/>
        </w:rPr>
        <w:t xml:space="preserve"> or MLME-</w:t>
      </w:r>
      <w:proofErr w:type="spellStart"/>
      <w:r>
        <w:rPr>
          <w:rFonts w:ascii="TimesNewRomanPSMT" w:hAnsi="TimesNewRomanPSMT" w:cs="TimesNewRomanPSMT"/>
          <w:sz w:val="20"/>
          <w:szCs w:val="20"/>
        </w:rPr>
        <w:t>DISASSOCIATE.indication</w:t>
      </w:r>
      <w:proofErr w:type="spellEnd"/>
      <w:r>
        <w:rPr>
          <w:rFonts w:ascii="TimesNewRomanPSMT" w:hAnsi="TimesNewRomanPSMT" w:cs="TimesNewRomanPSMT"/>
          <w:sz w:val="20"/>
          <w:szCs w:val="20"/>
        </w:rPr>
        <w:t xml:space="preserve"> primitive” </w:t>
      </w:r>
      <w:r w:rsidRPr="00633E65">
        <w:rPr>
          <w:sz w:val="24"/>
        </w:rPr>
        <w:t>by adding</w:t>
      </w:r>
      <w:r>
        <w:rPr>
          <w:rFonts w:ascii="TimesNewRomanPSMT" w:hAnsi="TimesNewRomanPSMT" w:cs="TimesNewRomanPSMT"/>
          <w:sz w:val="20"/>
          <w:szCs w:val="20"/>
        </w:rPr>
        <w:t>, “(except when the MLME-</w:t>
      </w:r>
      <w:proofErr w:type="spellStart"/>
      <w:r>
        <w:rPr>
          <w:rFonts w:ascii="TimesNewRomanPSMT" w:hAnsi="TimesNewRomanPSMT" w:cs="TimesNewRomanPSMT"/>
          <w:sz w:val="20"/>
          <w:szCs w:val="20"/>
        </w:rPr>
        <w:t>REASSOCIATE.indication</w:t>
      </w:r>
      <w:proofErr w:type="spellEnd"/>
      <w:r>
        <w:rPr>
          <w:rFonts w:ascii="TimesNewRomanPSMT" w:hAnsi="TimesNewRomanPSMT" w:cs="TimesNewRomanPSMT"/>
          <w:sz w:val="20"/>
          <w:szCs w:val="20"/>
        </w:rPr>
        <w:t xml:space="preserve"> has this AP’s BSSID in the </w:t>
      </w:r>
      <w:proofErr w:type="spellStart"/>
      <w:r>
        <w:rPr>
          <w:rFonts w:ascii="TimesNewRomanPSMT" w:hAnsi="TimesNewRomanPSMT" w:cs="TimesNewRomanPSMT"/>
          <w:sz w:val="20"/>
          <w:szCs w:val="20"/>
        </w:rPr>
        <w:t>CurrentAPAddress</w:t>
      </w:r>
      <w:proofErr w:type="spellEnd"/>
      <w:r>
        <w:rPr>
          <w:rFonts w:ascii="TimesNewRomanPSMT" w:hAnsi="TimesNewRomanPSMT" w:cs="TimesNewRomanPSMT"/>
          <w:sz w:val="20"/>
          <w:szCs w:val="20"/>
        </w:rPr>
        <w:t xml:space="preserve"> parameter)” </w:t>
      </w:r>
      <w:r w:rsidRPr="00633E65">
        <w:rPr>
          <w:sz w:val="24"/>
        </w:rPr>
        <w:t>following</w:t>
      </w:r>
      <w:r>
        <w:rPr>
          <w:rFonts w:ascii="TimesNewRomanPSMT" w:hAnsi="TimesNewRomanPSMT" w:cs="TimesNewRomanPSMT"/>
          <w:sz w:val="20"/>
          <w:szCs w:val="20"/>
        </w:rPr>
        <w:t xml:space="preserve"> “MLME-</w:t>
      </w:r>
      <w:proofErr w:type="spellStart"/>
      <w:r>
        <w:rPr>
          <w:rFonts w:ascii="TimesNewRomanPSMT" w:hAnsi="TimesNewRomanPSMT" w:cs="TimesNewRomanPSMT"/>
          <w:sz w:val="20"/>
          <w:szCs w:val="20"/>
        </w:rPr>
        <w:t>REASSOCIATE.indication</w:t>
      </w:r>
      <w:proofErr w:type="spellEnd"/>
      <w:r>
        <w:rPr>
          <w:rFonts w:ascii="TimesNewRomanPSMT" w:hAnsi="TimesNewRomanPSMT" w:cs="TimesNewRomanPSMT"/>
          <w:sz w:val="20"/>
          <w:szCs w:val="20"/>
        </w:rPr>
        <w:t>.</w:t>
      </w:r>
    </w:p>
    <w:p w:rsidR="008E1F89" w:rsidRDefault="008E1F89" w:rsidP="008E1F89">
      <w:pPr>
        <w:autoSpaceDE w:val="0"/>
        <w:autoSpaceDN w:val="0"/>
        <w:adjustRightInd w:val="0"/>
        <w:spacing w:after="0" w:line="240" w:lineRule="auto"/>
        <w:rPr>
          <w:sz w:val="24"/>
        </w:rPr>
      </w:pPr>
    </w:p>
    <w:p w:rsidR="008E1F89" w:rsidRDefault="008E1F89" w:rsidP="008E1F89">
      <w:pPr>
        <w:autoSpaceDE w:val="0"/>
        <w:autoSpaceDN w:val="0"/>
        <w:adjustRightInd w:val="0"/>
        <w:spacing w:after="0" w:line="240" w:lineRule="auto"/>
        <w:rPr>
          <w:rFonts w:ascii="TimesNewRomanPSMT" w:hAnsi="TimesNewRomanPSMT" w:cs="TimesNewRomanPSMT"/>
          <w:sz w:val="20"/>
          <w:szCs w:val="20"/>
        </w:rPr>
      </w:pPr>
      <w:r>
        <w:rPr>
          <w:sz w:val="24"/>
        </w:rPr>
        <w:lastRenderedPageBreak/>
        <w:t>At P1619.5,</w:t>
      </w:r>
      <w:r w:rsidR="0003420C">
        <w:rPr>
          <w:sz w:val="24"/>
        </w:rPr>
        <w:t xml:space="preserve"> </w:t>
      </w:r>
      <w:r>
        <w:rPr>
          <w:sz w:val="24"/>
        </w:rPr>
        <w:t>change “</w:t>
      </w:r>
      <w:r>
        <w:rPr>
          <w:rFonts w:ascii="TimesNewRomanPSMT" w:hAnsi="TimesNewRomanPSMT" w:cs="TimesNewRomanPSMT"/>
          <w:sz w:val="20"/>
          <w:szCs w:val="20"/>
        </w:rPr>
        <w:t>A STA that generates an MLME-</w:t>
      </w:r>
      <w:proofErr w:type="spellStart"/>
      <w:r>
        <w:rPr>
          <w:rFonts w:ascii="TimesNewRomanPSMT" w:hAnsi="TimesNewRomanPSMT" w:cs="TimesNewRomanPSMT"/>
          <w:sz w:val="20"/>
          <w:szCs w:val="20"/>
        </w:rPr>
        <w:t>ASSOCIATE.request</w:t>
      </w:r>
      <w:proofErr w:type="spellEnd"/>
      <w:r>
        <w:rPr>
          <w:rFonts w:ascii="TimesNewRomanPSMT" w:hAnsi="TimesNewRomanPSMT" w:cs="TimesNewRomanPSMT"/>
          <w:sz w:val="20"/>
          <w:szCs w:val="20"/>
        </w:rPr>
        <w:t>, MLME-</w:t>
      </w:r>
      <w:proofErr w:type="spellStart"/>
      <w:r>
        <w:rPr>
          <w:rFonts w:ascii="TimesNewRomanPSMT" w:hAnsi="TimesNewRomanPSMT" w:cs="TimesNewRomanPSMT"/>
          <w:sz w:val="20"/>
          <w:szCs w:val="20"/>
        </w:rPr>
        <w:t>REASSOCIATE.request</w:t>
      </w:r>
      <w:proofErr w:type="spellEnd"/>
      <w:r>
        <w:rPr>
          <w:rFonts w:ascii="TimesNewRomanPSMT" w:hAnsi="TimesNewRomanPSMT" w:cs="TimesNewRomanPSMT"/>
          <w:sz w:val="20"/>
          <w:szCs w:val="20"/>
        </w:rPr>
        <w:t xml:space="preserve"> or MLME</w:t>
      </w:r>
      <w:r w:rsidR="0003420C">
        <w:rPr>
          <w:rFonts w:ascii="TimesNewRomanPSMT" w:hAnsi="TimesNewRomanPSMT" w:cs="TimesNewRomanPSMT"/>
          <w:sz w:val="20"/>
          <w:szCs w:val="20"/>
        </w:rPr>
        <w:t>-</w:t>
      </w:r>
      <w:proofErr w:type="spellStart"/>
      <w:r>
        <w:rPr>
          <w:rFonts w:ascii="TimesNewRomanPSMT" w:hAnsi="TimesNewRomanPSMT" w:cs="TimesNewRomanPSMT"/>
          <w:sz w:val="20"/>
          <w:szCs w:val="20"/>
        </w:rPr>
        <w:t>DISASSOCIATE.request</w:t>
      </w:r>
      <w:proofErr w:type="spellEnd"/>
      <w:r>
        <w:rPr>
          <w:rFonts w:ascii="TimesNewRomanPSMT" w:hAnsi="TimesNewRomanPSMT" w:cs="TimesNewRomanPSMT"/>
          <w:sz w:val="20"/>
          <w:szCs w:val="20"/>
        </w:rPr>
        <w:t xml:space="preserve"> primitive</w:t>
      </w:r>
      <w:r>
        <w:rPr>
          <w:sz w:val="24"/>
        </w:rPr>
        <w:t>” by adding “</w:t>
      </w:r>
      <w:r w:rsidRPr="00B66711">
        <w:rPr>
          <w:rFonts w:ascii="TimesNewRomanPSMT" w:hAnsi="TimesNewRomanPSMT" w:cs="TimesNewRomanPSMT"/>
          <w:sz w:val="20"/>
          <w:szCs w:val="20"/>
        </w:rPr>
        <w:t>(except when the MLME-</w:t>
      </w:r>
      <w:proofErr w:type="spellStart"/>
      <w:r w:rsidRPr="00B66711">
        <w:rPr>
          <w:rFonts w:ascii="TimesNewRomanPSMT" w:hAnsi="TimesNewRomanPSMT" w:cs="TimesNewRomanPSMT"/>
          <w:sz w:val="20"/>
          <w:szCs w:val="20"/>
        </w:rPr>
        <w:t>REASSOCIATE.request</w:t>
      </w:r>
      <w:proofErr w:type="spellEnd"/>
      <w:r w:rsidRPr="00B66711">
        <w:rPr>
          <w:rFonts w:ascii="TimesNewRomanPSMT" w:hAnsi="TimesNewRomanPSMT" w:cs="TimesNewRomanPSMT"/>
          <w:sz w:val="20"/>
          <w:szCs w:val="20"/>
        </w:rPr>
        <w:t xml:space="preserve"> has the target AP’s BSSID in the </w:t>
      </w:r>
      <w:proofErr w:type="spellStart"/>
      <w:r w:rsidRPr="00B66711">
        <w:rPr>
          <w:rFonts w:ascii="TimesNewRomanPSMT" w:hAnsi="TimesNewRomanPSMT" w:cs="TimesNewRomanPSMT"/>
          <w:sz w:val="20"/>
          <w:szCs w:val="20"/>
        </w:rPr>
        <w:t>CurrentAPAddress</w:t>
      </w:r>
      <w:proofErr w:type="spellEnd"/>
      <w:r w:rsidRPr="00B66711">
        <w:rPr>
          <w:rFonts w:ascii="TimesNewRomanPSMT" w:hAnsi="TimesNewRomanPSMT" w:cs="TimesNewRomanPSMT"/>
          <w:sz w:val="20"/>
          <w:szCs w:val="20"/>
        </w:rPr>
        <w:t xml:space="preserve"> parameter)</w:t>
      </w:r>
      <w:r>
        <w:rPr>
          <w:sz w:val="24"/>
        </w:rPr>
        <w:t>” following “</w:t>
      </w:r>
      <w:r w:rsidRPr="00B66711">
        <w:rPr>
          <w:rFonts w:ascii="TimesNewRomanPSMT" w:hAnsi="TimesNewRomanPSMT" w:cs="TimesNewRomanPSMT"/>
          <w:sz w:val="20"/>
          <w:szCs w:val="20"/>
        </w:rPr>
        <w:t>MLME-</w:t>
      </w:r>
      <w:proofErr w:type="spellStart"/>
      <w:r w:rsidRPr="00B66711">
        <w:rPr>
          <w:rFonts w:ascii="TimesNewRomanPSMT" w:hAnsi="TimesNewRomanPSMT" w:cs="TimesNewRomanPSMT"/>
          <w:sz w:val="20"/>
          <w:szCs w:val="20"/>
        </w:rPr>
        <w:t>REASOCCIATE.request</w:t>
      </w:r>
      <w:proofErr w:type="spellEnd"/>
      <w:r w:rsidRPr="00B66711">
        <w:rPr>
          <w:rFonts w:ascii="TimesNewRomanPSMT" w:hAnsi="TimesNewRomanPSMT" w:cs="TimesNewRomanPSMT"/>
          <w:sz w:val="20"/>
          <w:szCs w:val="20"/>
        </w:rPr>
        <w:t>.”</w:t>
      </w:r>
    </w:p>
    <w:bookmarkEnd w:id="0"/>
    <w:p w:rsidR="008E1F89" w:rsidRDefault="008E1F89" w:rsidP="008E1F89">
      <w:pPr>
        <w:autoSpaceDE w:val="0"/>
        <w:autoSpaceDN w:val="0"/>
        <w:adjustRightInd w:val="0"/>
        <w:spacing w:after="0" w:line="240" w:lineRule="auto"/>
        <w:rPr>
          <w:rFonts w:ascii="TimesNewRomanPSMT" w:hAnsi="TimesNewRomanPSMT" w:cs="TimesNewRomanPSMT"/>
          <w:sz w:val="20"/>
          <w:szCs w:val="20"/>
        </w:rPr>
      </w:pPr>
    </w:p>
    <w:sectPr w:rsidR="008E1F89" w:rsidSect="006431B7">
      <w:headerReference w:type="default" r:id="rId9"/>
      <w:footerReference w:type="default" r:id="rId1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59" w:rsidRDefault="00630159">
      <w:pPr>
        <w:spacing w:after="0" w:line="240" w:lineRule="auto"/>
      </w:pPr>
      <w:r>
        <w:separator/>
      </w:r>
    </w:p>
  </w:endnote>
  <w:endnote w:type="continuationSeparator" w:id="0">
    <w:p w:rsidR="00630159" w:rsidRDefault="0063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E" w:rsidRPr="006431B7" w:rsidRDefault="0066654E" w:rsidP="006431B7">
    <w:pPr>
      <w:pBdr>
        <w:top w:val="single" w:sz="6" w:space="1" w:color="auto"/>
      </w:pBdr>
      <w:tabs>
        <w:tab w:val="center" w:pos="4680"/>
        <w:tab w:val="right" w:pos="9360"/>
        <w:tab w:val="right" w:pos="12960"/>
      </w:tabs>
      <w:spacing w:after="0" w:line="240" w:lineRule="auto"/>
      <w:rPr>
        <w:rFonts w:ascii="Times New Roman" w:hAnsi="Times New Roman"/>
        <w:sz w:val="24"/>
        <w:szCs w:val="20"/>
        <w:lang w:val="en-GB"/>
      </w:rPr>
    </w:pPr>
    <w:r>
      <w:rPr>
        <w:rFonts w:ascii="Times New Roman" w:hAnsi="Times New Roman"/>
        <w:sz w:val="24"/>
        <w:szCs w:val="20"/>
        <w:lang w:val="en-GB"/>
      </w:rPr>
      <w:t>Submission</w:t>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SUBJECT  \* MERGEFORMAT </w:instrText>
    </w:r>
    <w:r w:rsidRPr="006431B7">
      <w:rPr>
        <w:rFonts w:ascii="Times New Roman" w:hAnsi="Times New Roman"/>
        <w:sz w:val="24"/>
        <w:szCs w:val="20"/>
        <w:lang w:val="en-GB"/>
      </w:rPr>
      <w:fldChar w:fldCharType="end"/>
    </w:r>
    <w:r>
      <w:rPr>
        <w:rFonts w:ascii="Times New Roman" w:hAnsi="Times New Roman"/>
        <w:sz w:val="24"/>
        <w:szCs w:val="20"/>
        <w:lang w:val="en-GB"/>
      </w:rPr>
      <w:tab/>
    </w:r>
    <w:r w:rsidRPr="006431B7">
      <w:rPr>
        <w:rFonts w:ascii="Times New Roman" w:hAnsi="Times New Roman"/>
        <w:sz w:val="24"/>
        <w:szCs w:val="20"/>
        <w:lang w:val="en-GB"/>
      </w:rPr>
      <w:fldChar w:fldCharType="begin"/>
    </w:r>
    <w:r w:rsidRPr="006431B7">
      <w:rPr>
        <w:rFonts w:ascii="Times New Roman" w:hAnsi="Times New Roman"/>
        <w:sz w:val="24"/>
        <w:szCs w:val="20"/>
        <w:lang w:val="en-GB"/>
      </w:rPr>
      <w:instrText xml:space="preserve"> PAGE   \* MERGEFORMAT </w:instrText>
    </w:r>
    <w:r w:rsidRPr="006431B7">
      <w:rPr>
        <w:rFonts w:ascii="Times New Roman" w:hAnsi="Times New Roman"/>
        <w:sz w:val="24"/>
        <w:szCs w:val="20"/>
        <w:lang w:val="en-GB"/>
      </w:rPr>
      <w:fldChar w:fldCharType="separate"/>
    </w:r>
    <w:r w:rsidR="006D47A9">
      <w:rPr>
        <w:rFonts w:ascii="Times New Roman" w:hAnsi="Times New Roman"/>
        <w:noProof/>
        <w:sz w:val="24"/>
        <w:szCs w:val="20"/>
        <w:lang w:val="en-GB"/>
      </w:rPr>
      <w:t>5</w:t>
    </w:r>
    <w:r w:rsidRPr="006431B7">
      <w:rPr>
        <w:rFonts w:ascii="Times New Roman" w:hAnsi="Times New Roman"/>
        <w:noProof/>
        <w:sz w:val="24"/>
        <w:szCs w:val="20"/>
        <w:lang w:val="en-GB"/>
      </w:rPr>
      <w:fldChar w:fldCharType="end"/>
    </w:r>
    <w:r>
      <w:rPr>
        <w:rFonts w:ascii="Times New Roman" w:hAnsi="Times New Roman"/>
        <w:sz w:val="24"/>
        <w:szCs w:val="20"/>
        <w:lang w:val="en-GB"/>
      </w:rPr>
      <w:tab/>
      <w:t xml:space="preserve">Mark Hamilton, </w:t>
    </w:r>
    <w:proofErr w:type="spellStart"/>
    <w:r>
      <w:rPr>
        <w:rFonts w:ascii="Times New Roman" w:hAnsi="Times New Roman"/>
        <w:sz w:val="24"/>
        <w:szCs w:val="20"/>
        <w:lang w:val="en-GB"/>
      </w:rPr>
      <w:t>Spectalink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59" w:rsidRDefault="00630159">
      <w:pPr>
        <w:spacing w:after="0" w:line="240" w:lineRule="auto"/>
      </w:pPr>
      <w:r>
        <w:separator/>
      </w:r>
    </w:p>
  </w:footnote>
  <w:footnote w:type="continuationSeparator" w:id="0">
    <w:p w:rsidR="00630159" w:rsidRDefault="00630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E" w:rsidRPr="006431B7" w:rsidRDefault="0066654E" w:rsidP="006431B7">
    <w:pPr>
      <w:pBdr>
        <w:bottom w:val="single" w:sz="6" w:space="2" w:color="auto"/>
      </w:pBdr>
      <w:tabs>
        <w:tab w:val="center" w:pos="4680"/>
        <w:tab w:val="right" w:pos="9360"/>
        <w:tab w:val="right" w:pos="12960"/>
      </w:tabs>
      <w:spacing w:after="0" w:line="240" w:lineRule="auto"/>
      <w:rPr>
        <w:rFonts w:ascii="Times New Roman" w:eastAsia="Batang" w:hAnsi="Times New Roman"/>
        <w:b/>
        <w:sz w:val="28"/>
        <w:szCs w:val="20"/>
        <w:lang w:val="en-GB" w:eastAsia="ko-KR"/>
      </w:rPr>
    </w:pPr>
    <w:r>
      <w:rPr>
        <w:rFonts w:ascii="Times New Roman" w:eastAsia="Batang" w:hAnsi="Times New Roman"/>
        <w:b/>
        <w:sz w:val="28"/>
        <w:szCs w:val="20"/>
        <w:lang w:val="en-GB" w:eastAsia="ko-KR"/>
      </w:rPr>
      <w:t xml:space="preserve">May 2014 </w:t>
    </w:r>
    <w:r>
      <w:rPr>
        <w:rFonts w:ascii="Times New Roman" w:eastAsia="Batang" w:hAnsi="Times New Roman"/>
        <w:b/>
        <w:sz w:val="28"/>
        <w:szCs w:val="20"/>
        <w:lang w:val="en-GB" w:eastAsia="ko-KR"/>
      </w:rPr>
      <w:tab/>
    </w:r>
    <w:r>
      <w:rPr>
        <w:rFonts w:ascii="Times New Roman" w:eastAsia="Batang" w:hAnsi="Times New Roman"/>
        <w:b/>
        <w:sz w:val="28"/>
        <w:szCs w:val="20"/>
        <w:lang w:val="en-GB" w:eastAsia="ko-KR"/>
      </w:rPr>
      <w:tab/>
    </w:r>
    <w:proofErr w:type="spellStart"/>
    <w:r w:rsidRPr="006431B7">
      <w:rPr>
        <w:rFonts w:ascii="Times New Roman" w:eastAsia="Batang" w:hAnsi="Times New Roman"/>
        <w:b/>
        <w:sz w:val="28"/>
        <w:szCs w:val="20"/>
        <w:lang w:val="en-GB" w:eastAsia="ko-KR"/>
      </w:rPr>
      <w:t>doc.</w:t>
    </w:r>
    <w:proofErr w:type="gramStart"/>
    <w:r w:rsidRPr="006431B7">
      <w:rPr>
        <w:rFonts w:ascii="Times New Roman" w:eastAsia="Batang" w:hAnsi="Times New Roman"/>
        <w:b/>
        <w:sz w:val="28"/>
        <w:szCs w:val="20"/>
        <w:lang w:val="en-GB" w:eastAsia="ko-KR"/>
      </w:rPr>
      <w:t>:I</w:t>
    </w:r>
    <w:proofErr w:type="gramEnd"/>
    <w:r w:rsidRPr="006431B7">
      <w:rPr>
        <w:rFonts w:ascii="Times New Roman" w:eastAsia="Batang" w:hAnsi="Times New Roman"/>
        <w:b/>
        <w:sz w:val="28"/>
        <w:szCs w:val="20"/>
        <w:lang w:val="en-GB" w:eastAsia="ko-KR"/>
      </w:rPr>
      <w:t>EEE</w:t>
    </w:r>
    <w:proofErr w:type="spellEnd"/>
    <w:r w:rsidRPr="006431B7">
      <w:rPr>
        <w:rFonts w:ascii="Times New Roman" w:eastAsia="Batang" w:hAnsi="Times New Roman"/>
        <w:b/>
        <w:sz w:val="28"/>
        <w:szCs w:val="20"/>
        <w:lang w:val="en-GB" w:eastAsia="ko-KR"/>
      </w:rPr>
      <w:t xml:space="preserve"> 802.11-14/0</w:t>
    </w:r>
    <w:r w:rsidR="008E1F89">
      <w:rPr>
        <w:rFonts w:ascii="Times New Roman" w:eastAsia="Batang" w:hAnsi="Times New Roman"/>
        <w:b/>
        <w:sz w:val="28"/>
        <w:szCs w:val="20"/>
        <w:lang w:val="en-GB" w:eastAsia="ko-KR"/>
      </w:rPr>
      <w:t>666</w:t>
    </w:r>
    <w:r w:rsidRPr="006431B7">
      <w:rPr>
        <w:rFonts w:ascii="Times New Roman" w:eastAsia="Batang" w:hAnsi="Times New Roman"/>
        <w:b/>
        <w:sz w:val="28"/>
        <w:szCs w:val="20"/>
        <w:lang w:val="en-GB" w:eastAsia="ko-KR"/>
      </w:rPr>
      <w:t>r</w:t>
    </w:r>
    <w:r w:rsidR="006704DF">
      <w:rPr>
        <w:rFonts w:ascii="Times New Roman" w:eastAsia="Batang" w:hAnsi="Times New Roman"/>
        <w:b/>
        <w:sz w:val="28"/>
        <w:szCs w:val="20"/>
        <w:lang w:val="en-GB" w:eastAsia="ko-KR"/>
      </w:rPr>
      <w:t>1</w:t>
    </w:r>
  </w:p>
  <w:p w:rsidR="0066654E" w:rsidRDefault="00666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AEB7CA"/>
    <w:lvl w:ilvl="0">
      <w:numFmt w:val="bullet"/>
      <w:lvlText w:val="*"/>
      <w:lvlJc w:val="left"/>
    </w:lvl>
  </w:abstractNum>
  <w:abstractNum w:abstractNumId="1">
    <w:nsid w:val="0D831049"/>
    <w:multiLevelType w:val="hybridMultilevel"/>
    <w:tmpl w:val="21B6CFB0"/>
    <w:lvl w:ilvl="0" w:tplc="EDAEB7CA">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EDAEB7CA">
      <w:start w:val="1"/>
      <w:numFmt w:val="bullet"/>
      <w:lvlText w:val="1)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1BE13E34"/>
    <w:multiLevelType w:val="hybridMultilevel"/>
    <w:tmpl w:val="7A5488FC"/>
    <w:lvl w:ilvl="0" w:tplc="EDAEB7CA">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28C2577B"/>
    <w:multiLevelType w:val="hybridMultilevel"/>
    <w:tmpl w:val="59E04946"/>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93A73"/>
    <w:multiLevelType w:val="hybridMultilevel"/>
    <w:tmpl w:val="2BFA9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E7607"/>
    <w:multiLevelType w:val="hybridMultilevel"/>
    <w:tmpl w:val="8E362F72"/>
    <w:lvl w:ilvl="0" w:tplc="EDAEB7CA">
      <w:start w:val="1"/>
      <w:numFmt w:val="bullet"/>
      <w:lvlText w:val="d) "/>
      <w:lvlJc w:val="left"/>
      <w:pPr>
        <w:ind w:left="100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76D40130"/>
    <w:multiLevelType w:val="hybridMultilevel"/>
    <w:tmpl w:val="8EA4C752"/>
    <w:lvl w:ilvl="0" w:tplc="EDAEB7CA">
      <w:start w:val="1"/>
      <w:numFmt w:val="bullet"/>
      <w:lvlText w:val="a)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1.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1.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1.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1.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1.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1.2.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1.2.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1.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1.2.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21.2.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num>
  <w:num w:numId="32">
    <w:abstractNumId w:val="2"/>
  </w:num>
  <w:num w:numId="33">
    <w:abstractNumId w:val="5"/>
  </w:num>
  <w:num w:numId="34">
    <w:abstractNumId w:val="3"/>
  </w:num>
  <w:num w:numId="35">
    <w:abstractNumId w:val="6"/>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BC"/>
    <w:rsid w:val="00014133"/>
    <w:rsid w:val="00030848"/>
    <w:rsid w:val="0003420C"/>
    <w:rsid w:val="00043C6E"/>
    <w:rsid w:val="00061072"/>
    <w:rsid w:val="00066C1E"/>
    <w:rsid w:val="00075C53"/>
    <w:rsid w:val="00082664"/>
    <w:rsid w:val="00085F96"/>
    <w:rsid w:val="0009507E"/>
    <w:rsid w:val="000966B6"/>
    <w:rsid w:val="000E0AC9"/>
    <w:rsid w:val="000E6EA0"/>
    <w:rsid w:val="00132F32"/>
    <w:rsid w:val="00134F1A"/>
    <w:rsid w:val="001379D7"/>
    <w:rsid w:val="00186A4A"/>
    <w:rsid w:val="00196865"/>
    <w:rsid w:val="001C3249"/>
    <w:rsid w:val="002046A1"/>
    <w:rsid w:val="0023404E"/>
    <w:rsid w:val="00234607"/>
    <w:rsid w:val="00240A8B"/>
    <w:rsid w:val="00274F10"/>
    <w:rsid w:val="00286442"/>
    <w:rsid w:val="002A2FBC"/>
    <w:rsid w:val="002F14C0"/>
    <w:rsid w:val="003032F1"/>
    <w:rsid w:val="00343203"/>
    <w:rsid w:val="00353465"/>
    <w:rsid w:val="00374115"/>
    <w:rsid w:val="0038699D"/>
    <w:rsid w:val="00394E85"/>
    <w:rsid w:val="003A1634"/>
    <w:rsid w:val="003A4C9E"/>
    <w:rsid w:val="003D3D1E"/>
    <w:rsid w:val="003D5564"/>
    <w:rsid w:val="003E5512"/>
    <w:rsid w:val="003E7F9F"/>
    <w:rsid w:val="00416655"/>
    <w:rsid w:val="00425701"/>
    <w:rsid w:val="004B5FAC"/>
    <w:rsid w:val="004C5DC0"/>
    <w:rsid w:val="004D147A"/>
    <w:rsid w:val="004E02B7"/>
    <w:rsid w:val="004E542E"/>
    <w:rsid w:val="004F00FA"/>
    <w:rsid w:val="0052018D"/>
    <w:rsid w:val="0052315A"/>
    <w:rsid w:val="005400DD"/>
    <w:rsid w:val="00544B49"/>
    <w:rsid w:val="005A0A72"/>
    <w:rsid w:val="005B0E15"/>
    <w:rsid w:val="005C54FE"/>
    <w:rsid w:val="005D67D2"/>
    <w:rsid w:val="005E3683"/>
    <w:rsid w:val="005E7CCB"/>
    <w:rsid w:val="005F1C00"/>
    <w:rsid w:val="00615846"/>
    <w:rsid w:val="00630159"/>
    <w:rsid w:val="0063067B"/>
    <w:rsid w:val="00633E65"/>
    <w:rsid w:val="006431B7"/>
    <w:rsid w:val="00647C68"/>
    <w:rsid w:val="00661CF7"/>
    <w:rsid w:val="0066438A"/>
    <w:rsid w:val="0066654E"/>
    <w:rsid w:val="006704DF"/>
    <w:rsid w:val="006744E0"/>
    <w:rsid w:val="006D47A9"/>
    <w:rsid w:val="006F0377"/>
    <w:rsid w:val="006F718F"/>
    <w:rsid w:val="00704D43"/>
    <w:rsid w:val="007071DD"/>
    <w:rsid w:val="007140F0"/>
    <w:rsid w:val="00752FFE"/>
    <w:rsid w:val="007708E4"/>
    <w:rsid w:val="00774EFE"/>
    <w:rsid w:val="007937C1"/>
    <w:rsid w:val="007A0B00"/>
    <w:rsid w:val="007B5EEC"/>
    <w:rsid w:val="007E2F22"/>
    <w:rsid w:val="007F4628"/>
    <w:rsid w:val="008463E4"/>
    <w:rsid w:val="00890E2F"/>
    <w:rsid w:val="008B2B93"/>
    <w:rsid w:val="008D3368"/>
    <w:rsid w:val="008E1F89"/>
    <w:rsid w:val="008E6B1C"/>
    <w:rsid w:val="00907478"/>
    <w:rsid w:val="009307CE"/>
    <w:rsid w:val="00942D03"/>
    <w:rsid w:val="00953910"/>
    <w:rsid w:val="00960B28"/>
    <w:rsid w:val="009849D7"/>
    <w:rsid w:val="00991B3F"/>
    <w:rsid w:val="009A50C0"/>
    <w:rsid w:val="009A6D92"/>
    <w:rsid w:val="009B2C85"/>
    <w:rsid w:val="009C3BC2"/>
    <w:rsid w:val="009D1B9C"/>
    <w:rsid w:val="009D2294"/>
    <w:rsid w:val="009E3C6E"/>
    <w:rsid w:val="00A30555"/>
    <w:rsid w:val="00A64079"/>
    <w:rsid w:val="00A65AA5"/>
    <w:rsid w:val="00A829C7"/>
    <w:rsid w:val="00A83541"/>
    <w:rsid w:val="00AE2B31"/>
    <w:rsid w:val="00AE6163"/>
    <w:rsid w:val="00B13D20"/>
    <w:rsid w:val="00B2718D"/>
    <w:rsid w:val="00B27325"/>
    <w:rsid w:val="00B34FF0"/>
    <w:rsid w:val="00B36410"/>
    <w:rsid w:val="00B66711"/>
    <w:rsid w:val="00BD41B3"/>
    <w:rsid w:val="00BD495B"/>
    <w:rsid w:val="00BE1543"/>
    <w:rsid w:val="00C30147"/>
    <w:rsid w:val="00C303AB"/>
    <w:rsid w:val="00C32CA0"/>
    <w:rsid w:val="00C46978"/>
    <w:rsid w:val="00C51C8F"/>
    <w:rsid w:val="00CA0717"/>
    <w:rsid w:val="00CB070F"/>
    <w:rsid w:val="00CC3E85"/>
    <w:rsid w:val="00CC7F5F"/>
    <w:rsid w:val="00D20499"/>
    <w:rsid w:val="00D275E1"/>
    <w:rsid w:val="00D2768F"/>
    <w:rsid w:val="00D33E5C"/>
    <w:rsid w:val="00D4373D"/>
    <w:rsid w:val="00D61416"/>
    <w:rsid w:val="00D82187"/>
    <w:rsid w:val="00DB15F1"/>
    <w:rsid w:val="00DB32CB"/>
    <w:rsid w:val="00DD3D41"/>
    <w:rsid w:val="00E72C7A"/>
    <w:rsid w:val="00E75345"/>
    <w:rsid w:val="00E80DFD"/>
    <w:rsid w:val="00E8441C"/>
    <w:rsid w:val="00ED508A"/>
    <w:rsid w:val="00EE51CF"/>
    <w:rsid w:val="00EF7D00"/>
    <w:rsid w:val="00F033BD"/>
    <w:rsid w:val="00F15615"/>
    <w:rsid w:val="00F849C7"/>
    <w:rsid w:val="00FA7866"/>
    <w:rsid w:val="00FF4183"/>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widowControl w:val="0"/>
      <w:autoSpaceDE w:val="0"/>
      <w:autoSpaceDN w:val="0"/>
      <w:adjustRightInd w:val="0"/>
      <w:spacing w:before="480" w:line="240" w:lineRule="atLeast"/>
      <w:jc w:val="both"/>
    </w:pPr>
    <w:rPr>
      <w:rFonts w:ascii="Times New Roman" w:hAnsi="Times New Roman"/>
      <w:color w:val="000000"/>
      <w:w w:val="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hAnsi="Times New Roman"/>
      <w:b/>
      <w:bCs/>
      <w:color w:val="000000"/>
      <w:w w:val="0"/>
      <w:sz w:val="18"/>
      <w:szCs w:val="18"/>
    </w:rPr>
  </w:style>
  <w:style w:type="paragraph" w:customStyle="1" w:styleId="DL">
    <w:name w:val="DL"/>
    <w:aliases w:val="DashedLis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DL2">
    <w:name w:val="DL2"/>
    <w:aliases w:val="DashedList1"/>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ascii="Times New Roman" w:hAnsi="Times New Roman"/>
      <w:color w:val="000000"/>
      <w:w w:val="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b/>
      <w:bCs/>
      <w:i/>
      <w:iCs/>
      <w:color w:val="FF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olor w:val="000000"/>
      <w:w w:val="0"/>
      <w:sz w:val="16"/>
      <w:szCs w:val="16"/>
    </w:rPr>
  </w:style>
  <w:style w:type="paragraph" w:customStyle="1" w:styleId="H">
    <w:name w:val="H"/>
    <w:aliases w:val="HangingIndent"/>
    <w:uiPriority w:val="99"/>
    <w:pPr>
      <w:tabs>
        <w:tab w:val="left" w:pos="620"/>
      </w:tabs>
      <w:autoSpaceDE w:val="0"/>
      <w:autoSpaceDN w:val="0"/>
      <w:adjustRightInd w:val="0"/>
      <w:spacing w:line="240" w:lineRule="atLeast"/>
      <w:ind w:left="640" w:hanging="440"/>
      <w:jc w:val="both"/>
    </w:pPr>
    <w:rPr>
      <w:rFonts w:ascii="Times New Roman" w:hAnsi="Times New Roman"/>
      <w:color w:val="000000"/>
      <w:w w:val="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line="240" w:lineRule="atLeast"/>
      <w:ind w:left="1040" w:hanging="400"/>
      <w:jc w:val="both"/>
    </w:pPr>
    <w:rPr>
      <w:rFonts w:ascii="Times New Roman" w:hAnsi="Times New Roman"/>
      <w:color w:val="000000"/>
      <w:w w:val="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
    <w:name w:val="L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color w:val="000000"/>
      <w:w w:val="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olor w:val="000000"/>
      <w:w w:val="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rPr>
  </w:style>
  <w:style w:type="paragraph" w:customStyle="1" w:styleId="Llll">
    <w:name w:val="Llll"/>
    <w:aliases w:val="NumberedList4"/>
    <w:uiPriority w:val="99"/>
    <w:pPr>
      <w:tabs>
        <w:tab w:val="left" w:pos="1840"/>
      </w:tabs>
      <w:autoSpaceDE w:val="0"/>
      <w:autoSpaceDN w:val="0"/>
      <w:adjustRightInd w:val="0"/>
      <w:spacing w:line="240" w:lineRule="atLeast"/>
      <w:ind w:left="1840" w:hanging="400"/>
      <w:jc w:val="both"/>
    </w:pPr>
    <w:rPr>
      <w:rFonts w:ascii="Times New Roman" w:hAnsi="Times New Roman"/>
      <w:color w:val="000000"/>
      <w:w w:val="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NoteNum">
    <w:name w:val="NoteNum"/>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olor w:val="000000"/>
      <w:w w:val="0"/>
      <w:sz w:val="18"/>
      <w:szCs w:val="18"/>
    </w:rPr>
  </w:style>
  <w:style w:type="paragraph" w:customStyle="1" w:styleId="RPageNumber">
    <w:name w:val="RPageNumber"/>
    <w:uiPriority w:val="99"/>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olor w:val="000000"/>
      <w:w w:val="0"/>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hAnsi="Times New Roman"/>
      <w:b/>
      <w:bCs/>
      <w:color w:val="000000"/>
      <w:w w:val="0"/>
    </w:rPr>
  </w:style>
  <w:style w:type="paragraph" w:customStyle="1" w:styleId="TableFootnote">
    <w:name w:val="TableFootnote"/>
    <w:uiPriority w:val="99"/>
    <w:pPr>
      <w:widowControl w:val="0"/>
      <w:autoSpaceDE w:val="0"/>
      <w:autoSpaceDN w:val="0"/>
      <w:adjustRightInd w:val="0"/>
      <w:spacing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line="240" w:lineRule="atLeast"/>
      <w:jc w:val="center"/>
    </w:pPr>
    <w:rPr>
      <w:rFonts w:ascii="Arial" w:hAnsi="Arial" w:cs="Arial"/>
      <w:b/>
      <w:bCs/>
      <w:color w:val="000000"/>
      <w:w w:val="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olor w:val="000000"/>
      <w:w w:val="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Pr>
      <w:i/>
      <w:iCs/>
    </w:rPr>
  </w:style>
  <w:style w:type="character" w:customStyle="1" w:styleId="EquationVariables">
    <w:name w:val="EquationVariables"/>
    <w:uiPriority w:val="99"/>
    <w:rPr>
      <w:i/>
      <w:iC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a">
    <w:name w:val="Åí"/>
    <w:uiPriority w:val="99"/>
  </w:style>
  <w:style w:type="paragraph" w:styleId="BalloonText">
    <w:name w:val="Balloon Text"/>
    <w:basedOn w:val="Normal"/>
    <w:link w:val="BalloonTextChar"/>
    <w:uiPriority w:val="99"/>
    <w:semiHidden/>
    <w:unhideWhenUsed/>
    <w:rsid w:val="00DB15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15F1"/>
    <w:rPr>
      <w:rFonts w:ascii="Tahoma" w:hAnsi="Tahoma" w:cs="Tahoma"/>
      <w:sz w:val="16"/>
      <w:szCs w:val="16"/>
    </w:rPr>
  </w:style>
  <w:style w:type="paragraph" w:customStyle="1" w:styleId="T1">
    <w:name w:val="T1"/>
    <w:basedOn w:val="Normal"/>
    <w:rsid w:val="006431B7"/>
    <w:pPr>
      <w:spacing w:after="0" w:line="240" w:lineRule="auto"/>
      <w:jc w:val="center"/>
    </w:pPr>
    <w:rPr>
      <w:rFonts w:ascii="Times New Roman" w:eastAsia="Batang" w:hAnsi="Times New Roman"/>
      <w:b/>
      <w:sz w:val="28"/>
      <w:szCs w:val="20"/>
      <w:lang w:val="en-GB"/>
    </w:rPr>
  </w:style>
  <w:style w:type="paragraph" w:customStyle="1" w:styleId="T2">
    <w:name w:val="T2"/>
    <w:basedOn w:val="T1"/>
    <w:rsid w:val="006431B7"/>
    <w:pPr>
      <w:spacing w:after="240"/>
      <w:ind w:left="720" w:right="720"/>
    </w:pPr>
  </w:style>
  <w:style w:type="character" w:styleId="Hyperlink">
    <w:name w:val="Hyperlink"/>
    <w:uiPriority w:val="99"/>
    <w:rsid w:val="006431B7"/>
    <w:rPr>
      <w:color w:val="0000FF"/>
      <w:u w:val="single"/>
    </w:rPr>
  </w:style>
  <w:style w:type="character" w:styleId="CommentReference">
    <w:name w:val="annotation reference"/>
    <w:uiPriority w:val="99"/>
    <w:semiHidden/>
    <w:unhideWhenUsed/>
    <w:rsid w:val="00BD41B3"/>
    <w:rPr>
      <w:sz w:val="16"/>
      <w:szCs w:val="16"/>
    </w:rPr>
  </w:style>
  <w:style w:type="paragraph" w:styleId="CommentText">
    <w:name w:val="annotation text"/>
    <w:basedOn w:val="Normal"/>
    <w:link w:val="CommentTextChar"/>
    <w:uiPriority w:val="99"/>
    <w:semiHidden/>
    <w:unhideWhenUsed/>
    <w:rsid w:val="00BD41B3"/>
    <w:rPr>
      <w:sz w:val="20"/>
      <w:szCs w:val="20"/>
    </w:rPr>
  </w:style>
  <w:style w:type="character" w:customStyle="1" w:styleId="CommentTextChar">
    <w:name w:val="Comment Text Char"/>
    <w:basedOn w:val="DefaultParagraphFont"/>
    <w:link w:val="CommentText"/>
    <w:uiPriority w:val="99"/>
    <w:semiHidden/>
    <w:rsid w:val="00BD41B3"/>
  </w:style>
  <w:style w:type="paragraph" w:styleId="CommentSubject">
    <w:name w:val="annotation subject"/>
    <w:basedOn w:val="CommentText"/>
    <w:next w:val="CommentText"/>
    <w:link w:val="CommentSubjectChar"/>
    <w:uiPriority w:val="99"/>
    <w:semiHidden/>
    <w:unhideWhenUsed/>
    <w:rsid w:val="00BD41B3"/>
    <w:rPr>
      <w:b/>
      <w:bCs/>
    </w:rPr>
  </w:style>
  <w:style w:type="character" w:customStyle="1" w:styleId="CommentSubjectChar">
    <w:name w:val="Comment Subject Char"/>
    <w:link w:val="CommentSubject"/>
    <w:uiPriority w:val="99"/>
    <w:semiHidden/>
    <w:rsid w:val="00BD4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425">
      <w:bodyDiv w:val="1"/>
      <w:marLeft w:val="0"/>
      <w:marRight w:val="0"/>
      <w:marTop w:val="0"/>
      <w:marBottom w:val="0"/>
      <w:divBdr>
        <w:top w:val="none" w:sz="0" w:space="0" w:color="auto"/>
        <w:left w:val="none" w:sz="0" w:space="0" w:color="auto"/>
        <w:bottom w:val="none" w:sz="0" w:space="0" w:color="auto"/>
        <w:right w:val="none" w:sz="0" w:space="0" w:color="auto"/>
      </w:divBdr>
    </w:div>
    <w:div w:id="2916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Hamilton</dc:creator>
  <cp:lastModifiedBy>Mark Hamilton</cp:lastModifiedBy>
  <cp:revision>5</cp:revision>
  <cp:lastPrinted>2014-04-22T16:56:00Z</cp:lastPrinted>
  <dcterms:created xsi:type="dcterms:W3CDTF">2014-05-15T01:34:00Z</dcterms:created>
  <dcterms:modified xsi:type="dcterms:W3CDTF">2014-05-15T21:41:00Z</dcterms:modified>
</cp:coreProperties>
</file>