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740CB3" w:rsidP="00740CB3">
            <w:pPr>
              <w:pStyle w:val="T2"/>
            </w:pPr>
            <w:r>
              <w:t>E</w:t>
            </w:r>
            <w:r w:rsidR="006F0473">
              <w:t>ditor's CID resolution</w:t>
            </w:r>
            <w:r>
              <w:t xml:space="preserve"> questions/issues</w:t>
            </w:r>
          </w:p>
        </w:tc>
      </w:tr>
      <w:tr w:rsidR="00CA09B2">
        <w:trPr>
          <w:trHeight w:val="359"/>
          <w:jc w:val="center"/>
        </w:trPr>
        <w:tc>
          <w:tcPr>
            <w:tcW w:w="9576" w:type="dxa"/>
            <w:gridSpan w:val="5"/>
            <w:vAlign w:val="center"/>
          </w:tcPr>
          <w:p w:rsidR="00CA09B2" w:rsidRDefault="00CA09B2" w:rsidP="006F0473">
            <w:pPr>
              <w:pStyle w:val="T2"/>
              <w:ind w:left="0"/>
              <w:rPr>
                <w:sz w:val="20"/>
              </w:rPr>
            </w:pPr>
            <w:r>
              <w:rPr>
                <w:sz w:val="20"/>
              </w:rPr>
              <w:t>Date:</w:t>
            </w:r>
            <w:r>
              <w:rPr>
                <w:b w:val="0"/>
                <w:sz w:val="20"/>
              </w:rPr>
              <w:t xml:space="preserve">  </w:t>
            </w:r>
            <w:r w:rsidR="006F0473">
              <w:rPr>
                <w:b w:val="0"/>
                <w:sz w:val="20"/>
              </w:rPr>
              <w:t>2014</w:t>
            </w:r>
            <w:r>
              <w:rPr>
                <w:b w:val="0"/>
                <w:sz w:val="20"/>
              </w:rPr>
              <w:t>-</w:t>
            </w:r>
            <w:r w:rsidR="006F0473">
              <w:rPr>
                <w:b w:val="0"/>
                <w:sz w:val="20"/>
              </w:rPr>
              <w:t>05</w:t>
            </w:r>
            <w:r>
              <w:rPr>
                <w:b w:val="0"/>
                <w:sz w:val="20"/>
              </w:rPr>
              <w:t>-</w:t>
            </w:r>
            <w:r w:rsidR="006F0473">
              <w:rPr>
                <w:b w:val="0"/>
                <w:sz w:val="20"/>
              </w:rPr>
              <w:t>13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6F0473">
            <w:pPr>
              <w:pStyle w:val="T2"/>
              <w:spacing w:after="0"/>
              <w:ind w:left="0" w:right="0"/>
              <w:rPr>
                <w:b w:val="0"/>
                <w:sz w:val="20"/>
              </w:rPr>
            </w:pPr>
            <w:r>
              <w:rPr>
                <w:b w:val="0"/>
                <w:sz w:val="20"/>
              </w:rPr>
              <w:t>Lee Armstrong</w:t>
            </w:r>
          </w:p>
        </w:tc>
        <w:tc>
          <w:tcPr>
            <w:tcW w:w="2064" w:type="dxa"/>
            <w:vAlign w:val="center"/>
          </w:tcPr>
          <w:p w:rsidR="00CA09B2" w:rsidRDefault="006F0473">
            <w:pPr>
              <w:pStyle w:val="T2"/>
              <w:spacing w:after="0"/>
              <w:ind w:left="0" w:right="0"/>
              <w:rPr>
                <w:b w:val="0"/>
                <w:sz w:val="20"/>
              </w:rPr>
            </w:pPr>
            <w:r>
              <w:rPr>
                <w:b w:val="0"/>
                <w:sz w:val="20"/>
              </w:rPr>
              <w:t>US DoT</w:t>
            </w:r>
          </w:p>
        </w:tc>
        <w:tc>
          <w:tcPr>
            <w:tcW w:w="2814" w:type="dxa"/>
            <w:vAlign w:val="center"/>
          </w:tcPr>
          <w:p w:rsidR="00CA09B2" w:rsidRDefault="006F0473">
            <w:pPr>
              <w:pStyle w:val="T2"/>
              <w:spacing w:after="0"/>
              <w:ind w:left="0" w:right="0"/>
              <w:rPr>
                <w:b w:val="0"/>
                <w:sz w:val="20"/>
              </w:rPr>
            </w:pPr>
            <w:r>
              <w:rPr>
                <w:b w:val="0"/>
                <w:sz w:val="20"/>
              </w:rPr>
              <w:t>132 Fomer Road</w:t>
            </w:r>
            <w:r>
              <w:rPr>
                <w:b w:val="0"/>
                <w:sz w:val="20"/>
              </w:rPr>
              <w:br/>
              <w:t>Southampton, MA 01073</w:t>
            </w:r>
            <w:r>
              <w:rPr>
                <w:b w:val="0"/>
                <w:sz w:val="20"/>
              </w:rPr>
              <w:br/>
              <w:t>USA</w:t>
            </w:r>
          </w:p>
        </w:tc>
        <w:tc>
          <w:tcPr>
            <w:tcW w:w="1715" w:type="dxa"/>
            <w:vAlign w:val="center"/>
          </w:tcPr>
          <w:p w:rsidR="00CA09B2" w:rsidRDefault="006F0473">
            <w:pPr>
              <w:pStyle w:val="T2"/>
              <w:spacing w:after="0"/>
              <w:ind w:left="0" w:right="0"/>
              <w:rPr>
                <w:b w:val="0"/>
                <w:sz w:val="20"/>
              </w:rPr>
            </w:pPr>
            <w:r>
              <w:rPr>
                <w:b w:val="0"/>
                <w:sz w:val="20"/>
              </w:rPr>
              <w:t>617 620 1701</w:t>
            </w:r>
          </w:p>
        </w:tc>
        <w:tc>
          <w:tcPr>
            <w:tcW w:w="1647" w:type="dxa"/>
            <w:vAlign w:val="center"/>
          </w:tcPr>
          <w:p w:rsidR="00CA09B2" w:rsidRDefault="006F0473">
            <w:pPr>
              <w:pStyle w:val="T2"/>
              <w:spacing w:after="0"/>
              <w:ind w:left="0" w:right="0"/>
              <w:rPr>
                <w:b w:val="0"/>
                <w:sz w:val="16"/>
              </w:rPr>
            </w:pPr>
            <w:r>
              <w:rPr>
                <w:b w:val="0"/>
                <w:sz w:val="16"/>
              </w:rPr>
              <w:t>lra@tiac.net</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2C24D6">
      <w:pPr>
        <w:pStyle w:val="T1"/>
        <w:spacing w:after="120"/>
        <w:rPr>
          <w:sz w:val="22"/>
        </w:rPr>
      </w:pPr>
      <w:r w:rsidRPr="002C24D6">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6F0473">
                  <w:pPr>
                    <w:jc w:val="both"/>
                  </w:pPr>
                  <w:r>
                    <w:t>Some of the comments assigned to the editor need to be either reassigned or need group approval that they are editorial rather than technical.</w:t>
                  </w:r>
                </w:p>
              </w:txbxContent>
            </v:textbox>
          </v:shape>
        </w:pict>
      </w:r>
    </w:p>
    <w:p w:rsidR="00CA09B2" w:rsidRDefault="00CA09B2" w:rsidP="00740CB3">
      <w:r>
        <w:br w:type="page"/>
      </w:r>
      <w:r w:rsidR="00740CB3">
        <w:lastRenderedPageBreak/>
        <w:t>The following comments need to be brought to the attention of TGai for additional input or approval.</w:t>
      </w:r>
    </w:p>
    <w:p w:rsidR="00740CB3" w:rsidRDefault="00740CB3" w:rsidP="00740CB3"/>
    <w:tbl>
      <w:tblPr>
        <w:tblW w:w="10530" w:type="dxa"/>
        <w:tblInd w:w="-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720"/>
        <w:gridCol w:w="450"/>
        <w:gridCol w:w="450"/>
        <w:gridCol w:w="720"/>
        <w:gridCol w:w="1800"/>
        <w:gridCol w:w="1890"/>
        <w:gridCol w:w="2970"/>
        <w:gridCol w:w="1530"/>
      </w:tblGrid>
      <w:tr w:rsidR="009066EC" w:rsidTr="009066EC">
        <w:tc>
          <w:tcPr>
            <w:tcW w:w="720" w:type="dxa"/>
            <w:tcBorders>
              <w:bottom w:val="single" w:sz="12" w:space="0" w:color="000000"/>
            </w:tcBorders>
            <w:shd w:val="clear" w:color="auto" w:fill="auto"/>
          </w:tcPr>
          <w:p w:rsidR="007712CC" w:rsidRDefault="007712CC" w:rsidP="00740CB3">
            <w:r>
              <w:t>CID</w:t>
            </w:r>
          </w:p>
          <w:p w:rsidR="007712CC" w:rsidRPr="00740CB3" w:rsidRDefault="007712CC" w:rsidP="009066EC">
            <w:pPr>
              <w:tabs>
                <w:tab w:val="left" w:pos="676"/>
              </w:tabs>
            </w:pPr>
            <w:r>
              <w:tab/>
            </w:r>
          </w:p>
        </w:tc>
        <w:tc>
          <w:tcPr>
            <w:tcW w:w="450" w:type="dxa"/>
            <w:tcBorders>
              <w:bottom w:val="single" w:sz="12" w:space="0" w:color="000000"/>
            </w:tcBorders>
            <w:shd w:val="clear" w:color="auto" w:fill="auto"/>
          </w:tcPr>
          <w:p w:rsidR="007712CC" w:rsidRDefault="007712CC" w:rsidP="00740CB3">
            <w:r>
              <w:t>Page</w:t>
            </w:r>
          </w:p>
        </w:tc>
        <w:tc>
          <w:tcPr>
            <w:tcW w:w="450" w:type="dxa"/>
            <w:tcBorders>
              <w:bottom w:val="single" w:sz="12" w:space="0" w:color="000000"/>
            </w:tcBorders>
            <w:shd w:val="clear" w:color="auto" w:fill="auto"/>
          </w:tcPr>
          <w:p w:rsidR="007712CC" w:rsidRDefault="007712CC" w:rsidP="00740CB3">
            <w:r>
              <w:t>Line</w:t>
            </w:r>
          </w:p>
        </w:tc>
        <w:tc>
          <w:tcPr>
            <w:tcW w:w="720" w:type="dxa"/>
            <w:tcBorders>
              <w:bottom w:val="single" w:sz="12" w:space="0" w:color="000000"/>
            </w:tcBorders>
            <w:shd w:val="clear" w:color="auto" w:fill="auto"/>
          </w:tcPr>
          <w:p w:rsidR="007712CC" w:rsidRDefault="007712CC" w:rsidP="00740CB3">
            <w:r>
              <w:t>Clause</w:t>
            </w:r>
          </w:p>
        </w:tc>
        <w:tc>
          <w:tcPr>
            <w:tcW w:w="1800" w:type="dxa"/>
            <w:tcBorders>
              <w:bottom w:val="single" w:sz="12" w:space="0" w:color="000000"/>
            </w:tcBorders>
            <w:shd w:val="clear" w:color="auto" w:fill="auto"/>
          </w:tcPr>
          <w:p w:rsidR="007712CC" w:rsidRDefault="007712CC" w:rsidP="00740CB3">
            <w:r>
              <w:t>Comment</w:t>
            </w:r>
          </w:p>
        </w:tc>
        <w:tc>
          <w:tcPr>
            <w:tcW w:w="1890" w:type="dxa"/>
            <w:tcBorders>
              <w:bottom w:val="single" w:sz="12" w:space="0" w:color="000000"/>
            </w:tcBorders>
            <w:shd w:val="clear" w:color="auto" w:fill="auto"/>
          </w:tcPr>
          <w:p w:rsidR="007712CC" w:rsidRDefault="007712CC" w:rsidP="00740CB3">
            <w:r>
              <w:t>Proposed Resolution</w:t>
            </w:r>
          </w:p>
        </w:tc>
        <w:tc>
          <w:tcPr>
            <w:tcW w:w="2970" w:type="dxa"/>
            <w:tcBorders>
              <w:bottom w:val="single" w:sz="12" w:space="0" w:color="000000"/>
            </w:tcBorders>
            <w:shd w:val="clear" w:color="auto" w:fill="auto"/>
          </w:tcPr>
          <w:p w:rsidR="007712CC" w:rsidRDefault="007712CC" w:rsidP="00740CB3">
            <w:r>
              <w:t>Issue or recommendation</w:t>
            </w:r>
          </w:p>
        </w:tc>
        <w:tc>
          <w:tcPr>
            <w:tcW w:w="1530" w:type="dxa"/>
            <w:tcBorders>
              <w:bottom w:val="single" w:sz="12" w:space="0" w:color="000000"/>
            </w:tcBorders>
            <w:shd w:val="clear" w:color="auto" w:fill="auto"/>
          </w:tcPr>
          <w:p w:rsidR="007712CC" w:rsidRDefault="007712CC" w:rsidP="00740CB3">
            <w:r>
              <w:t>Action</w:t>
            </w:r>
          </w:p>
        </w:tc>
      </w:tr>
      <w:tr w:rsidR="009066EC" w:rsidTr="009066EC">
        <w:tc>
          <w:tcPr>
            <w:tcW w:w="720" w:type="dxa"/>
            <w:shd w:val="clear" w:color="auto" w:fill="auto"/>
          </w:tcPr>
          <w:p w:rsidR="007712CC" w:rsidRDefault="007712CC" w:rsidP="00740CB3">
            <w:r>
              <w:t>4862</w:t>
            </w:r>
          </w:p>
        </w:tc>
        <w:tc>
          <w:tcPr>
            <w:tcW w:w="450" w:type="dxa"/>
            <w:shd w:val="clear" w:color="auto" w:fill="auto"/>
          </w:tcPr>
          <w:p w:rsidR="007712CC" w:rsidRDefault="007712CC" w:rsidP="00740CB3"/>
        </w:tc>
        <w:tc>
          <w:tcPr>
            <w:tcW w:w="450" w:type="dxa"/>
            <w:shd w:val="clear" w:color="auto" w:fill="auto"/>
          </w:tcPr>
          <w:p w:rsidR="007712CC" w:rsidRDefault="007712CC" w:rsidP="00740CB3"/>
        </w:tc>
        <w:tc>
          <w:tcPr>
            <w:tcW w:w="720" w:type="dxa"/>
            <w:shd w:val="clear" w:color="auto" w:fill="auto"/>
          </w:tcPr>
          <w:p w:rsidR="007712CC" w:rsidRDefault="007712CC" w:rsidP="00740CB3"/>
        </w:tc>
        <w:tc>
          <w:tcPr>
            <w:tcW w:w="1800" w:type="dxa"/>
            <w:shd w:val="clear" w:color="auto" w:fill="auto"/>
          </w:tcPr>
          <w:p w:rsidR="007712CC" w:rsidRDefault="007712CC" w:rsidP="00740CB3">
            <w:r w:rsidRPr="003A74EA">
              <w:t>I'm not clear on what the difference is between "(conditional)" and "(optional)"</w:t>
            </w:r>
          </w:p>
        </w:tc>
        <w:tc>
          <w:tcPr>
            <w:tcW w:w="1890" w:type="dxa"/>
            <w:shd w:val="clear" w:color="auto" w:fill="auto"/>
          </w:tcPr>
          <w:p w:rsidR="007712CC" w:rsidRDefault="007712CC" w:rsidP="00740CB3">
            <w:r w:rsidRPr="003A74EA">
              <w:t>Always say "optional"</w:t>
            </w:r>
          </w:p>
        </w:tc>
        <w:tc>
          <w:tcPr>
            <w:tcW w:w="2970" w:type="dxa"/>
            <w:shd w:val="clear" w:color="auto" w:fill="auto"/>
          </w:tcPr>
          <w:p w:rsidR="007712CC" w:rsidRDefault="007712CC" w:rsidP="00740CB3">
            <w:r w:rsidRPr="003A74EA">
              <w:t>There is no page/line/clause number so it is not clear which usage of the term is of concern. The word "conditional" appears multiple places. The two terms are not synonymous:  "Conditional" means that the decision is based on certain pre-established and agreed upon criteria whereas "optional" is open and left for the implementor to decide by whatever criteria they may wish to use.</w:t>
            </w:r>
            <w:r>
              <w:br/>
            </w:r>
            <w:r w:rsidRPr="003A74EA">
              <w:t>Suggest that Ping review all instances of "conditional" to ensure that it is used properly. There are currently no instances of "optional" in the document.</w:t>
            </w:r>
          </w:p>
        </w:tc>
        <w:tc>
          <w:tcPr>
            <w:tcW w:w="1530" w:type="dxa"/>
            <w:shd w:val="clear" w:color="auto" w:fill="auto"/>
          </w:tcPr>
          <w:p w:rsidR="007712CC" w:rsidRPr="003A74EA" w:rsidRDefault="007712CC" w:rsidP="00740CB3">
            <w:r>
              <w:t>Reassign to Ping</w:t>
            </w:r>
          </w:p>
        </w:tc>
      </w:tr>
      <w:tr w:rsidR="009066EC" w:rsidTr="009066EC">
        <w:tc>
          <w:tcPr>
            <w:tcW w:w="720" w:type="dxa"/>
            <w:shd w:val="clear" w:color="auto" w:fill="auto"/>
          </w:tcPr>
          <w:p w:rsidR="007712CC" w:rsidRDefault="007712CC" w:rsidP="00740CB3">
            <w:r>
              <w:t>4767</w:t>
            </w:r>
          </w:p>
        </w:tc>
        <w:tc>
          <w:tcPr>
            <w:tcW w:w="450" w:type="dxa"/>
            <w:shd w:val="clear" w:color="auto" w:fill="auto"/>
          </w:tcPr>
          <w:p w:rsidR="007712CC" w:rsidRDefault="007712CC" w:rsidP="00740CB3"/>
        </w:tc>
        <w:tc>
          <w:tcPr>
            <w:tcW w:w="450" w:type="dxa"/>
            <w:shd w:val="clear" w:color="auto" w:fill="auto"/>
          </w:tcPr>
          <w:p w:rsidR="007712CC" w:rsidRDefault="007712CC" w:rsidP="00740CB3"/>
        </w:tc>
        <w:tc>
          <w:tcPr>
            <w:tcW w:w="720" w:type="dxa"/>
            <w:shd w:val="clear" w:color="auto" w:fill="auto"/>
          </w:tcPr>
          <w:p w:rsidR="007712CC" w:rsidRDefault="007712CC" w:rsidP="00740CB3"/>
        </w:tc>
        <w:tc>
          <w:tcPr>
            <w:tcW w:w="1800" w:type="dxa"/>
            <w:shd w:val="clear" w:color="auto" w:fill="auto"/>
          </w:tcPr>
          <w:p w:rsidR="007712CC" w:rsidRDefault="007712CC" w:rsidP="00740CB3">
            <w:r w:rsidRPr="003A74EA">
              <w:t>A lot of articles (a/an/the) are missing</w:t>
            </w:r>
          </w:p>
        </w:tc>
        <w:tc>
          <w:tcPr>
            <w:tcW w:w="1890" w:type="dxa"/>
            <w:shd w:val="clear" w:color="auto" w:fill="auto"/>
          </w:tcPr>
          <w:p w:rsidR="007712CC" w:rsidRDefault="007712CC" w:rsidP="00740CB3">
            <w:r w:rsidRPr="003A74EA">
              <w:t>Add missing articles</w:t>
            </w:r>
          </w:p>
        </w:tc>
        <w:tc>
          <w:tcPr>
            <w:tcW w:w="2970" w:type="dxa"/>
            <w:shd w:val="clear" w:color="auto" w:fill="auto"/>
          </w:tcPr>
          <w:p w:rsidR="007712CC" w:rsidRDefault="007712CC" w:rsidP="003A74EA">
            <w:r>
              <w:t xml:space="preserve">The problem here is that it takes a massive amount of effort to do this and one can never say with certainty that the document is 100% right. </w:t>
            </w:r>
            <w:r w:rsidRPr="003A74EA">
              <w:t>Editor will make a best effort to fix all such thing</w:t>
            </w:r>
            <w:r>
              <w:t>s in the next draft, but cannot say that the comment is "accepted" and a "revised" response represents only a best effort to resolve</w:t>
            </w:r>
            <w:r w:rsidRPr="003A74EA">
              <w:t>.</w:t>
            </w:r>
          </w:p>
        </w:tc>
        <w:tc>
          <w:tcPr>
            <w:tcW w:w="1530" w:type="dxa"/>
            <w:shd w:val="clear" w:color="auto" w:fill="auto"/>
          </w:tcPr>
          <w:p w:rsidR="007712CC" w:rsidRDefault="007712CC" w:rsidP="003A74EA">
            <w:r>
              <w:t>Notice to TG, no action required</w:t>
            </w:r>
          </w:p>
        </w:tc>
      </w:tr>
      <w:tr w:rsidR="009066EC" w:rsidTr="009066EC">
        <w:tc>
          <w:tcPr>
            <w:tcW w:w="720" w:type="dxa"/>
            <w:shd w:val="clear" w:color="auto" w:fill="auto"/>
          </w:tcPr>
          <w:p w:rsidR="007712CC" w:rsidRDefault="007712CC" w:rsidP="00740CB3">
            <w:r>
              <w:t>4102</w:t>
            </w:r>
          </w:p>
        </w:tc>
        <w:tc>
          <w:tcPr>
            <w:tcW w:w="450" w:type="dxa"/>
            <w:shd w:val="clear" w:color="auto" w:fill="auto"/>
          </w:tcPr>
          <w:p w:rsidR="007712CC" w:rsidRDefault="007712CC" w:rsidP="00740CB3">
            <w:r>
              <w:t>4</w:t>
            </w:r>
          </w:p>
        </w:tc>
        <w:tc>
          <w:tcPr>
            <w:tcW w:w="450" w:type="dxa"/>
            <w:shd w:val="clear" w:color="auto" w:fill="auto"/>
          </w:tcPr>
          <w:p w:rsidR="007712CC" w:rsidRDefault="007712CC" w:rsidP="00740CB3">
            <w:r>
              <w:t>3</w:t>
            </w:r>
          </w:p>
        </w:tc>
        <w:tc>
          <w:tcPr>
            <w:tcW w:w="720" w:type="dxa"/>
            <w:shd w:val="clear" w:color="auto" w:fill="auto"/>
          </w:tcPr>
          <w:p w:rsidR="007712CC" w:rsidRDefault="007712CC" w:rsidP="00740CB3">
            <w:r>
              <w:t>3.3</w:t>
            </w:r>
          </w:p>
        </w:tc>
        <w:tc>
          <w:tcPr>
            <w:tcW w:w="1800" w:type="dxa"/>
            <w:shd w:val="clear" w:color="auto" w:fill="auto"/>
          </w:tcPr>
          <w:p w:rsidR="007712CC" w:rsidRDefault="007712CC" w:rsidP="00740CB3">
            <w:r w:rsidRPr="005016F8">
              <w:t>"CSN" is used by itself in the text, but not defined here.</w:t>
            </w:r>
          </w:p>
        </w:tc>
        <w:tc>
          <w:tcPr>
            <w:tcW w:w="1890" w:type="dxa"/>
            <w:shd w:val="clear" w:color="auto" w:fill="auto"/>
          </w:tcPr>
          <w:p w:rsidR="007712CC" w:rsidRDefault="007712CC" w:rsidP="00740CB3">
            <w:r w:rsidRPr="005016F8">
              <w:t>Insert " CSN           configuration sequence number "</w:t>
            </w:r>
          </w:p>
        </w:tc>
        <w:tc>
          <w:tcPr>
            <w:tcW w:w="2970" w:type="dxa"/>
            <w:shd w:val="clear" w:color="auto" w:fill="auto"/>
          </w:tcPr>
          <w:p w:rsidR="007712CC" w:rsidRDefault="007712CC" w:rsidP="00740CB3">
            <w:r w:rsidRPr="005016F8">
              <w:t>REJECTED (EDITOR: 2014-05-12 22:10:23Z)AP-CSN is defined here and "CSN" is thus defined as part of that. The only time that CSN is used by itself is as part of the AP-CSN description so it is felt that it is not necessary to add this.</w:t>
            </w:r>
          </w:p>
        </w:tc>
        <w:tc>
          <w:tcPr>
            <w:tcW w:w="1530" w:type="dxa"/>
            <w:shd w:val="clear" w:color="auto" w:fill="auto"/>
          </w:tcPr>
          <w:p w:rsidR="007712CC" w:rsidRPr="005016F8" w:rsidRDefault="007712CC" w:rsidP="00740CB3">
            <w:r>
              <w:t>Approve of this resolution?</w:t>
            </w:r>
          </w:p>
        </w:tc>
      </w:tr>
      <w:tr w:rsidR="009066EC" w:rsidTr="009066EC">
        <w:tc>
          <w:tcPr>
            <w:tcW w:w="720" w:type="dxa"/>
            <w:shd w:val="clear" w:color="auto" w:fill="auto"/>
          </w:tcPr>
          <w:p w:rsidR="007712CC" w:rsidRDefault="007E01C7" w:rsidP="00740CB3">
            <w:r>
              <w:t>4109</w:t>
            </w:r>
          </w:p>
        </w:tc>
        <w:tc>
          <w:tcPr>
            <w:tcW w:w="450" w:type="dxa"/>
            <w:shd w:val="clear" w:color="auto" w:fill="auto"/>
          </w:tcPr>
          <w:p w:rsidR="007712CC" w:rsidRDefault="007E01C7" w:rsidP="00740CB3">
            <w:r>
              <w:t>10</w:t>
            </w:r>
          </w:p>
        </w:tc>
        <w:tc>
          <w:tcPr>
            <w:tcW w:w="450" w:type="dxa"/>
            <w:shd w:val="clear" w:color="auto" w:fill="auto"/>
          </w:tcPr>
          <w:p w:rsidR="007712CC" w:rsidRDefault="007E01C7" w:rsidP="00740CB3">
            <w:r>
              <w:t>45</w:t>
            </w:r>
          </w:p>
        </w:tc>
        <w:tc>
          <w:tcPr>
            <w:tcW w:w="720" w:type="dxa"/>
            <w:shd w:val="clear" w:color="auto" w:fill="auto"/>
          </w:tcPr>
          <w:p w:rsidR="007712CC" w:rsidRDefault="007E01C7" w:rsidP="00740CB3">
            <w:r>
              <w:t>6.3.3.3.1</w:t>
            </w:r>
          </w:p>
        </w:tc>
        <w:tc>
          <w:tcPr>
            <w:tcW w:w="1800" w:type="dxa"/>
            <w:shd w:val="clear" w:color="auto" w:fill="auto"/>
          </w:tcPr>
          <w:p w:rsidR="007712CC" w:rsidRDefault="007E01C7" w:rsidP="00740CB3">
            <w:r w:rsidRPr="007E01C7">
              <w:t xml:space="preserve">"when the MLME-SCAN.request has ReportingOption parameter set to CHANNEL_SPECIFIC or to AT_END.":  </w:t>
            </w:r>
            <w:r w:rsidRPr="007E01C7">
              <w:lastRenderedPageBreak/>
              <w:t>confusing description.</w:t>
            </w:r>
          </w:p>
        </w:tc>
        <w:tc>
          <w:tcPr>
            <w:tcW w:w="1890" w:type="dxa"/>
            <w:shd w:val="clear" w:color="auto" w:fill="auto"/>
          </w:tcPr>
          <w:p w:rsidR="007712CC" w:rsidRDefault="007E01C7" w:rsidP="00740CB3">
            <w:r w:rsidRPr="007E01C7">
              <w:lastRenderedPageBreak/>
              <w:t xml:space="preserve">Replace with "when the value of the ReportingOption parameter in the MLME-SCAN.request is CHANNEL_SPECIFIC or </w:t>
            </w:r>
            <w:r w:rsidRPr="007E01C7">
              <w:lastRenderedPageBreak/>
              <w:t>AT_END."  Also replace "may" with "can".</w:t>
            </w:r>
          </w:p>
        </w:tc>
        <w:tc>
          <w:tcPr>
            <w:tcW w:w="2970" w:type="dxa"/>
            <w:shd w:val="clear" w:color="auto" w:fill="auto"/>
          </w:tcPr>
          <w:p w:rsidR="007712CC" w:rsidRDefault="007E01C7" w:rsidP="00740CB3">
            <w:r w:rsidRPr="007E01C7">
              <w:lastRenderedPageBreak/>
              <w:t xml:space="preserve">Did not change the "may" with "can" as they have different meanings: MAY = equivalent to "is allowed to", "is permitted to"" and "CAN = equivalent to "is able to" or "is allowed to, as defined elsewhere in this standard" ". </w:t>
            </w:r>
            <w:r w:rsidRPr="009066EC">
              <w:rPr>
                <w:color w:val="FF0000"/>
              </w:rPr>
              <w:t xml:space="preserve">Thus such a change would be </w:t>
            </w:r>
            <w:r w:rsidRPr="009066EC">
              <w:rPr>
                <w:color w:val="FF0000"/>
              </w:rPr>
              <w:lastRenderedPageBreak/>
              <w:t>considered technical</w:t>
            </w:r>
            <w:r w:rsidRPr="007E01C7">
              <w:t>.</w:t>
            </w:r>
          </w:p>
        </w:tc>
        <w:tc>
          <w:tcPr>
            <w:tcW w:w="1530" w:type="dxa"/>
            <w:shd w:val="clear" w:color="auto" w:fill="auto"/>
          </w:tcPr>
          <w:p w:rsidR="007712CC" w:rsidRDefault="007E01C7" w:rsidP="00740CB3">
            <w:r>
              <w:lastRenderedPageBreak/>
              <w:t>Is this technical?</w:t>
            </w:r>
          </w:p>
        </w:tc>
      </w:tr>
      <w:tr w:rsidR="009066EC" w:rsidTr="009066EC">
        <w:tc>
          <w:tcPr>
            <w:tcW w:w="720" w:type="dxa"/>
            <w:shd w:val="clear" w:color="auto" w:fill="auto"/>
          </w:tcPr>
          <w:p w:rsidR="007712CC" w:rsidRDefault="002657A5" w:rsidP="00740CB3">
            <w:r>
              <w:lastRenderedPageBreak/>
              <w:t>4820</w:t>
            </w:r>
          </w:p>
        </w:tc>
        <w:tc>
          <w:tcPr>
            <w:tcW w:w="450" w:type="dxa"/>
            <w:shd w:val="clear" w:color="auto" w:fill="auto"/>
          </w:tcPr>
          <w:p w:rsidR="007712CC" w:rsidRDefault="007712CC" w:rsidP="00740CB3"/>
        </w:tc>
        <w:tc>
          <w:tcPr>
            <w:tcW w:w="450" w:type="dxa"/>
            <w:shd w:val="clear" w:color="auto" w:fill="auto"/>
          </w:tcPr>
          <w:p w:rsidR="007712CC" w:rsidRDefault="007712CC" w:rsidP="00740CB3"/>
        </w:tc>
        <w:tc>
          <w:tcPr>
            <w:tcW w:w="720" w:type="dxa"/>
            <w:shd w:val="clear" w:color="auto" w:fill="auto"/>
          </w:tcPr>
          <w:p w:rsidR="007712CC" w:rsidRDefault="007712CC" w:rsidP="00740CB3"/>
        </w:tc>
        <w:tc>
          <w:tcPr>
            <w:tcW w:w="1800" w:type="dxa"/>
            <w:shd w:val="clear" w:color="auto" w:fill="auto"/>
          </w:tcPr>
          <w:p w:rsidR="007712CC" w:rsidRDefault="002657A5" w:rsidP="00740CB3">
            <w:r w:rsidRPr="002657A5">
              <w:t>"HLP frame" does not make sense, since a frame is an MPDU</w:t>
            </w:r>
          </w:p>
        </w:tc>
        <w:tc>
          <w:tcPr>
            <w:tcW w:w="1890" w:type="dxa"/>
            <w:shd w:val="clear" w:color="auto" w:fill="auto"/>
          </w:tcPr>
          <w:p w:rsidR="007712CC" w:rsidRDefault="002657A5" w:rsidP="00740CB3">
            <w:r w:rsidRPr="002657A5">
              <w:t>Change to "HLP packet" or something</w:t>
            </w:r>
          </w:p>
        </w:tc>
        <w:tc>
          <w:tcPr>
            <w:tcW w:w="2970" w:type="dxa"/>
            <w:shd w:val="clear" w:color="auto" w:fill="auto"/>
          </w:tcPr>
          <w:p w:rsidR="007712CC" w:rsidRDefault="002657A5" w:rsidP="00740CB3">
            <w:r w:rsidRPr="002657A5">
              <w:t>First, there is no page/line/clause number. Did manage to find the term in Clause 8, but also in Clause 10 where it is fully defined. To change it in Clause 8 would make it conflict with Clause 10, to change it in Clause 10 would be a technical change.</w:t>
            </w:r>
          </w:p>
        </w:tc>
        <w:tc>
          <w:tcPr>
            <w:tcW w:w="1530" w:type="dxa"/>
            <w:shd w:val="clear" w:color="auto" w:fill="auto"/>
          </w:tcPr>
          <w:p w:rsidR="007712CC" w:rsidRDefault="002657A5" w:rsidP="00740CB3">
            <w:r>
              <w:t>Make change? If so it is technical.</w:t>
            </w:r>
          </w:p>
          <w:p w:rsidR="002657A5" w:rsidRDefault="002657A5" w:rsidP="00740CB3"/>
        </w:tc>
      </w:tr>
      <w:tr w:rsidR="009066EC" w:rsidTr="009066EC">
        <w:tc>
          <w:tcPr>
            <w:tcW w:w="720" w:type="dxa"/>
            <w:shd w:val="clear" w:color="auto" w:fill="auto"/>
          </w:tcPr>
          <w:p w:rsidR="002657A5" w:rsidRDefault="00BB147A" w:rsidP="00740CB3">
            <w:r>
              <w:t>4323</w:t>
            </w:r>
          </w:p>
        </w:tc>
        <w:tc>
          <w:tcPr>
            <w:tcW w:w="450" w:type="dxa"/>
            <w:shd w:val="clear" w:color="auto" w:fill="auto"/>
          </w:tcPr>
          <w:p w:rsidR="002657A5" w:rsidRDefault="002657A5" w:rsidP="00740CB3"/>
        </w:tc>
        <w:tc>
          <w:tcPr>
            <w:tcW w:w="450" w:type="dxa"/>
            <w:shd w:val="clear" w:color="auto" w:fill="auto"/>
          </w:tcPr>
          <w:p w:rsidR="002657A5" w:rsidRDefault="002657A5" w:rsidP="00740CB3"/>
        </w:tc>
        <w:tc>
          <w:tcPr>
            <w:tcW w:w="720" w:type="dxa"/>
            <w:shd w:val="clear" w:color="auto" w:fill="auto"/>
          </w:tcPr>
          <w:p w:rsidR="002657A5" w:rsidRDefault="002657A5" w:rsidP="00740CB3"/>
        </w:tc>
        <w:tc>
          <w:tcPr>
            <w:tcW w:w="1800" w:type="dxa"/>
            <w:shd w:val="clear" w:color="auto" w:fill="auto"/>
          </w:tcPr>
          <w:p w:rsidR="002657A5" w:rsidRPr="002657A5" w:rsidRDefault="00BB147A" w:rsidP="00740CB3">
            <w:r w:rsidRPr="00BB147A">
              <w:t>FILS PTKSA definition is missing in the draft</w:t>
            </w:r>
          </w:p>
        </w:tc>
        <w:tc>
          <w:tcPr>
            <w:tcW w:w="1890" w:type="dxa"/>
            <w:shd w:val="clear" w:color="auto" w:fill="auto"/>
          </w:tcPr>
          <w:p w:rsidR="002657A5" w:rsidRPr="002657A5" w:rsidRDefault="00BB147A" w:rsidP="00740CB3">
            <w:r w:rsidRPr="00BB147A">
              <w:t>FILS PTKSA should be define at 11.5.1.1.13</w:t>
            </w:r>
          </w:p>
        </w:tc>
        <w:tc>
          <w:tcPr>
            <w:tcW w:w="2970" w:type="dxa"/>
            <w:shd w:val="clear" w:color="auto" w:fill="auto"/>
          </w:tcPr>
          <w:p w:rsidR="002657A5" w:rsidRPr="002657A5" w:rsidRDefault="00BB147A" w:rsidP="00740CB3">
            <w:r w:rsidRPr="00BB147A">
              <w:t>PTKSA is defined in the base standard and used frequently in Clause 11. This one instance which has "FILS" in front of it needs to be reviewed  by the group to determine if it is anything different than any other instance of PTKSA. Perhaps the "FILS" should be removed here.</w:t>
            </w:r>
          </w:p>
        </w:tc>
        <w:tc>
          <w:tcPr>
            <w:tcW w:w="1530" w:type="dxa"/>
            <w:shd w:val="clear" w:color="auto" w:fill="auto"/>
          </w:tcPr>
          <w:p w:rsidR="002657A5" w:rsidRDefault="00BB147A" w:rsidP="00740CB3">
            <w:r>
              <w:t>Make change?</w:t>
            </w:r>
          </w:p>
        </w:tc>
      </w:tr>
      <w:tr w:rsidR="009066EC" w:rsidTr="009066EC">
        <w:tc>
          <w:tcPr>
            <w:tcW w:w="720" w:type="dxa"/>
            <w:shd w:val="clear" w:color="auto" w:fill="auto"/>
          </w:tcPr>
          <w:p w:rsidR="002657A5" w:rsidRDefault="008F0379" w:rsidP="00740CB3">
            <w:r>
              <w:t>4861</w:t>
            </w:r>
          </w:p>
        </w:tc>
        <w:tc>
          <w:tcPr>
            <w:tcW w:w="450" w:type="dxa"/>
            <w:shd w:val="clear" w:color="auto" w:fill="auto"/>
          </w:tcPr>
          <w:p w:rsidR="002657A5" w:rsidRDefault="002657A5" w:rsidP="00740CB3"/>
        </w:tc>
        <w:tc>
          <w:tcPr>
            <w:tcW w:w="450" w:type="dxa"/>
            <w:shd w:val="clear" w:color="auto" w:fill="auto"/>
          </w:tcPr>
          <w:p w:rsidR="002657A5" w:rsidRDefault="002657A5" w:rsidP="00740CB3"/>
        </w:tc>
        <w:tc>
          <w:tcPr>
            <w:tcW w:w="720" w:type="dxa"/>
            <w:shd w:val="clear" w:color="auto" w:fill="auto"/>
          </w:tcPr>
          <w:p w:rsidR="002657A5" w:rsidRDefault="002657A5" w:rsidP="00740CB3"/>
        </w:tc>
        <w:tc>
          <w:tcPr>
            <w:tcW w:w="1800" w:type="dxa"/>
            <w:shd w:val="clear" w:color="auto" w:fill="auto"/>
          </w:tcPr>
          <w:p w:rsidR="002657A5" w:rsidRPr="002657A5" w:rsidRDefault="008F0379" w:rsidP="00740CB3">
            <w:r w:rsidRPr="008F0379">
              <w:t>(Sub)field names should have leading caps</w:t>
            </w:r>
          </w:p>
        </w:tc>
        <w:tc>
          <w:tcPr>
            <w:tcW w:w="1890" w:type="dxa"/>
            <w:shd w:val="clear" w:color="auto" w:fill="auto"/>
          </w:tcPr>
          <w:p w:rsidR="002657A5" w:rsidRPr="002657A5" w:rsidRDefault="008F0379" w:rsidP="00740CB3">
            <w:r w:rsidRPr="008F0379">
              <w:t>(Sub)field names should have leading caps</w:t>
            </w:r>
          </w:p>
        </w:tc>
        <w:tc>
          <w:tcPr>
            <w:tcW w:w="2970" w:type="dxa"/>
            <w:shd w:val="clear" w:color="auto" w:fill="auto"/>
          </w:tcPr>
          <w:p w:rsidR="002657A5" w:rsidRPr="002657A5" w:rsidRDefault="002657A5" w:rsidP="00740CB3"/>
        </w:tc>
        <w:tc>
          <w:tcPr>
            <w:tcW w:w="1530" w:type="dxa"/>
            <w:shd w:val="clear" w:color="auto" w:fill="auto"/>
          </w:tcPr>
          <w:p w:rsidR="002657A5" w:rsidRDefault="008F0379" w:rsidP="00740CB3">
            <w:r>
              <w:t>Reassign to Ping</w:t>
            </w:r>
          </w:p>
        </w:tc>
      </w:tr>
      <w:tr w:rsidR="009066EC" w:rsidTr="009066EC">
        <w:tc>
          <w:tcPr>
            <w:tcW w:w="720" w:type="dxa"/>
            <w:shd w:val="clear" w:color="auto" w:fill="auto"/>
          </w:tcPr>
          <w:p w:rsidR="008F0379" w:rsidRDefault="008F0379" w:rsidP="00740CB3">
            <w:r>
              <w:t>4789</w:t>
            </w:r>
          </w:p>
        </w:tc>
        <w:tc>
          <w:tcPr>
            <w:tcW w:w="450" w:type="dxa"/>
            <w:shd w:val="clear" w:color="auto" w:fill="auto"/>
          </w:tcPr>
          <w:p w:rsidR="008F0379" w:rsidRDefault="008F0379" w:rsidP="00740CB3"/>
        </w:tc>
        <w:tc>
          <w:tcPr>
            <w:tcW w:w="450" w:type="dxa"/>
            <w:shd w:val="clear" w:color="auto" w:fill="auto"/>
          </w:tcPr>
          <w:p w:rsidR="008F0379" w:rsidRDefault="008F0379" w:rsidP="00740CB3"/>
        </w:tc>
        <w:tc>
          <w:tcPr>
            <w:tcW w:w="720" w:type="dxa"/>
            <w:shd w:val="clear" w:color="auto" w:fill="auto"/>
          </w:tcPr>
          <w:p w:rsidR="008F0379" w:rsidRDefault="008F0379" w:rsidP="00740CB3"/>
        </w:tc>
        <w:tc>
          <w:tcPr>
            <w:tcW w:w="1800" w:type="dxa"/>
            <w:shd w:val="clear" w:color="auto" w:fill="auto"/>
          </w:tcPr>
          <w:p w:rsidR="008F0379" w:rsidRDefault="008F0379" w:rsidP="008F0379">
            <w:r>
              <w:t>Things like "The Element ID field is equal to the Key Delivery element value in Table 8-61 (Element IDs).</w:t>
            </w:r>
          </w:p>
          <w:p w:rsidR="008F0379" w:rsidRPr="008F0379" w:rsidRDefault="008F0379" w:rsidP="008F0379">
            <w:r>
              <w:t>The value of the Length field is 8 plus the total number of octets of all the KDEs."</w:t>
            </w:r>
          </w:p>
        </w:tc>
        <w:tc>
          <w:tcPr>
            <w:tcW w:w="1890" w:type="dxa"/>
            <w:shd w:val="clear" w:color="auto" w:fill="auto"/>
          </w:tcPr>
          <w:p w:rsidR="008F0379" w:rsidRPr="008F0379" w:rsidRDefault="008F0379" w:rsidP="00740CB3">
            <w:r w:rsidRPr="008F0379">
              <w:t>"The Element ID and Length fields are defined in 8.4.2.1 (General)."</w:t>
            </w:r>
          </w:p>
        </w:tc>
        <w:tc>
          <w:tcPr>
            <w:tcW w:w="2970" w:type="dxa"/>
            <w:shd w:val="clear" w:color="auto" w:fill="auto"/>
          </w:tcPr>
          <w:p w:rsidR="008F0379" w:rsidRPr="002657A5" w:rsidRDefault="008F0379" w:rsidP="00740CB3">
            <w:r w:rsidRPr="008F0379">
              <w:t>Should this be technical? We could do as proposed and simply refer to 8.4.2.1, but then after looking at these terms as they are defined there it looks like it would alter what we currently have in our 8.4.2.182. For instance, we say "Length field is 8 plus… of all the KDEs." whereas in 8.4.2.1 it says "The Length field specifies the number of octets in the Information field."</w:t>
            </w:r>
          </w:p>
        </w:tc>
        <w:tc>
          <w:tcPr>
            <w:tcW w:w="1530" w:type="dxa"/>
            <w:shd w:val="clear" w:color="auto" w:fill="auto"/>
          </w:tcPr>
          <w:p w:rsidR="008F0379" w:rsidRDefault="008F0379" w:rsidP="00740CB3">
            <w:r>
              <w:t>Technical?</w:t>
            </w:r>
          </w:p>
        </w:tc>
      </w:tr>
      <w:tr w:rsidR="009066EC" w:rsidTr="009066EC">
        <w:tc>
          <w:tcPr>
            <w:tcW w:w="720" w:type="dxa"/>
            <w:shd w:val="clear" w:color="auto" w:fill="auto"/>
          </w:tcPr>
          <w:p w:rsidR="00BF2D8B" w:rsidRDefault="00BF2D8B" w:rsidP="00740CB3">
            <w:r>
              <w:t>4759</w:t>
            </w:r>
          </w:p>
        </w:tc>
        <w:tc>
          <w:tcPr>
            <w:tcW w:w="450" w:type="dxa"/>
            <w:shd w:val="clear" w:color="auto" w:fill="auto"/>
          </w:tcPr>
          <w:p w:rsidR="00BF2D8B" w:rsidRDefault="00BF2D8B" w:rsidP="00740CB3"/>
        </w:tc>
        <w:tc>
          <w:tcPr>
            <w:tcW w:w="450" w:type="dxa"/>
            <w:shd w:val="clear" w:color="auto" w:fill="auto"/>
          </w:tcPr>
          <w:p w:rsidR="00BF2D8B" w:rsidRDefault="00BF2D8B" w:rsidP="00740CB3"/>
        </w:tc>
        <w:tc>
          <w:tcPr>
            <w:tcW w:w="720" w:type="dxa"/>
            <w:shd w:val="clear" w:color="auto" w:fill="auto"/>
          </w:tcPr>
          <w:p w:rsidR="00BF2D8B" w:rsidRDefault="00BF2D8B" w:rsidP="00740CB3"/>
        </w:tc>
        <w:tc>
          <w:tcPr>
            <w:tcW w:w="1800" w:type="dxa"/>
            <w:shd w:val="clear" w:color="auto" w:fill="auto"/>
          </w:tcPr>
          <w:p w:rsidR="00BF2D8B" w:rsidRPr="008F0379" w:rsidRDefault="00BF2D8B" w:rsidP="00740CB3">
            <w:r w:rsidRPr="00BF2D8B">
              <w:t>What is the difference between "If the STA is a FILS STA" and "If dot11FILSActivated is true in the STA"?  (First spotted in 10.1.4.3.2 but seems to be widespread.)</w:t>
            </w:r>
          </w:p>
        </w:tc>
        <w:tc>
          <w:tcPr>
            <w:tcW w:w="1890" w:type="dxa"/>
            <w:shd w:val="clear" w:color="auto" w:fill="auto"/>
          </w:tcPr>
          <w:p w:rsidR="00BF2D8B" w:rsidRPr="008F0379" w:rsidRDefault="00BF2D8B" w:rsidP="00740CB3">
            <w:r w:rsidRPr="00BF2D8B">
              <w:t>Require a FILS STA to have dot11FILSActivated be true, and then just talk of FILS STAs everywhere else</w:t>
            </w:r>
          </w:p>
        </w:tc>
        <w:tc>
          <w:tcPr>
            <w:tcW w:w="2970" w:type="dxa"/>
            <w:shd w:val="clear" w:color="auto" w:fill="auto"/>
          </w:tcPr>
          <w:p w:rsidR="00BF2D8B" w:rsidRDefault="00BF2D8B" w:rsidP="00BF2D8B">
            <w:r w:rsidRPr="00B67B34">
              <w:t xml:space="preserve">There is a difference between a "FILS STA" (it supports FILS) and a STA for which dot11FILSActivated is true. </w:t>
            </w:r>
            <w:r>
              <w:t>It would seem that a</w:t>
            </w:r>
            <w:r w:rsidRPr="00B67B34">
              <w:t xml:space="preserve"> FILS STA </w:t>
            </w:r>
            <w:r>
              <w:t>could</w:t>
            </w:r>
            <w:r w:rsidRPr="00B67B34">
              <w:t xml:space="preserve"> change dot11FILSActivated from true to false and back again. Thus it is appropriate to identify if a FILS STA does have dot11FILSActivated equal to true.</w:t>
            </w:r>
            <w:r>
              <w:t xml:space="preserve"> That said, in review of the draft, it does seem to imply that there is no case where </w:t>
            </w:r>
            <w:r w:rsidRPr="00B67B34">
              <w:t>dot11FILSActivated is</w:t>
            </w:r>
            <w:r>
              <w:t xml:space="preserve"> false, </w:t>
            </w:r>
            <w:r>
              <w:lastRenderedPageBreak/>
              <w:t>all instances seem to imply that it is always true if it is a FILS STA.</w:t>
            </w:r>
          </w:p>
        </w:tc>
        <w:tc>
          <w:tcPr>
            <w:tcW w:w="1530" w:type="dxa"/>
            <w:shd w:val="clear" w:color="auto" w:fill="auto"/>
          </w:tcPr>
          <w:p w:rsidR="00BF2D8B" w:rsidRDefault="00BF2D8B" w:rsidP="00740CB3">
            <w:r>
              <w:lastRenderedPageBreak/>
              <w:t xml:space="preserve">What is the correct relationship between FILS STA and a </w:t>
            </w:r>
            <w:r w:rsidRPr="00B67B34">
              <w:t>STA for which dot11FILSActivated is true</w:t>
            </w:r>
            <w:r>
              <w:t>? With either interpretation some changes will be required.</w:t>
            </w:r>
          </w:p>
        </w:tc>
      </w:tr>
      <w:tr w:rsidR="009066EC" w:rsidTr="009066EC">
        <w:tc>
          <w:tcPr>
            <w:tcW w:w="720" w:type="dxa"/>
            <w:shd w:val="clear" w:color="auto" w:fill="auto"/>
          </w:tcPr>
          <w:p w:rsidR="00130B9A" w:rsidRDefault="00605B55" w:rsidP="00740CB3">
            <w:r>
              <w:lastRenderedPageBreak/>
              <w:t>4871</w:t>
            </w:r>
          </w:p>
        </w:tc>
        <w:tc>
          <w:tcPr>
            <w:tcW w:w="450" w:type="dxa"/>
            <w:shd w:val="clear" w:color="auto" w:fill="auto"/>
          </w:tcPr>
          <w:p w:rsidR="00130B9A" w:rsidRDefault="00130B9A" w:rsidP="00740CB3"/>
        </w:tc>
        <w:tc>
          <w:tcPr>
            <w:tcW w:w="450" w:type="dxa"/>
            <w:shd w:val="clear" w:color="auto" w:fill="auto"/>
          </w:tcPr>
          <w:p w:rsidR="00130B9A" w:rsidRDefault="00130B9A" w:rsidP="00740CB3"/>
        </w:tc>
        <w:tc>
          <w:tcPr>
            <w:tcW w:w="720" w:type="dxa"/>
            <w:shd w:val="clear" w:color="auto" w:fill="auto"/>
          </w:tcPr>
          <w:p w:rsidR="00130B9A" w:rsidRDefault="00130B9A" w:rsidP="00740CB3"/>
        </w:tc>
        <w:tc>
          <w:tcPr>
            <w:tcW w:w="1800" w:type="dxa"/>
            <w:shd w:val="clear" w:color="auto" w:fill="auto"/>
          </w:tcPr>
          <w:p w:rsidR="00130B9A" w:rsidRPr="00BF2D8B" w:rsidRDefault="00605B55" w:rsidP="00740CB3">
            <w:r w:rsidRPr="00605B55">
              <w:t>AEAD seems to be, from the description, a mode where everything is authenticated but only some stuff is encrypted, so the naming is poor</w:t>
            </w:r>
          </w:p>
        </w:tc>
        <w:tc>
          <w:tcPr>
            <w:tcW w:w="1890" w:type="dxa"/>
            <w:shd w:val="clear" w:color="auto" w:fill="auto"/>
          </w:tcPr>
          <w:p w:rsidR="00130B9A" w:rsidRPr="00BF2D8B" w:rsidRDefault="00605B55" w:rsidP="00740CB3">
            <w:r w:rsidRPr="00605B55">
              <w:t>Rename to "All-Authenticated Part-Encrypted Data (AAPED)"</w:t>
            </w:r>
          </w:p>
        </w:tc>
        <w:tc>
          <w:tcPr>
            <w:tcW w:w="2970" w:type="dxa"/>
            <w:shd w:val="clear" w:color="auto" w:fill="auto"/>
          </w:tcPr>
          <w:p w:rsidR="00130B9A" w:rsidRPr="00B67B34" w:rsidRDefault="00130B9A" w:rsidP="00BF2D8B"/>
        </w:tc>
        <w:tc>
          <w:tcPr>
            <w:tcW w:w="1530" w:type="dxa"/>
            <w:shd w:val="clear" w:color="auto" w:fill="auto"/>
          </w:tcPr>
          <w:p w:rsidR="00130B9A" w:rsidRDefault="00605B55" w:rsidP="00740CB3">
            <w:r>
              <w:t>Technical?</w:t>
            </w:r>
          </w:p>
        </w:tc>
      </w:tr>
      <w:tr w:rsidR="009066EC" w:rsidTr="009066EC">
        <w:tc>
          <w:tcPr>
            <w:tcW w:w="720" w:type="dxa"/>
            <w:shd w:val="clear" w:color="auto" w:fill="auto"/>
          </w:tcPr>
          <w:p w:rsidR="00605B55" w:rsidRDefault="0013636C" w:rsidP="00740CB3">
            <w:r>
              <w:t>4861</w:t>
            </w:r>
          </w:p>
        </w:tc>
        <w:tc>
          <w:tcPr>
            <w:tcW w:w="450" w:type="dxa"/>
            <w:shd w:val="clear" w:color="auto" w:fill="auto"/>
          </w:tcPr>
          <w:p w:rsidR="00605B55" w:rsidRDefault="00605B55" w:rsidP="00740CB3"/>
        </w:tc>
        <w:tc>
          <w:tcPr>
            <w:tcW w:w="450" w:type="dxa"/>
            <w:shd w:val="clear" w:color="auto" w:fill="auto"/>
          </w:tcPr>
          <w:p w:rsidR="00605B55" w:rsidRDefault="00605B55" w:rsidP="00740CB3"/>
        </w:tc>
        <w:tc>
          <w:tcPr>
            <w:tcW w:w="720" w:type="dxa"/>
            <w:shd w:val="clear" w:color="auto" w:fill="auto"/>
          </w:tcPr>
          <w:p w:rsidR="00605B55" w:rsidRDefault="00605B55" w:rsidP="00740CB3"/>
        </w:tc>
        <w:tc>
          <w:tcPr>
            <w:tcW w:w="1800" w:type="dxa"/>
            <w:shd w:val="clear" w:color="auto" w:fill="auto"/>
          </w:tcPr>
          <w:p w:rsidR="00605B55" w:rsidRPr="00605B55" w:rsidRDefault="0013636C" w:rsidP="00740CB3">
            <w:r w:rsidRPr="0013636C">
              <w:t>(Sub)field names should have leading caps</w:t>
            </w:r>
          </w:p>
        </w:tc>
        <w:tc>
          <w:tcPr>
            <w:tcW w:w="1890" w:type="dxa"/>
            <w:shd w:val="clear" w:color="auto" w:fill="auto"/>
          </w:tcPr>
          <w:p w:rsidR="0013636C" w:rsidRDefault="0013636C" w:rsidP="0013636C">
            <w:r>
              <w:t>Change e.g. "FILS public key" in 8.4.2.177 and "Subnet-ID Token present" and "Public Key</w:t>
            </w:r>
          </w:p>
          <w:p w:rsidR="00605B55" w:rsidRPr="00605B55" w:rsidRDefault="0013636C" w:rsidP="0013636C">
            <w:r>
              <w:t>Information type" in 8.4.2.179 (I expect there are many others)</w:t>
            </w:r>
          </w:p>
        </w:tc>
        <w:tc>
          <w:tcPr>
            <w:tcW w:w="2970" w:type="dxa"/>
            <w:shd w:val="clear" w:color="auto" w:fill="auto"/>
          </w:tcPr>
          <w:p w:rsidR="00605B55" w:rsidRPr="00B67B34" w:rsidRDefault="00605B55" w:rsidP="00BF2D8B"/>
        </w:tc>
        <w:tc>
          <w:tcPr>
            <w:tcW w:w="1530" w:type="dxa"/>
            <w:shd w:val="clear" w:color="auto" w:fill="auto"/>
          </w:tcPr>
          <w:p w:rsidR="00605B55" w:rsidRDefault="0013636C" w:rsidP="00740CB3">
            <w:r>
              <w:t>Assign to Ping to find all instances</w:t>
            </w:r>
          </w:p>
        </w:tc>
      </w:tr>
      <w:tr w:rsidR="009066EC" w:rsidTr="009066EC">
        <w:tc>
          <w:tcPr>
            <w:tcW w:w="720" w:type="dxa"/>
            <w:shd w:val="clear" w:color="auto" w:fill="auto"/>
          </w:tcPr>
          <w:p w:rsidR="0013636C" w:rsidRDefault="0074651E" w:rsidP="00740CB3">
            <w:r>
              <w:t>4801</w:t>
            </w:r>
          </w:p>
        </w:tc>
        <w:tc>
          <w:tcPr>
            <w:tcW w:w="450" w:type="dxa"/>
            <w:shd w:val="clear" w:color="auto" w:fill="auto"/>
          </w:tcPr>
          <w:p w:rsidR="0013636C" w:rsidRDefault="0013636C" w:rsidP="00740CB3"/>
        </w:tc>
        <w:tc>
          <w:tcPr>
            <w:tcW w:w="450" w:type="dxa"/>
            <w:shd w:val="clear" w:color="auto" w:fill="auto"/>
          </w:tcPr>
          <w:p w:rsidR="0013636C" w:rsidRDefault="0013636C" w:rsidP="00740CB3"/>
        </w:tc>
        <w:tc>
          <w:tcPr>
            <w:tcW w:w="720" w:type="dxa"/>
            <w:shd w:val="clear" w:color="auto" w:fill="auto"/>
          </w:tcPr>
          <w:p w:rsidR="0013636C" w:rsidRDefault="0013636C" w:rsidP="00740CB3"/>
        </w:tc>
        <w:tc>
          <w:tcPr>
            <w:tcW w:w="1800" w:type="dxa"/>
            <w:shd w:val="clear" w:color="auto" w:fill="auto"/>
          </w:tcPr>
          <w:p w:rsidR="0013636C" w:rsidRPr="0013636C" w:rsidRDefault="0074651E" w:rsidP="0013636C">
            <w:r w:rsidRPr="0074651E">
              <w:t>"is indicated", "is set", etc. in clause 10</w:t>
            </w:r>
          </w:p>
        </w:tc>
        <w:tc>
          <w:tcPr>
            <w:tcW w:w="1890" w:type="dxa"/>
            <w:shd w:val="clear" w:color="auto" w:fill="auto"/>
          </w:tcPr>
          <w:p w:rsidR="0013636C" w:rsidRDefault="0074651E" w:rsidP="0013636C">
            <w:r w:rsidRPr="0074651E">
              <w:t>Change to "shall be..."</w:t>
            </w:r>
          </w:p>
        </w:tc>
        <w:tc>
          <w:tcPr>
            <w:tcW w:w="2970" w:type="dxa"/>
            <w:shd w:val="clear" w:color="auto" w:fill="auto"/>
          </w:tcPr>
          <w:p w:rsidR="0013636C" w:rsidRPr="00B67B34" w:rsidRDefault="0074651E" w:rsidP="00BF2D8B">
            <w:r>
              <w:t xml:space="preserve">This is not as simple as just changing each instance. "Shall be" has a totally different meaning than "is indicated". There may be one or more instances where such a change may be appropriate, but will require carefull analysis/consdieration of each place. </w:t>
            </w:r>
          </w:p>
        </w:tc>
        <w:tc>
          <w:tcPr>
            <w:tcW w:w="1530" w:type="dxa"/>
            <w:shd w:val="clear" w:color="auto" w:fill="auto"/>
          </w:tcPr>
          <w:p w:rsidR="0013636C" w:rsidRDefault="0074651E" w:rsidP="00740CB3">
            <w:r>
              <w:t>Assign  to Ping for analysis and recommendation.</w:t>
            </w:r>
          </w:p>
        </w:tc>
      </w:tr>
      <w:tr w:rsidR="009066EC" w:rsidTr="009066EC">
        <w:tc>
          <w:tcPr>
            <w:tcW w:w="720" w:type="dxa"/>
            <w:shd w:val="clear" w:color="auto" w:fill="auto"/>
          </w:tcPr>
          <w:p w:rsidR="0074651E" w:rsidRDefault="00E605C6" w:rsidP="00740CB3">
            <w:r>
              <w:t>4630</w:t>
            </w:r>
          </w:p>
        </w:tc>
        <w:tc>
          <w:tcPr>
            <w:tcW w:w="450" w:type="dxa"/>
            <w:shd w:val="clear" w:color="auto" w:fill="auto"/>
          </w:tcPr>
          <w:p w:rsidR="0074651E" w:rsidRDefault="0074651E" w:rsidP="00740CB3"/>
        </w:tc>
        <w:tc>
          <w:tcPr>
            <w:tcW w:w="450" w:type="dxa"/>
            <w:shd w:val="clear" w:color="auto" w:fill="auto"/>
          </w:tcPr>
          <w:p w:rsidR="0074651E" w:rsidRDefault="0074651E" w:rsidP="00740CB3"/>
        </w:tc>
        <w:tc>
          <w:tcPr>
            <w:tcW w:w="720" w:type="dxa"/>
            <w:shd w:val="clear" w:color="auto" w:fill="auto"/>
          </w:tcPr>
          <w:p w:rsidR="0074651E" w:rsidRDefault="00E605C6" w:rsidP="00740CB3">
            <w:r>
              <w:t>10.1.4.3.2</w:t>
            </w:r>
          </w:p>
        </w:tc>
        <w:tc>
          <w:tcPr>
            <w:tcW w:w="1800" w:type="dxa"/>
            <w:shd w:val="clear" w:color="auto" w:fill="auto"/>
          </w:tcPr>
          <w:p w:rsidR="0074651E" w:rsidRDefault="00E605C6" w:rsidP="0013636C">
            <w:r w:rsidRPr="00E605C6">
              <w:t>This procedure description is a mess and a logical conundrum.  Very difficult to ascertain the conditions and meaning in the convoluted set of changes upon changes.  The 11mc version, by contrast, is readable and understandable.</w:t>
            </w:r>
          </w:p>
        </w:tc>
        <w:tc>
          <w:tcPr>
            <w:tcW w:w="1890" w:type="dxa"/>
            <w:shd w:val="clear" w:color="auto" w:fill="auto"/>
          </w:tcPr>
          <w:p w:rsidR="0074651E" w:rsidRPr="0013636C" w:rsidRDefault="00E605C6" w:rsidP="0013636C">
            <w:r w:rsidRPr="00E605C6">
              <w:t>Joe Kwak volunteers to try to rewrite this paragraph so the gist of the meaning may be understood in only one or two readings.  Rewritten procedure will be submitted in 11-14-0563-00-00ai_LB201_Revised_Active_Scanning_Procedure.</w:t>
            </w:r>
          </w:p>
        </w:tc>
        <w:tc>
          <w:tcPr>
            <w:tcW w:w="2970" w:type="dxa"/>
            <w:shd w:val="clear" w:color="auto" w:fill="auto"/>
          </w:tcPr>
          <w:p w:rsidR="0074651E" w:rsidRPr="0013636C" w:rsidRDefault="0074651E" w:rsidP="00BF2D8B"/>
        </w:tc>
        <w:tc>
          <w:tcPr>
            <w:tcW w:w="1530" w:type="dxa"/>
            <w:shd w:val="clear" w:color="auto" w:fill="auto"/>
          </w:tcPr>
          <w:p w:rsidR="0074651E" w:rsidRDefault="00E605C6" w:rsidP="00740CB3">
            <w:r>
              <w:t>Does TG approve of this submittal (ensure that it is editorial and not technical)?</w:t>
            </w:r>
          </w:p>
        </w:tc>
      </w:tr>
      <w:tr w:rsidR="009066EC" w:rsidTr="009066EC">
        <w:tc>
          <w:tcPr>
            <w:tcW w:w="720" w:type="dxa"/>
            <w:shd w:val="clear" w:color="auto" w:fill="auto"/>
          </w:tcPr>
          <w:p w:rsidR="00E605C6" w:rsidRDefault="004513F4" w:rsidP="00740CB3">
            <w:r>
              <w:t>4816</w:t>
            </w:r>
          </w:p>
        </w:tc>
        <w:tc>
          <w:tcPr>
            <w:tcW w:w="450" w:type="dxa"/>
            <w:shd w:val="clear" w:color="auto" w:fill="auto"/>
          </w:tcPr>
          <w:p w:rsidR="00E605C6" w:rsidRDefault="00E605C6" w:rsidP="00740CB3"/>
        </w:tc>
        <w:tc>
          <w:tcPr>
            <w:tcW w:w="450" w:type="dxa"/>
            <w:shd w:val="clear" w:color="auto" w:fill="auto"/>
          </w:tcPr>
          <w:p w:rsidR="00E605C6" w:rsidRDefault="00E605C6" w:rsidP="00740CB3"/>
        </w:tc>
        <w:tc>
          <w:tcPr>
            <w:tcW w:w="720" w:type="dxa"/>
            <w:shd w:val="clear" w:color="auto" w:fill="auto"/>
          </w:tcPr>
          <w:p w:rsidR="00E605C6" w:rsidRDefault="004513F4" w:rsidP="00740CB3">
            <w:r>
              <w:t>11.11.2.2.1</w:t>
            </w:r>
          </w:p>
        </w:tc>
        <w:tc>
          <w:tcPr>
            <w:tcW w:w="1800" w:type="dxa"/>
            <w:shd w:val="clear" w:color="auto" w:fill="auto"/>
          </w:tcPr>
          <w:p w:rsidR="00E605C6" w:rsidRPr="00E605C6" w:rsidRDefault="004513F4" w:rsidP="0013636C">
            <w:r w:rsidRPr="004513F4">
              <w:t>I don't really understand what all these steps are about</w:t>
            </w:r>
          </w:p>
        </w:tc>
        <w:tc>
          <w:tcPr>
            <w:tcW w:w="1890" w:type="dxa"/>
            <w:shd w:val="clear" w:color="auto" w:fill="auto"/>
          </w:tcPr>
          <w:p w:rsidR="00E605C6" w:rsidRPr="00E605C6" w:rsidRDefault="004513F4" w:rsidP="0013636C">
            <w:r w:rsidRPr="004513F4">
              <w:t>Somehow introduce the steps (they are just mentioned on Figure 11.47a)</w:t>
            </w:r>
          </w:p>
        </w:tc>
        <w:tc>
          <w:tcPr>
            <w:tcW w:w="2970" w:type="dxa"/>
            <w:shd w:val="clear" w:color="auto" w:fill="auto"/>
          </w:tcPr>
          <w:p w:rsidR="00E605C6" w:rsidRPr="0013636C" w:rsidRDefault="00E605C6" w:rsidP="00BF2D8B"/>
        </w:tc>
        <w:tc>
          <w:tcPr>
            <w:tcW w:w="1530" w:type="dxa"/>
            <w:shd w:val="clear" w:color="auto" w:fill="auto"/>
          </w:tcPr>
          <w:p w:rsidR="00E605C6" w:rsidRDefault="004513F4" w:rsidP="00740CB3">
            <w:r>
              <w:t>Reassign to Ping</w:t>
            </w:r>
          </w:p>
        </w:tc>
      </w:tr>
      <w:tr w:rsidR="009066EC" w:rsidTr="009066EC">
        <w:tc>
          <w:tcPr>
            <w:tcW w:w="720" w:type="dxa"/>
            <w:shd w:val="clear" w:color="auto" w:fill="auto"/>
          </w:tcPr>
          <w:p w:rsidR="004513F4" w:rsidRDefault="004513F4" w:rsidP="00740CB3"/>
        </w:tc>
        <w:tc>
          <w:tcPr>
            <w:tcW w:w="450" w:type="dxa"/>
            <w:shd w:val="clear" w:color="auto" w:fill="auto"/>
          </w:tcPr>
          <w:p w:rsidR="004513F4" w:rsidRDefault="004513F4" w:rsidP="00740CB3"/>
        </w:tc>
        <w:tc>
          <w:tcPr>
            <w:tcW w:w="450" w:type="dxa"/>
            <w:shd w:val="clear" w:color="auto" w:fill="auto"/>
          </w:tcPr>
          <w:p w:rsidR="004513F4" w:rsidRDefault="004513F4" w:rsidP="00740CB3"/>
        </w:tc>
        <w:tc>
          <w:tcPr>
            <w:tcW w:w="720" w:type="dxa"/>
            <w:shd w:val="clear" w:color="auto" w:fill="auto"/>
          </w:tcPr>
          <w:p w:rsidR="004513F4" w:rsidRDefault="004513F4" w:rsidP="00740CB3"/>
        </w:tc>
        <w:tc>
          <w:tcPr>
            <w:tcW w:w="1800" w:type="dxa"/>
            <w:shd w:val="clear" w:color="auto" w:fill="auto"/>
          </w:tcPr>
          <w:p w:rsidR="004513F4" w:rsidRPr="004513F4" w:rsidRDefault="004513F4" w:rsidP="0013636C"/>
        </w:tc>
        <w:tc>
          <w:tcPr>
            <w:tcW w:w="1890" w:type="dxa"/>
            <w:shd w:val="clear" w:color="auto" w:fill="auto"/>
          </w:tcPr>
          <w:p w:rsidR="004513F4" w:rsidRPr="004513F4" w:rsidRDefault="004513F4" w:rsidP="0013636C"/>
        </w:tc>
        <w:tc>
          <w:tcPr>
            <w:tcW w:w="2970" w:type="dxa"/>
            <w:shd w:val="clear" w:color="auto" w:fill="auto"/>
          </w:tcPr>
          <w:p w:rsidR="004513F4" w:rsidRPr="0013636C" w:rsidRDefault="004513F4" w:rsidP="00BF2D8B"/>
        </w:tc>
        <w:tc>
          <w:tcPr>
            <w:tcW w:w="1530" w:type="dxa"/>
            <w:shd w:val="clear" w:color="auto" w:fill="auto"/>
          </w:tcPr>
          <w:p w:rsidR="004513F4" w:rsidRDefault="004513F4" w:rsidP="00740CB3"/>
        </w:tc>
      </w:tr>
    </w:tbl>
    <w:p w:rsidR="00740CB3" w:rsidRDefault="00740CB3" w:rsidP="00740CB3"/>
    <w:p w:rsidR="00CA09B2" w:rsidRDefault="0096114E">
      <w:r>
        <w:t xml:space="preserve"> </w:t>
      </w:r>
    </w:p>
    <w:sectPr w:rsidR="00CA09B2" w:rsidSect="002C24D6">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912" w:rsidRDefault="00006912">
      <w:r>
        <w:separator/>
      </w:r>
    </w:p>
  </w:endnote>
  <w:endnote w:type="continuationSeparator" w:id="0">
    <w:p w:rsidR="00006912" w:rsidRDefault="000069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2C24D6">
    <w:pPr>
      <w:pStyle w:val="Footer"/>
      <w:tabs>
        <w:tab w:val="clear" w:pos="6480"/>
        <w:tab w:val="center" w:pos="4680"/>
        <w:tab w:val="right" w:pos="9360"/>
      </w:tabs>
    </w:pPr>
    <w:fldSimple w:instr=" SUBJECT  \* MERGEFORMAT ">
      <w:r w:rsidR="006F0473">
        <w:t>Submission</w:t>
      </w:r>
    </w:fldSimple>
    <w:r w:rsidR="0029020B">
      <w:tab/>
      <w:t xml:space="preserve">page </w:t>
    </w:r>
    <w:fldSimple w:instr="page ">
      <w:r w:rsidR="00AB4410">
        <w:rPr>
          <w:noProof/>
        </w:rPr>
        <w:t>1</w:t>
      </w:r>
    </w:fldSimple>
    <w:r w:rsidR="0029020B">
      <w:tab/>
    </w:r>
    <w:r w:rsidR="0096114E">
      <w:t>Lee Armstrong, Armstrong Consulting, Inc.</w:t>
    </w:r>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912" w:rsidRDefault="00006912">
      <w:r>
        <w:separator/>
      </w:r>
    </w:p>
  </w:footnote>
  <w:footnote w:type="continuationSeparator" w:id="0">
    <w:p w:rsidR="00006912" w:rsidRDefault="000069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2C24D6">
    <w:pPr>
      <w:pStyle w:val="Header"/>
      <w:tabs>
        <w:tab w:val="clear" w:pos="6480"/>
        <w:tab w:val="center" w:pos="4680"/>
        <w:tab w:val="right" w:pos="9360"/>
      </w:tabs>
    </w:pPr>
    <w:fldSimple w:instr=" KEYWORDS  \* MERGEFORMAT ">
      <w:r w:rsidR="006F0473">
        <w:t>M</w:t>
      </w:r>
      <w:r w:rsidR="00AB4410">
        <w:t>ay</w:t>
      </w:r>
      <w:r w:rsidR="006F0473">
        <w:t xml:space="preserve"> </w:t>
      </w:r>
      <w:r w:rsidR="00AB4410">
        <w:t>2014</w:t>
      </w:r>
    </w:fldSimple>
    <w:r w:rsidR="0029020B">
      <w:tab/>
    </w:r>
    <w:r w:rsidR="0029020B">
      <w:tab/>
    </w:r>
    <w:fldSimple w:instr=" TITLE  \* MERGEFORMAT ">
      <w:r w:rsidR="006F0473">
        <w:t>doc.: IEEE 802.11-</w:t>
      </w:r>
      <w:r w:rsidR="00AB4410">
        <w:t>14</w:t>
      </w:r>
      <w:r w:rsidR="006F0473">
        <w:t>/</w:t>
      </w:r>
      <w:r w:rsidR="00AB4410">
        <w:t>0662</w:t>
      </w:r>
      <w:r w:rsidR="006F0473">
        <w:t>r0</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6"/>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40CB3"/>
    <w:rsid w:val="00006912"/>
    <w:rsid w:val="00130B9A"/>
    <w:rsid w:val="0013636C"/>
    <w:rsid w:val="001D723B"/>
    <w:rsid w:val="002657A5"/>
    <w:rsid w:val="0029020B"/>
    <w:rsid w:val="002C24D6"/>
    <w:rsid w:val="002D44BE"/>
    <w:rsid w:val="003A74EA"/>
    <w:rsid w:val="00442037"/>
    <w:rsid w:val="004513F4"/>
    <w:rsid w:val="005016F8"/>
    <w:rsid w:val="00605B55"/>
    <w:rsid w:val="0062440B"/>
    <w:rsid w:val="006A06EB"/>
    <w:rsid w:val="006C0727"/>
    <w:rsid w:val="006E145F"/>
    <w:rsid w:val="006F0473"/>
    <w:rsid w:val="00740CB3"/>
    <w:rsid w:val="0074651E"/>
    <w:rsid w:val="00770572"/>
    <w:rsid w:val="007712CC"/>
    <w:rsid w:val="007E01C7"/>
    <w:rsid w:val="008F0379"/>
    <w:rsid w:val="009066EC"/>
    <w:rsid w:val="0096114E"/>
    <w:rsid w:val="00AA427C"/>
    <w:rsid w:val="00AB4410"/>
    <w:rsid w:val="00B67B34"/>
    <w:rsid w:val="00BB147A"/>
    <w:rsid w:val="00BE68C2"/>
    <w:rsid w:val="00BF2D8B"/>
    <w:rsid w:val="00CA09B2"/>
    <w:rsid w:val="00DC5A7B"/>
    <w:rsid w:val="00E605C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24D6"/>
    <w:rPr>
      <w:sz w:val="22"/>
      <w:lang w:val="en-GB"/>
    </w:rPr>
  </w:style>
  <w:style w:type="paragraph" w:styleId="Heading1">
    <w:name w:val="heading 1"/>
    <w:basedOn w:val="Normal"/>
    <w:next w:val="Normal"/>
    <w:qFormat/>
    <w:rsid w:val="002C24D6"/>
    <w:pPr>
      <w:keepNext/>
      <w:keepLines/>
      <w:spacing w:before="320"/>
      <w:outlineLvl w:val="0"/>
    </w:pPr>
    <w:rPr>
      <w:rFonts w:ascii="Arial" w:hAnsi="Arial"/>
      <w:b/>
      <w:sz w:val="32"/>
      <w:u w:val="single"/>
    </w:rPr>
  </w:style>
  <w:style w:type="paragraph" w:styleId="Heading2">
    <w:name w:val="heading 2"/>
    <w:basedOn w:val="Normal"/>
    <w:next w:val="Normal"/>
    <w:qFormat/>
    <w:rsid w:val="002C24D6"/>
    <w:pPr>
      <w:keepNext/>
      <w:keepLines/>
      <w:spacing w:before="280"/>
      <w:outlineLvl w:val="1"/>
    </w:pPr>
    <w:rPr>
      <w:rFonts w:ascii="Arial" w:hAnsi="Arial"/>
      <w:b/>
      <w:sz w:val="28"/>
      <w:u w:val="single"/>
    </w:rPr>
  </w:style>
  <w:style w:type="paragraph" w:styleId="Heading3">
    <w:name w:val="heading 3"/>
    <w:basedOn w:val="Normal"/>
    <w:next w:val="Normal"/>
    <w:qFormat/>
    <w:rsid w:val="002C24D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C24D6"/>
    <w:pPr>
      <w:pBdr>
        <w:top w:val="single" w:sz="6" w:space="1" w:color="auto"/>
      </w:pBdr>
      <w:tabs>
        <w:tab w:val="center" w:pos="6480"/>
        <w:tab w:val="right" w:pos="12960"/>
      </w:tabs>
    </w:pPr>
    <w:rPr>
      <w:sz w:val="24"/>
    </w:rPr>
  </w:style>
  <w:style w:type="paragraph" w:styleId="Header">
    <w:name w:val="header"/>
    <w:basedOn w:val="Normal"/>
    <w:rsid w:val="002C24D6"/>
    <w:pPr>
      <w:pBdr>
        <w:bottom w:val="single" w:sz="6" w:space="2" w:color="auto"/>
      </w:pBdr>
      <w:tabs>
        <w:tab w:val="center" w:pos="6480"/>
        <w:tab w:val="right" w:pos="12960"/>
      </w:tabs>
    </w:pPr>
    <w:rPr>
      <w:b/>
      <w:sz w:val="28"/>
    </w:rPr>
  </w:style>
  <w:style w:type="paragraph" w:customStyle="1" w:styleId="T1">
    <w:name w:val="T1"/>
    <w:basedOn w:val="Normal"/>
    <w:rsid w:val="002C24D6"/>
    <w:pPr>
      <w:jc w:val="center"/>
    </w:pPr>
    <w:rPr>
      <w:b/>
      <w:sz w:val="28"/>
    </w:rPr>
  </w:style>
  <w:style w:type="paragraph" w:customStyle="1" w:styleId="T2">
    <w:name w:val="T2"/>
    <w:basedOn w:val="T1"/>
    <w:rsid w:val="002C24D6"/>
    <w:pPr>
      <w:spacing w:after="240"/>
      <w:ind w:left="720" w:right="720"/>
    </w:pPr>
  </w:style>
  <w:style w:type="paragraph" w:customStyle="1" w:styleId="T3">
    <w:name w:val="T3"/>
    <w:basedOn w:val="T1"/>
    <w:rsid w:val="002C24D6"/>
    <w:pPr>
      <w:pBdr>
        <w:bottom w:val="single" w:sz="6" w:space="1" w:color="auto"/>
      </w:pBdr>
      <w:tabs>
        <w:tab w:val="center" w:pos="4680"/>
      </w:tabs>
      <w:spacing w:after="240"/>
      <w:jc w:val="left"/>
    </w:pPr>
    <w:rPr>
      <w:b w:val="0"/>
      <w:sz w:val="24"/>
    </w:rPr>
  </w:style>
  <w:style w:type="paragraph" w:styleId="BodyTextIndent">
    <w:name w:val="Body Text Indent"/>
    <w:basedOn w:val="Normal"/>
    <w:rsid w:val="002C24D6"/>
    <w:pPr>
      <w:ind w:left="720" w:hanging="720"/>
    </w:pPr>
  </w:style>
  <w:style w:type="character" w:styleId="Hyperlink">
    <w:name w:val="Hyperlink"/>
    <w:basedOn w:val="DefaultParagraphFont"/>
    <w:rsid w:val="002C24D6"/>
    <w:rPr>
      <w:color w:val="0000FF"/>
      <w:u w:val="single"/>
    </w:rPr>
  </w:style>
  <w:style w:type="table" w:styleId="TableGrid">
    <w:name w:val="Table Grid"/>
    <w:basedOn w:val="TableNormal"/>
    <w:rsid w:val="00740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umns5">
    <w:name w:val="Table Columns 5"/>
    <w:basedOn w:val="TableNormal"/>
    <w:rsid w:val="00740CB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5">
    <w:name w:val="Table Grid 5"/>
    <w:basedOn w:val="TableNormal"/>
    <w:rsid w:val="00740CB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7712CC"/>
    <w:rPr>
      <w:rFonts w:ascii="Tahoma" w:hAnsi="Tahoma" w:cs="Tahoma"/>
      <w:sz w:val="16"/>
      <w:szCs w:val="16"/>
    </w:rPr>
  </w:style>
  <w:style w:type="character" w:customStyle="1" w:styleId="BalloonTextChar">
    <w:name w:val="Balloon Text Char"/>
    <w:basedOn w:val="DefaultParagraphFont"/>
    <w:link w:val="BalloonText"/>
    <w:rsid w:val="007712CC"/>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e\Documents\Clients\80211\Policies%20&amp;%20procedur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380</TotalTime>
  <Pages>5</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Lee</dc:creator>
  <cp:keywords>Month Year</cp:keywords>
  <dc:description>John Doe, Some Company</dc:description>
  <cp:lastModifiedBy>Lee</cp:lastModifiedBy>
  <cp:revision>15</cp:revision>
  <cp:lastPrinted>2014-05-14T02:54:00Z</cp:lastPrinted>
  <dcterms:created xsi:type="dcterms:W3CDTF">2014-05-13T20:35:00Z</dcterms:created>
  <dcterms:modified xsi:type="dcterms:W3CDTF">2014-05-14T02:57:00Z</dcterms:modified>
</cp:coreProperties>
</file>