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880"/>
        <w:gridCol w:w="1350"/>
        <w:gridCol w:w="2358"/>
      </w:tblGrid>
      <w:tr w:rsidR="005E768D" w:rsidRPr="00183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B31EA" w:rsidP="0039204E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 w:rsidR="00D36C35">
              <w:rPr>
                <w:rFonts w:hint="eastAsia"/>
                <w:lang w:eastAsia="ko-KR"/>
              </w:rPr>
              <w:t>c</w:t>
            </w:r>
            <w:r w:rsidR="0047267B">
              <w:rPr>
                <w:rFonts w:hint="eastAsia"/>
                <w:lang w:eastAsia="ko-KR"/>
              </w:rPr>
              <w:t xml:space="preserve">omment </w:t>
            </w:r>
            <w:r w:rsidR="00D36C35">
              <w:rPr>
                <w:rFonts w:hint="eastAsia"/>
                <w:lang w:eastAsia="ko-KR"/>
              </w:rPr>
              <w:t>r</w:t>
            </w:r>
            <w:r w:rsidR="0047267B">
              <w:rPr>
                <w:rFonts w:hint="eastAsia"/>
                <w:lang w:eastAsia="ko-KR"/>
              </w:rPr>
              <w:t>esolution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D561D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817DFB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596413" w:rsidRPr="00183F4C">
              <w:rPr>
                <w:b w:val="0"/>
                <w:sz w:val="20"/>
              </w:rPr>
              <w:t>-</w:t>
            </w:r>
            <w:r w:rsidR="00274C77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D561DF">
              <w:rPr>
                <w:b w:val="0"/>
                <w:sz w:val="20"/>
                <w:lang w:eastAsia="ko-KR"/>
              </w:rPr>
              <w:t>5-11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335969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C7004" w:rsidRPr="00183F4C" w:rsidTr="00335969">
        <w:trPr>
          <w:jc w:val="center"/>
        </w:trPr>
        <w:tc>
          <w:tcPr>
            <w:tcW w:w="1548" w:type="dxa"/>
            <w:vAlign w:val="center"/>
          </w:tcPr>
          <w:p w:rsidR="003C7004" w:rsidRPr="00183F4C" w:rsidRDefault="003C7004" w:rsidP="00F53F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Calcev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C7004" w:rsidRPr="00183F4C" w:rsidRDefault="003C7004" w:rsidP="00F53F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880" w:type="dxa"/>
            <w:vAlign w:val="center"/>
          </w:tcPr>
          <w:p w:rsidR="003C7004" w:rsidRPr="00183F4C" w:rsidRDefault="003C7004" w:rsidP="00F53F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3C7004" w:rsidRPr="00183F4C" w:rsidRDefault="003C7004" w:rsidP="00F53F9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3C7004" w:rsidRPr="00183F4C" w:rsidRDefault="00C46CF9" w:rsidP="003C700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3C7004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George.Calcev@huawei.com</w:t>
              </w:r>
            </w:hyperlink>
          </w:p>
        </w:tc>
      </w:tr>
      <w:tr w:rsidR="00D7117A" w:rsidRPr="00183F4C" w:rsidTr="00B64495">
        <w:trPr>
          <w:jc w:val="center"/>
        </w:trPr>
        <w:tc>
          <w:tcPr>
            <w:tcW w:w="1548" w:type="dxa"/>
            <w:vAlign w:val="center"/>
          </w:tcPr>
          <w:p w:rsidR="00D7117A" w:rsidRPr="00183F4C" w:rsidRDefault="00D7117A" w:rsidP="00C23F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James Wang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D7117A" w:rsidRPr="00183F4C" w:rsidRDefault="00D7117A" w:rsidP="00C23F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880" w:type="dxa"/>
            <w:vAlign w:val="center"/>
          </w:tcPr>
          <w:p w:rsidR="00D7117A" w:rsidRPr="00183F4C" w:rsidRDefault="00D7117A" w:rsidP="00C23F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D7117A" w:rsidRPr="00183F4C" w:rsidRDefault="00D7117A" w:rsidP="00C23FB9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D7117A" w:rsidRPr="00183F4C" w:rsidRDefault="00C46CF9" w:rsidP="00C23FB9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D7117A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james</w:t>
              </w:r>
              <w:r w:rsidR="00D7117A" w:rsidRPr="008E686A">
                <w:rPr>
                  <w:rStyle w:val="Hyperlink"/>
                  <w:rFonts w:hint="eastAsia"/>
                  <w:b w:val="0"/>
                  <w:sz w:val="18"/>
                  <w:szCs w:val="18"/>
                  <w:lang w:eastAsia="ko-KR"/>
                </w:rPr>
                <w:t>.</w:t>
              </w:r>
              <w:r w:rsidR="00D7117A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wang</w:t>
              </w:r>
              <w:r w:rsidR="00D7117A" w:rsidRPr="008E686A">
                <w:rPr>
                  <w:rStyle w:val="Hyperlink"/>
                  <w:rFonts w:hint="eastAsia"/>
                  <w:b w:val="0"/>
                  <w:sz w:val="18"/>
                  <w:szCs w:val="18"/>
                  <w:lang w:eastAsia="ko-KR"/>
                </w:rPr>
                <w:t>@</w:t>
              </w:r>
              <w:r w:rsidR="00D7117A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meddiatek</w:t>
              </w:r>
              <w:r w:rsidR="00D7117A" w:rsidRPr="008E686A">
                <w:rPr>
                  <w:rStyle w:val="Hyperlink"/>
                  <w:rFonts w:hint="eastAsia"/>
                  <w:b w:val="0"/>
                  <w:sz w:val="18"/>
                  <w:szCs w:val="18"/>
                  <w:lang w:eastAsia="ko-KR"/>
                </w:rPr>
                <w:t>.com</w:t>
              </w:r>
            </w:hyperlink>
            <w:r w:rsidR="00D7117A"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EE461A" w:rsidRPr="00183F4C" w:rsidTr="00B64495">
        <w:trPr>
          <w:jc w:val="center"/>
        </w:trPr>
        <w:tc>
          <w:tcPr>
            <w:tcW w:w="1548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Minho Cheong</w:t>
            </w:r>
          </w:p>
        </w:tc>
        <w:tc>
          <w:tcPr>
            <w:tcW w:w="144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ETRI</w:t>
            </w:r>
          </w:p>
        </w:tc>
        <w:tc>
          <w:tcPr>
            <w:tcW w:w="288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E461A" w:rsidRPr="00183F4C" w:rsidRDefault="00C46CF9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0" w:history="1">
              <w:r w:rsidR="00EE461A" w:rsidRPr="008E686A">
                <w:rPr>
                  <w:rStyle w:val="Hyperlink"/>
                  <w:b w:val="0"/>
                  <w:sz w:val="18"/>
                  <w:szCs w:val="18"/>
                  <w:lang w:eastAsia="ko-KR"/>
                </w:rPr>
                <w:t>minho@etri.re.kr</w:t>
              </w:r>
            </w:hyperlink>
            <w:r w:rsidR="00EE461A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EE461A" w:rsidRPr="00183F4C" w:rsidTr="00B64495">
        <w:trPr>
          <w:jc w:val="center"/>
        </w:trPr>
        <w:tc>
          <w:tcPr>
            <w:tcW w:w="1548" w:type="dxa"/>
            <w:vAlign w:val="center"/>
          </w:tcPr>
          <w:p w:rsidR="00EE461A" w:rsidRPr="00183F4C" w:rsidRDefault="00EE461A" w:rsidP="00EE461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440" w:type="dxa"/>
            <w:vAlign w:val="center"/>
          </w:tcPr>
          <w:p w:rsidR="00EE461A" w:rsidRPr="00183F4C" w:rsidRDefault="00CC7311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88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EE461A" w:rsidRPr="00183F4C" w:rsidRDefault="00EE461A" w:rsidP="00B64495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E461A" w:rsidRPr="00183F4C" w:rsidRDefault="00C46CF9" w:rsidP="00B6449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1" w:history="1">
              <w:r w:rsidR="00EE461A" w:rsidRPr="00EE461A">
                <w:rPr>
                  <w:rStyle w:val="Hyperlink"/>
                  <w:b w:val="0"/>
                  <w:sz w:val="18"/>
                  <w:szCs w:val="18"/>
                </w:rPr>
                <w:t>yongho.seok@lge.com</w:t>
              </w:r>
            </w:hyperlink>
          </w:p>
        </w:tc>
      </w:tr>
      <w:tr w:rsidR="00B54BCB" w:rsidRPr="00183F4C" w:rsidTr="00335969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EE461A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Younghoon Kwon</w:t>
            </w:r>
          </w:p>
        </w:tc>
        <w:tc>
          <w:tcPr>
            <w:tcW w:w="1440" w:type="dxa"/>
            <w:vAlign w:val="center"/>
          </w:tcPr>
          <w:p w:rsidR="00B54BCB" w:rsidRPr="00183F4C" w:rsidRDefault="00CC7311" w:rsidP="00FF7FA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88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EE461A" w:rsidRPr="00EE461A" w:rsidRDefault="00C46CF9" w:rsidP="00320EA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hyperlink r:id="rId12" w:history="1">
              <w:r w:rsidR="00EE461A" w:rsidRPr="00EE461A">
                <w:rPr>
                  <w:rStyle w:val="Hyperlink"/>
                  <w:b w:val="0"/>
                  <w:sz w:val="18"/>
                  <w:szCs w:val="18"/>
                </w:rPr>
                <w:t>younghoon.kwon@huawei.com</w:t>
              </w:r>
            </w:hyperlink>
          </w:p>
        </w:tc>
      </w:tr>
    </w:tbl>
    <w:p w:rsidR="005E768D" w:rsidRPr="004D2D75" w:rsidRDefault="00C46CF9">
      <w:pPr>
        <w:pStyle w:val="T1"/>
        <w:spacing w:after="120"/>
        <w:rPr>
          <w:sz w:val="22"/>
        </w:rPr>
      </w:pPr>
      <w:r w:rsidRPr="00C46C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F53F9C" w:rsidRDefault="00F53F9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53F9C" w:rsidRDefault="00F53F9C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comment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the clause </w:t>
                  </w:r>
                  <w:r w:rsidR="00D561DF">
                    <w:rPr>
                      <w:lang w:eastAsia="ko-KR"/>
                    </w:rPr>
                    <w:t>9.47</w:t>
                  </w:r>
                  <w:r>
                    <w:rPr>
                      <w:rFonts w:hint="eastAsia"/>
                      <w:lang w:eastAsia="ko-KR"/>
                    </w:rPr>
                    <w:t xml:space="preserve">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1.0.</w:t>
                  </w:r>
                </w:p>
                <w:p w:rsidR="00F53F9C" w:rsidRDefault="00F53F9C" w:rsidP="00C6354A">
                  <w:pPr>
                    <w:pStyle w:val="ListParagraph"/>
                    <w:numPr>
                      <w:ilvl w:val="0"/>
                      <w:numId w:val="28"/>
                    </w:numPr>
                    <w:ind w:leftChars="0"/>
                    <w:jc w:val="both"/>
                  </w:pPr>
                  <w:r>
                    <w:rPr>
                      <w:rFonts w:hint="eastAsia"/>
                      <w:lang w:eastAsia="ko-KR"/>
                    </w:rPr>
                    <w:t>CIDs:</w:t>
                  </w:r>
                  <w:r w:rsidR="0039204E">
                    <w:rPr>
                      <w:lang w:eastAsia="ko-KR"/>
                    </w:rPr>
                    <w:t>1058,1135,1536,1537,1538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372BC7" w:rsidRDefault="00372BC7" w:rsidP="009709A2">
      <w:pPr>
        <w:widowControl w:val="0"/>
        <w:autoSpaceDE w:val="0"/>
        <w:autoSpaceDN w:val="0"/>
        <w:adjustRightInd w:val="0"/>
        <w:rPr>
          <w:szCs w:val="22"/>
          <w:lang w:val="en-US" w:eastAsia="ko-KR"/>
        </w:rPr>
      </w:pP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1250"/>
        <w:gridCol w:w="972"/>
        <w:gridCol w:w="2457"/>
        <w:gridCol w:w="2089"/>
        <w:gridCol w:w="2835"/>
      </w:tblGrid>
      <w:tr w:rsidR="00005259" w:rsidTr="00932362">
        <w:trPr>
          <w:trHeight w:val="765"/>
        </w:trPr>
        <w:tc>
          <w:tcPr>
            <w:tcW w:w="927" w:type="dxa"/>
            <w:shd w:val="clear" w:color="auto" w:fill="auto"/>
            <w:hideMark/>
          </w:tcPr>
          <w:p w:rsidR="00005259" w:rsidRDefault="0000525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250" w:type="dxa"/>
            <w:shd w:val="clear" w:color="auto" w:fill="auto"/>
            <w:hideMark/>
          </w:tcPr>
          <w:p w:rsidR="00005259" w:rsidRDefault="0000525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 Number(C)</w:t>
            </w:r>
          </w:p>
        </w:tc>
        <w:tc>
          <w:tcPr>
            <w:tcW w:w="972" w:type="dxa"/>
            <w:shd w:val="clear" w:color="auto" w:fill="auto"/>
            <w:hideMark/>
          </w:tcPr>
          <w:p w:rsidR="001453FC" w:rsidRDefault="001453FC" w:rsidP="001453F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  <w:p w:rsidR="00005259" w:rsidRDefault="001453FC" w:rsidP="001453F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2457" w:type="dxa"/>
            <w:shd w:val="clear" w:color="auto" w:fill="auto"/>
            <w:hideMark/>
          </w:tcPr>
          <w:p w:rsidR="00005259" w:rsidRDefault="0000525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089" w:type="dxa"/>
            <w:shd w:val="clear" w:color="auto" w:fill="auto"/>
            <w:hideMark/>
          </w:tcPr>
          <w:p w:rsidR="00005259" w:rsidRDefault="0000525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:rsidR="00005259" w:rsidRDefault="0000525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1453FC" w:rsidTr="00932362">
        <w:trPr>
          <w:trHeight w:val="1530"/>
        </w:trPr>
        <w:tc>
          <w:tcPr>
            <w:tcW w:w="927" w:type="dxa"/>
            <w:shd w:val="clear" w:color="auto" w:fill="auto"/>
            <w:hideMark/>
          </w:tcPr>
          <w:p w:rsidR="001453FC" w:rsidRDefault="001453F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1058</w:t>
            </w:r>
          </w:p>
        </w:tc>
        <w:tc>
          <w:tcPr>
            <w:tcW w:w="1250" w:type="dxa"/>
            <w:shd w:val="clear" w:color="auto" w:fill="auto"/>
            <w:hideMark/>
          </w:tcPr>
          <w:p w:rsidR="001453FC" w:rsidRDefault="001453FC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9.47.3</w:t>
            </w:r>
          </w:p>
        </w:tc>
        <w:tc>
          <w:tcPr>
            <w:tcW w:w="972" w:type="dxa"/>
            <w:shd w:val="clear" w:color="auto" w:fill="auto"/>
            <w:hideMark/>
          </w:tcPr>
          <w:p w:rsidR="001453FC" w:rsidRDefault="001453F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197.26</w:t>
            </w:r>
          </w:p>
        </w:tc>
        <w:tc>
          <w:tcPr>
            <w:tcW w:w="2457" w:type="dxa"/>
            <w:shd w:val="clear" w:color="auto" w:fill="auto"/>
            <w:hideMark/>
          </w:tcPr>
          <w:p w:rsidR="001453FC" w:rsidRDefault="001453FC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"Stations in different sectors may be allowed to transmit at the same time if more than one sector is active at one moment</w:t>
            </w:r>
            <w:proofErr w:type="gramStart"/>
            <w:r>
              <w:rPr>
                <w:rFonts w:ascii="Calibri" w:hAnsi="Calibri"/>
                <w:color w:val="000000"/>
                <w:szCs w:val="22"/>
              </w:rPr>
              <w:t>. "</w:t>
            </w:r>
            <w:proofErr w:type="gramEnd"/>
            <w:r>
              <w:rPr>
                <w:rFonts w:ascii="Calibri" w:hAnsi="Calibri"/>
                <w:color w:val="000000"/>
                <w:szCs w:val="22"/>
              </w:rPr>
              <w:br/>
            </w:r>
            <w:r>
              <w:rPr>
                <w:rFonts w:ascii="Calibri" w:hAnsi="Calibri"/>
                <w:color w:val="000000"/>
                <w:szCs w:val="22"/>
              </w:rPr>
              <w:br/>
              <w:t>I think this statement carries huge implications for behaviour that is not adequately expressed.</w:t>
            </w:r>
          </w:p>
        </w:tc>
        <w:tc>
          <w:tcPr>
            <w:tcW w:w="2089" w:type="dxa"/>
            <w:shd w:val="clear" w:color="auto" w:fill="auto"/>
            <w:hideMark/>
          </w:tcPr>
          <w:p w:rsidR="001453FC" w:rsidRDefault="001453FC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Add details of</w:t>
            </w:r>
            <w:proofErr w:type="gramStart"/>
            <w:r>
              <w:rPr>
                <w:rFonts w:ascii="Calibri" w:hAnsi="Calibri"/>
                <w:color w:val="000000"/>
                <w:szCs w:val="22"/>
              </w:rPr>
              <w:t>:</w:t>
            </w:r>
            <w:proofErr w:type="gramEnd"/>
            <w:r>
              <w:rPr>
                <w:rFonts w:ascii="Calibri" w:hAnsi="Calibri"/>
                <w:color w:val="000000"/>
                <w:szCs w:val="22"/>
              </w:rPr>
              <w:br/>
              <w:t xml:space="preserve">1.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Sectorized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NAV operation at the AP</w:t>
            </w:r>
            <w:r>
              <w:rPr>
                <w:rFonts w:ascii="Calibri" w:hAnsi="Calibri"/>
                <w:color w:val="000000"/>
                <w:szCs w:val="22"/>
              </w:rPr>
              <w:br/>
              <w:t>2. How the AP signals to multiple sectors simultaneously.</w:t>
            </w:r>
            <w:r>
              <w:rPr>
                <w:rFonts w:ascii="Calibri" w:hAnsi="Calibri"/>
                <w:color w:val="000000"/>
                <w:szCs w:val="22"/>
              </w:rPr>
              <w:br/>
              <w:t>3. Rules for multiple sector selection.  Consideration of what happens if STAs can receive multiple sectors simultaneously.</w:t>
            </w:r>
            <w:r>
              <w:rPr>
                <w:rFonts w:ascii="Calibri" w:hAnsi="Calibri"/>
                <w:color w:val="000000"/>
                <w:szCs w:val="22"/>
              </w:rPr>
              <w:br/>
              <w:t>4. Rules for alignment of different entities within a sector operation.  For example</w:t>
            </w:r>
            <w:proofErr w:type="gramStart"/>
            <w:r>
              <w:rPr>
                <w:rFonts w:ascii="Calibri" w:hAnsi="Calibri"/>
                <w:color w:val="000000"/>
                <w:szCs w:val="22"/>
              </w:rPr>
              <w:t>,  can</w:t>
            </w:r>
            <w:proofErr w:type="gramEnd"/>
            <w:r>
              <w:rPr>
                <w:rFonts w:ascii="Calibri" w:hAnsi="Calibri"/>
                <w:color w:val="000000"/>
                <w:szCs w:val="22"/>
              </w:rPr>
              <w:t xml:space="preserve"> a switch of sector take place within a RAW?</w:t>
            </w:r>
            <w:r>
              <w:rPr>
                <w:rFonts w:ascii="Calibri" w:hAnsi="Calibri"/>
                <w:color w:val="000000"/>
                <w:szCs w:val="22"/>
              </w:rPr>
              <w:br/>
            </w:r>
            <w:r>
              <w:rPr>
                <w:rFonts w:ascii="Calibri" w:hAnsi="Calibri"/>
                <w:color w:val="000000"/>
                <w:szCs w:val="22"/>
              </w:rPr>
              <w:br/>
              <w:t>Or delete the cited text.</w:t>
            </w:r>
          </w:p>
        </w:tc>
        <w:tc>
          <w:tcPr>
            <w:tcW w:w="2835" w:type="dxa"/>
            <w:shd w:val="clear" w:color="auto" w:fill="auto"/>
            <w:hideMark/>
          </w:tcPr>
          <w:p w:rsidR="001453FC" w:rsidRPr="00C14AB3" w:rsidRDefault="001453FC" w:rsidP="00C14AB3">
            <w:pPr>
              <w:rPr>
                <w:rFonts w:ascii="Calibri" w:hAnsi="Calibri" w:hint="eastAsia"/>
                <w:color w:val="000000"/>
                <w:szCs w:val="22"/>
                <w:lang w:eastAsia="ko-KR"/>
              </w:rPr>
            </w:pPr>
          </w:p>
        </w:tc>
      </w:tr>
      <w:tr w:rsidR="001453FC" w:rsidTr="00932362">
        <w:trPr>
          <w:trHeight w:val="3570"/>
        </w:trPr>
        <w:tc>
          <w:tcPr>
            <w:tcW w:w="927" w:type="dxa"/>
            <w:shd w:val="clear" w:color="auto" w:fill="auto"/>
            <w:hideMark/>
          </w:tcPr>
          <w:p w:rsidR="001453FC" w:rsidRDefault="001453F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1135</w:t>
            </w:r>
          </w:p>
        </w:tc>
        <w:tc>
          <w:tcPr>
            <w:tcW w:w="1250" w:type="dxa"/>
            <w:shd w:val="clear" w:color="auto" w:fill="auto"/>
            <w:hideMark/>
          </w:tcPr>
          <w:p w:rsidR="001453FC" w:rsidRDefault="001453FC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8.4.2.170f</w:t>
            </w:r>
          </w:p>
        </w:tc>
        <w:tc>
          <w:tcPr>
            <w:tcW w:w="972" w:type="dxa"/>
            <w:shd w:val="clear" w:color="auto" w:fill="auto"/>
            <w:hideMark/>
          </w:tcPr>
          <w:p w:rsidR="001453FC" w:rsidRDefault="001453F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94.62</w:t>
            </w:r>
          </w:p>
        </w:tc>
        <w:tc>
          <w:tcPr>
            <w:tcW w:w="2457" w:type="dxa"/>
            <w:shd w:val="clear" w:color="auto" w:fill="auto"/>
            <w:hideMark/>
          </w:tcPr>
          <w:p w:rsidR="001453FC" w:rsidRDefault="001453FC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".. </w:t>
            </w:r>
            <w:proofErr w:type="gramStart"/>
            <w:r>
              <w:rPr>
                <w:rFonts w:ascii="Calibri" w:hAnsi="Calibri"/>
                <w:color w:val="000000"/>
                <w:szCs w:val="22"/>
              </w:rPr>
              <w:t>the</w:t>
            </w:r>
            <w:proofErr w:type="gramEnd"/>
            <w:r>
              <w:rPr>
                <w:rFonts w:ascii="Calibri" w:hAnsi="Calibri"/>
                <w:color w:val="000000"/>
                <w:szCs w:val="22"/>
              </w:rPr>
              <w:t xml:space="preserve"> duration of the current sector transmissions and it is measured in 10 milliseconds time units."</w:t>
            </w:r>
            <w:r>
              <w:rPr>
                <w:rFonts w:ascii="Calibri" w:hAnsi="Calibri"/>
                <w:color w:val="000000"/>
                <w:szCs w:val="22"/>
              </w:rPr>
              <w:br/>
            </w:r>
            <w:r>
              <w:rPr>
                <w:rFonts w:ascii="Calibri" w:hAnsi="Calibri"/>
                <w:color w:val="000000"/>
                <w:szCs w:val="22"/>
              </w:rPr>
              <w:br/>
              <w:t>Somewhat awkward.  Also doesn't follow style for a value/unit pair.</w:t>
            </w:r>
          </w:p>
        </w:tc>
        <w:tc>
          <w:tcPr>
            <w:tcW w:w="2089" w:type="dxa"/>
            <w:shd w:val="clear" w:color="auto" w:fill="auto"/>
            <w:hideMark/>
          </w:tcPr>
          <w:p w:rsidR="001453FC" w:rsidRDefault="001453FC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Replace with </w:t>
            </w:r>
            <w:proofErr w:type="gramStart"/>
            <w:r>
              <w:rPr>
                <w:rFonts w:ascii="Calibri" w:hAnsi="Calibri"/>
                <w:color w:val="000000"/>
                <w:szCs w:val="22"/>
              </w:rPr>
              <w:t>" the</w:t>
            </w:r>
            <w:proofErr w:type="gramEnd"/>
            <w:r>
              <w:rPr>
                <w:rFonts w:ascii="Calibri" w:hAnsi="Calibri"/>
                <w:color w:val="000000"/>
                <w:szCs w:val="22"/>
              </w:rPr>
              <w:t xml:space="preserve"> duration of the current sector transmissions, in units of 10 ms"</w:t>
            </w:r>
            <w:r>
              <w:rPr>
                <w:rFonts w:ascii="Calibri" w:hAnsi="Calibri"/>
                <w:color w:val="000000"/>
                <w:szCs w:val="22"/>
              </w:rPr>
              <w:br/>
            </w:r>
            <w:r>
              <w:rPr>
                <w:rFonts w:ascii="Calibri" w:hAnsi="Calibri"/>
                <w:color w:val="000000"/>
                <w:szCs w:val="22"/>
              </w:rPr>
              <w:br/>
              <w:t>Change 94.45 to match.</w:t>
            </w:r>
          </w:p>
        </w:tc>
        <w:tc>
          <w:tcPr>
            <w:tcW w:w="2835" w:type="dxa"/>
            <w:shd w:val="clear" w:color="auto" w:fill="auto"/>
            <w:hideMark/>
          </w:tcPr>
          <w:p w:rsidR="001453FC" w:rsidRDefault="001453FC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453FC" w:rsidTr="00932362">
        <w:trPr>
          <w:trHeight w:val="3825"/>
        </w:trPr>
        <w:tc>
          <w:tcPr>
            <w:tcW w:w="927" w:type="dxa"/>
            <w:shd w:val="clear" w:color="auto" w:fill="auto"/>
            <w:hideMark/>
          </w:tcPr>
          <w:p w:rsidR="001453FC" w:rsidRDefault="001453FC" w:rsidP="00247D61">
            <w:pPr>
              <w:ind w:left="-994" w:firstLine="994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1536</w:t>
            </w:r>
          </w:p>
        </w:tc>
        <w:tc>
          <w:tcPr>
            <w:tcW w:w="1250" w:type="dxa"/>
            <w:shd w:val="clear" w:color="auto" w:fill="auto"/>
            <w:hideMark/>
          </w:tcPr>
          <w:p w:rsidR="001453FC" w:rsidRDefault="001453FC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9.47.2</w:t>
            </w:r>
          </w:p>
        </w:tc>
        <w:tc>
          <w:tcPr>
            <w:tcW w:w="972" w:type="dxa"/>
            <w:shd w:val="clear" w:color="auto" w:fill="auto"/>
            <w:hideMark/>
          </w:tcPr>
          <w:p w:rsidR="001453FC" w:rsidRDefault="001453F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196.29</w:t>
            </w:r>
          </w:p>
        </w:tc>
        <w:tc>
          <w:tcPr>
            <w:tcW w:w="2457" w:type="dxa"/>
            <w:shd w:val="clear" w:color="auto" w:fill="auto"/>
            <w:hideMark/>
          </w:tcPr>
          <w:p w:rsidR="001453FC" w:rsidRDefault="001453FC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It is not clear if the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sectorization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is completely optional for STAs not supporting the feature.</w:t>
            </w:r>
          </w:p>
        </w:tc>
        <w:tc>
          <w:tcPr>
            <w:tcW w:w="2089" w:type="dxa"/>
            <w:shd w:val="clear" w:color="auto" w:fill="auto"/>
            <w:hideMark/>
          </w:tcPr>
          <w:p w:rsidR="001453FC" w:rsidRDefault="001453FC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Clarify what is the behaviour of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not supporting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sectorization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  <w:hideMark/>
          </w:tcPr>
          <w:p w:rsidR="001453FC" w:rsidRDefault="001453FC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453FC" w:rsidTr="00932362">
        <w:trPr>
          <w:trHeight w:val="2295"/>
        </w:trPr>
        <w:tc>
          <w:tcPr>
            <w:tcW w:w="927" w:type="dxa"/>
            <w:shd w:val="clear" w:color="auto" w:fill="auto"/>
            <w:hideMark/>
          </w:tcPr>
          <w:p w:rsidR="001453FC" w:rsidRDefault="001453F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1537</w:t>
            </w:r>
          </w:p>
        </w:tc>
        <w:tc>
          <w:tcPr>
            <w:tcW w:w="1250" w:type="dxa"/>
            <w:shd w:val="clear" w:color="auto" w:fill="auto"/>
            <w:hideMark/>
          </w:tcPr>
          <w:p w:rsidR="001453FC" w:rsidRDefault="001453FC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9.47.2</w:t>
            </w:r>
          </w:p>
        </w:tc>
        <w:tc>
          <w:tcPr>
            <w:tcW w:w="972" w:type="dxa"/>
            <w:shd w:val="clear" w:color="auto" w:fill="auto"/>
            <w:hideMark/>
          </w:tcPr>
          <w:p w:rsidR="001453FC" w:rsidRDefault="001453F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196.29</w:t>
            </w:r>
          </w:p>
        </w:tc>
        <w:tc>
          <w:tcPr>
            <w:tcW w:w="2457" w:type="dxa"/>
            <w:shd w:val="clear" w:color="auto" w:fill="auto"/>
            <w:hideMark/>
          </w:tcPr>
          <w:p w:rsidR="001453FC" w:rsidRDefault="001453FC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Cs w:val="22"/>
              </w:rPr>
              <w:t>sectorization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Cs w:val="22"/>
              </w:rPr>
              <w:t xml:space="preserve"> may increase the "hidden node" issue when there are STAs in the BSS that are not supporting it. Note that those STAs are not aware of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sectorized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procedure and will no hear the AP downlink transmission, so they can easily transmit UL data on top of AP DL transmission. Also how will the CCA be done?</w:t>
            </w:r>
          </w:p>
        </w:tc>
        <w:tc>
          <w:tcPr>
            <w:tcW w:w="2089" w:type="dxa"/>
            <w:shd w:val="clear" w:color="auto" w:fill="auto"/>
            <w:hideMark/>
          </w:tcPr>
          <w:p w:rsidR="001453FC" w:rsidRDefault="001453FC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Address the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coexistance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of the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STAs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not supporting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sectorization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with those supporting it in the same BSS.</w:t>
            </w:r>
          </w:p>
        </w:tc>
        <w:tc>
          <w:tcPr>
            <w:tcW w:w="2835" w:type="dxa"/>
            <w:shd w:val="clear" w:color="auto" w:fill="auto"/>
            <w:hideMark/>
          </w:tcPr>
          <w:p w:rsidR="001453FC" w:rsidRDefault="001453FC" w:rsidP="002B4E44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453FC" w:rsidTr="00932362">
        <w:trPr>
          <w:trHeight w:val="510"/>
        </w:trPr>
        <w:tc>
          <w:tcPr>
            <w:tcW w:w="927" w:type="dxa"/>
            <w:shd w:val="clear" w:color="auto" w:fill="auto"/>
            <w:hideMark/>
          </w:tcPr>
          <w:p w:rsidR="001453FC" w:rsidRDefault="001453F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1538</w:t>
            </w:r>
          </w:p>
        </w:tc>
        <w:tc>
          <w:tcPr>
            <w:tcW w:w="1250" w:type="dxa"/>
            <w:shd w:val="clear" w:color="auto" w:fill="auto"/>
            <w:hideMark/>
          </w:tcPr>
          <w:p w:rsidR="001453FC" w:rsidRDefault="001453FC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9.47.2</w:t>
            </w:r>
          </w:p>
        </w:tc>
        <w:tc>
          <w:tcPr>
            <w:tcW w:w="972" w:type="dxa"/>
            <w:shd w:val="clear" w:color="auto" w:fill="auto"/>
            <w:hideMark/>
          </w:tcPr>
          <w:p w:rsidR="001453FC" w:rsidRDefault="001453FC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196.49</w:t>
            </w:r>
          </w:p>
        </w:tc>
        <w:tc>
          <w:tcPr>
            <w:tcW w:w="2457" w:type="dxa"/>
            <w:shd w:val="clear" w:color="auto" w:fill="auto"/>
            <w:hideMark/>
          </w:tcPr>
          <w:p w:rsidR="001453FC" w:rsidRDefault="001453FC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"If an AP is a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sectorized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beam-capable AP, it sets the AP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SectorizedBeam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>-Capable field to 1, 2 or 3."</w:t>
            </w:r>
          </w:p>
        </w:tc>
        <w:tc>
          <w:tcPr>
            <w:tcW w:w="2089" w:type="dxa"/>
            <w:shd w:val="clear" w:color="auto" w:fill="auto"/>
            <w:hideMark/>
          </w:tcPr>
          <w:p w:rsidR="001453FC" w:rsidRDefault="001453FC">
            <w:pPr>
              <w:rPr>
                <w:rFonts w:ascii="Calibri" w:hAnsi="Calibri"/>
                <w:color w:val="000000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Cs w:val="22"/>
              </w:rPr>
              <w:t>add</w:t>
            </w:r>
            <w:proofErr w:type="gramEnd"/>
            <w:r>
              <w:rPr>
                <w:rFonts w:ascii="Calibri" w:hAnsi="Calibri"/>
                <w:color w:val="000000"/>
                <w:szCs w:val="22"/>
              </w:rPr>
              <w:t xml:space="preserve"> "as described below" or something at the end of the sentence. And replace the paragraph with the paragraph following</w:t>
            </w:r>
          </w:p>
        </w:tc>
        <w:tc>
          <w:tcPr>
            <w:tcW w:w="2835" w:type="dxa"/>
            <w:shd w:val="clear" w:color="auto" w:fill="auto"/>
            <w:hideMark/>
          </w:tcPr>
          <w:p w:rsidR="001453FC" w:rsidRDefault="001453FC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236DDA" w:rsidRDefault="00236DDA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2B1B87" w:rsidRDefault="002B1B87" w:rsidP="009709A2">
      <w:pPr>
        <w:widowControl w:val="0"/>
        <w:autoSpaceDE w:val="0"/>
        <w:autoSpaceDN w:val="0"/>
        <w:adjustRightInd w:val="0"/>
        <w:rPr>
          <w:b/>
          <w:szCs w:val="22"/>
          <w:lang w:val="en-US" w:eastAsia="ko-KR"/>
        </w:rPr>
      </w:pPr>
    </w:p>
    <w:p w:rsidR="008B61F0" w:rsidRPr="00FB29C0" w:rsidRDefault="008B61F0" w:rsidP="0039204E">
      <w:pPr>
        <w:autoSpaceDE w:val="0"/>
        <w:autoSpaceDN w:val="0"/>
        <w:adjustRightInd w:val="0"/>
        <w:rPr>
          <w:szCs w:val="22"/>
          <w:lang w:val="en-US" w:eastAsia="ko-KR"/>
        </w:rPr>
      </w:pPr>
    </w:p>
    <w:sectPr w:rsidR="008B61F0" w:rsidRPr="00FB29C0" w:rsidSect="009339D1">
      <w:headerReference w:type="default" r:id="rId13"/>
      <w:footerReference w:type="default" r:id="rId14"/>
      <w:pgSz w:w="12240" w:h="15840" w:code="1"/>
      <w:pgMar w:top="1080" w:right="1080" w:bottom="1080" w:left="360" w:header="432" w:footer="432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1D0" w:rsidRDefault="002621D0">
      <w:r>
        <w:separator/>
      </w:r>
    </w:p>
  </w:endnote>
  <w:endnote w:type="continuationSeparator" w:id="0">
    <w:p w:rsidR="002621D0" w:rsidRDefault="0026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panose1 w:val="020B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9C" w:rsidRDefault="00C46CF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53F9C">
        <w:t>Submission</w:t>
      </w:r>
    </w:fldSimple>
    <w:r w:rsidR="00F53F9C">
      <w:tab/>
      <w:t xml:space="preserve">page </w:t>
    </w:r>
    <w:fldSimple w:instr="page ">
      <w:r w:rsidR="00C14AB3">
        <w:rPr>
          <w:noProof/>
        </w:rPr>
        <w:t>1</w:t>
      </w:r>
    </w:fldSimple>
    <w:r w:rsidR="00F53F9C">
      <w:tab/>
    </w:r>
    <w:r w:rsidR="00B7428A">
      <w:rPr>
        <w:lang w:eastAsia="ko-KR"/>
      </w:rPr>
      <w:t>George Calcev</w:t>
    </w:r>
    <w:r w:rsidR="00F53F9C">
      <w:t xml:space="preserve">, </w:t>
    </w:r>
    <w:r w:rsidR="00B7428A">
      <w:t>Huawei</w:t>
    </w:r>
  </w:p>
  <w:p w:rsidR="00F53F9C" w:rsidRDefault="00F53F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1D0" w:rsidRDefault="002621D0">
      <w:r>
        <w:separator/>
      </w:r>
    </w:p>
  </w:footnote>
  <w:footnote w:type="continuationSeparator" w:id="0">
    <w:p w:rsidR="002621D0" w:rsidRDefault="00262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9C" w:rsidRDefault="0039204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F53F9C">
      <w:rPr>
        <w:rFonts w:hint="eastAsia"/>
        <w:lang w:eastAsia="ko-KR"/>
      </w:rPr>
      <w:t xml:space="preserve"> </w:t>
    </w:r>
    <w:r w:rsidR="00F53F9C">
      <w:t>201</w:t>
    </w:r>
    <w:r w:rsidR="00F53F9C">
      <w:rPr>
        <w:rFonts w:hint="eastAsia"/>
        <w:lang w:eastAsia="ko-KR"/>
      </w:rPr>
      <w:t>4</w:t>
    </w:r>
    <w:r w:rsidR="00F53F9C">
      <w:tab/>
    </w:r>
    <w:r w:rsidR="00F53F9C">
      <w:tab/>
    </w:r>
    <w:fldSimple w:instr=" TITLE  \* MERGEFORMAT ">
      <w:r w:rsidR="00F53F9C">
        <w:t>doc.: IEEE 802.11-1</w:t>
      </w:r>
      <w:r w:rsidR="00F53F9C">
        <w:rPr>
          <w:rFonts w:hint="eastAsia"/>
          <w:lang w:eastAsia="ko-KR"/>
        </w:rPr>
        <w:t>4</w:t>
      </w:r>
      <w:r w:rsidR="00F53F9C">
        <w:t>/</w:t>
      </w:r>
      <w:r w:rsidR="008B0B96" w:rsidRPr="008B0B96">
        <w:rPr>
          <w:lang w:eastAsia="ko-KR"/>
        </w:rPr>
        <w:t>1</w:t>
      </w:r>
      <w:r w:rsidR="00C14AB3">
        <w:rPr>
          <w:bCs/>
          <w:lang w:eastAsia="ko-KR"/>
        </w:rPr>
        <w:t>1-14-0</w:t>
      </w:r>
      <w:r w:rsidR="00C14AB3">
        <w:rPr>
          <w:rFonts w:hint="eastAsia"/>
          <w:bCs/>
          <w:lang w:eastAsia="ko-KR"/>
        </w:rPr>
        <w:t>644</w:t>
      </w:r>
      <w:r>
        <w:rPr>
          <w:bCs/>
          <w:lang w:eastAsia="ko-KR"/>
        </w:rPr>
        <w:t>-00</w:t>
      </w:r>
      <w:r w:rsidR="008B0B96" w:rsidRPr="008B0B96">
        <w:rPr>
          <w:bCs/>
          <w:lang w:eastAsia="ko-KR"/>
        </w:rPr>
        <w:t>-00ah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79C0D31"/>
    <w:multiLevelType w:val="hybridMultilevel"/>
    <w:tmpl w:val="A9A009F6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310421BA"/>
    <w:multiLevelType w:val="hybridMultilevel"/>
    <w:tmpl w:val="090C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3FF965D5"/>
    <w:multiLevelType w:val="hybridMultilevel"/>
    <w:tmpl w:val="74903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1">
    <w:nsid w:val="57E1151D"/>
    <w:multiLevelType w:val="hybridMultilevel"/>
    <w:tmpl w:val="703A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01AB3"/>
    <w:multiLevelType w:val="hybridMultilevel"/>
    <w:tmpl w:val="11E27F08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3">
    <w:nsid w:val="5BD3022D"/>
    <w:multiLevelType w:val="hybridMultilevel"/>
    <w:tmpl w:val="419E9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B62599F"/>
    <w:multiLevelType w:val="hybridMultilevel"/>
    <w:tmpl w:val="EA6A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3"/>
  </w:num>
  <w:num w:numId="6">
    <w:abstractNumId w:val="10"/>
  </w:num>
  <w:num w:numId="7">
    <w:abstractNumId w:val="14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2"/>
  </w:num>
  <w:num w:numId="29">
    <w:abstractNumId w:val="13"/>
  </w:num>
  <w:num w:numId="30">
    <w:abstractNumId w:val="1"/>
  </w:num>
  <w:num w:numId="31">
    <w:abstractNumId w:val="5"/>
  </w:num>
  <w:num w:numId="32">
    <w:abstractNumId w:val="15"/>
  </w:num>
  <w:num w:numId="33">
    <w:abstractNumId w:val="11"/>
  </w:num>
  <w:num w:numId="34">
    <w:abstractNumId w:val="7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01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5259"/>
    <w:rsid w:val="00006DBB"/>
    <w:rsid w:val="0000743C"/>
    <w:rsid w:val="00013F87"/>
    <w:rsid w:val="00014C70"/>
    <w:rsid w:val="000157CC"/>
    <w:rsid w:val="00017D25"/>
    <w:rsid w:val="00024344"/>
    <w:rsid w:val="00024487"/>
    <w:rsid w:val="0002737A"/>
    <w:rsid w:val="00027D05"/>
    <w:rsid w:val="000405C4"/>
    <w:rsid w:val="00052123"/>
    <w:rsid w:val="00053FCC"/>
    <w:rsid w:val="00063E1C"/>
    <w:rsid w:val="00065ADC"/>
    <w:rsid w:val="0006732A"/>
    <w:rsid w:val="00073BB4"/>
    <w:rsid w:val="00075C3C"/>
    <w:rsid w:val="00075E1E"/>
    <w:rsid w:val="00076885"/>
    <w:rsid w:val="00080ACC"/>
    <w:rsid w:val="000815C7"/>
    <w:rsid w:val="000823C8"/>
    <w:rsid w:val="000829FF"/>
    <w:rsid w:val="0008302D"/>
    <w:rsid w:val="000865AA"/>
    <w:rsid w:val="00086780"/>
    <w:rsid w:val="00090640"/>
    <w:rsid w:val="0009392C"/>
    <w:rsid w:val="00094FFA"/>
    <w:rsid w:val="000A716F"/>
    <w:rsid w:val="000B03AE"/>
    <w:rsid w:val="000D0219"/>
    <w:rsid w:val="000D0948"/>
    <w:rsid w:val="000D174A"/>
    <w:rsid w:val="000D276A"/>
    <w:rsid w:val="000D2F1B"/>
    <w:rsid w:val="000D4F5F"/>
    <w:rsid w:val="000D5EBD"/>
    <w:rsid w:val="000D674F"/>
    <w:rsid w:val="000E0494"/>
    <w:rsid w:val="000E1C37"/>
    <w:rsid w:val="000E1D7B"/>
    <w:rsid w:val="000E1DAE"/>
    <w:rsid w:val="000E4B82"/>
    <w:rsid w:val="000E720C"/>
    <w:rsid w:val="000F451F"/>
    <w:rsid w:val="000F487D"/>
    <w:rsid w:val="000F4937"/>
    <w:rsid w:val="000F5088"/>
    <w:rsid w:val="000F5903"/>
    <w:rsid w:val="000F685B"/>
    <w:rsid w:val="0010027A"/>
    <w:rsid w:val="001015F8"/>
    <w:rsid w:val="00105918"/>
    <w:rsid w:val="001079B1"/>
    <w:rsid w:val="001109AA"/>
    <w:rsid w:val="00112C6A"/>
    <w:rsid w:val="001132A8"/>
    <w:rsid w:val="00115A75"/>
    <w:rsid w:val="00120298"/>
    <w:rsid w:val="001215C0"/>
    <w:rsid w:val="0012213C"/>
    <w:rsid w:val="00122D51"/>
    <w:rsid w:val="001275D7"/>
    <w:rsid w:val="00134114"/>
    <w:rsid w:val="001448D8"/>
    <w:rsid w:val="001450BB"/>
    <w:rsid w:val="001453FC"/>
    <w:rsid w:val="001459E7"/>
    <w:rsid w:val="001514EB"/>
    <w:rsid w:val="00151BBE"/>
    <w:rsid w:val="00154B26"/>
    <w:rsid w:val="001559BB"/>
    <w:rsid w:val="0015610D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0E5D"/>
    <w:rsid w:val="001911FF"/>
    <w:rsid w:val="0019164F"/>
    <w:rsid w:val="00192C6E"/>
    <w:rsid w:val="00193C39"/>
    <w:rsid w:val="001943F7"/>
    <w:rsid w:val="001A2240"/>
    <w:rsid w:val="001A7DFA"/>
    <w:rsid w:val="001B14F2"/>
    <w:rsid w:val="001B252D"/>
    <w:rsid w:val="001B2904"/>
    <w:rsid w:val="001B63BC"/>
    <w:rsid w:val="001C304F"/>
    <w:rsid w:val="001C5238"/>
    <w:rsid w:val="001C7CCE"/>
    <w:rsid w:val="001D15ED"/>
    <w:rsid w:val="001D2842"/>
    <w:rsid w:val="001D328B"/>
    <w:rsid w:val="001D4A93"/>
    <w:rsid w:val="001E0946"/>
    <w:rsid w:val="001E7C32"/>
    <w:rsid w:val="001E7D03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2AD4"/>
    <w:rsid w:val="002239F2"/>
    <w:rsid w:val="00225508"/>
    <w:rsid w:val="00225570"/>
    <w:rsid w:val="00225682"/>
    <w:rsid w:val="002323FE"/>
    <w:rsid w:val="00234C13"/>
    <w:rsid w:val="00235D61"/>
    <w:rsid w:val="002369FD"/>
    <w:rsid w:val="00236A7E"/>
    <w:rsid w:val="00236DDA"/>
    <w:rsid w:val="0023760F"/>
    <w:rsid w:val="00237985"/>
    <w:rsid w:val="00241AD7"/>
    <w:rsid w:val="002470AC"/>
    <w:rsid w:val="00247D61"/>
    <w:rsid w:val="00252D47"/>
    <w:rsid w:val="00255A8B"/>
    <w:rsid w:val="002621D0"/>
    <w:rsid w:val="002662A5"/>
    <w:rsid w:val="00273257"/>
    <w:rsid w:val="00274C77"/>
    <w:rsid w:val="00281A5D"/>
    <w:rsid w:val="00282053"/>
    <w:rsid w:val="00284C5E"/>
    <w:rsid w:val="002902C1"/>
    <w:rsid w:val="00291A10"/>
    <w:rsid w:val="00294B37"/>
    <w:rsid w:val="00295DAE"/>
    <w:rsid w:val="002A195C"/>
    <w:rsid w:val="002A29AC"/>
    <w:rsid w:val="002A2BFA"/>
    <w:rsid w:val="002A4A61"/>
    <w:rsid w:val="002B1997"/>
    <w:rsid w:val="002B1B87"/>
    <w:rsid w:val="002B4E44"/>
    <w:rsid w:val="002C085F"/>
    <w:rsid w:val="002C239F"/>
    <w:rsid w:val="002C6B4F"/>
    <w:rsid w:val="002C6C28"/>
    <w:rsid w:val="002C72E1"/>
    <w:rsid w:val="002D1D40"/>
    <w:rsid w:val="002D3F13"/>
    <w:rsid w:val="002D518F"/>
    <w:rsid w:val="002D7ED5"/>
    <w:rsid w:val="002E08ED"/>
    <w:rsid w:val="002E1B18"/>
    <w:rsid w:val="002E4547"/>
    <w:rsid w:val="002E6FF6"/>
    <w:rsid w:val="002F25B2"/>
    <w:rsid w:val="002F2BC5"/>
    <w:rsid w:val="002F376B"/>
    <w:rsid w:val="002F5C8C"/>
    <w:rsid w:val="002F7199"/>
    <w:rsid w:val="002F7D11"/>
    <w:rsid w:val="0030359F"/>
    <w:rsid w:val="00305D6E"/>
    <w:rsid w:val="0030782E"/>
    <w:rsid w:val="00307F5F"/>
    <w:rsid w:val="003170AC"/>
    <w:rsid w:val="00320EA7"/>
    <w:rsid w:val="003214E2"/>
    <w:rsid w:val="00325AB6"/>
    <w:rsid w:val="003308A8"/>
    <w:rsid w:val="00332CD6"/>
    <w:rsid w:val="00335969"/>
    <w:rsid w:val="003449F9"/>
    <w:rsid w:val="003479E4"/>
    <w:rsid w:val="00347C43"/>
    <w:rsid w:val="00360C87"/>
    <w:rsid w:val="00366AF0"/>
    <w:rsid w:val="003713CA"/>
    <w:rsid w:val="003729FC"/>
    <w:rsid w:val="00372BC7"/>
    <w:rsid w:val="00372FCA"/>
    <w:rsid w:val="003766B9"/>
    <w:rsid w:val="00382C54"/>
    <w:rsid w:val="00383AF4"/>
    <w:rsid w:val="00384940"/>
    <w:rsid w:val="0038516A"/>
    <w:rsid w:val="00385654"/>
    <w:rsid w:val="0038601E"/>
    <w:rsid w:val="003906A1"/>
    <w:rsid w:val="0039204E"/>
    <w:rsid w:val="003924F8"/>
    <w:rsid w:val="003945E3"/>
    <w:rsid w:val="003956E3"/>
    <w:rsid w:val="00395A50"/>
    <w:rsid w:val="0039787F"/>
    <w:rsid w:val="003A161F"/>
    <w:rsid w:val="003A1693"/>
    <w:rsid w:val="003A1CC7"/>
    <w:rsid w:val="003A3196"/>
    <w:rsid w:val="003A478D"/>
    <w:rsid w:val="003A5BFF"/>
    <w:rsid w:val="003B3E64"/>
    <w:rsid w:val="003B4DAD"/>
    <w:rsid w:val="003B52F2"/>
    <w:rsid w:val="003B76BD"/>
    <w:rsid w:val="003C47D1"/>
    <w:rsid w:val="003C7004"/>
    <w:rsid w:val="003C74FF"/>
    <w:rsid w:val="003D1D90"/>
    <w:rsid w:val="003D26A5"/>
    <w:rsid w:val="003D3623"/>
    <w:rsid w:val="003D5013"/>
    <w:rsid w:val="003D5B67"/>
    <w:rsid w:val="003D78F7"/>
    <w:rsid w:val="003E5916"/>
    <w:rsid w:val="003E5CD9"/>
    <w:rsid w:val="003E667C"/>
    <w:rsid w:val="003E7414"/>
    <w:rsid w:val="003E7F99"/>
    <w:rsid w:val="003F2D6C"/>
    <w:rsid w:val="003F2FAF"/>
    <w:rsid w:val="004014AE"/>
    <w:rsid w:val="00403645"/>
    <w:rsid w:val="004051EE"/>
    <w:rsid w:val="00407C5B"/>
    <w:rsid w:val="004127BF"/>
    <w:rsid w:val="00421159"/>
    <w:rsid w:val="004215D0"/>
    <w:rsid w:val="0043604F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1935"/>
    <w:rsid w:val="00462172"/>
    <w:rsid w:val="0047267B"/>
    <w:rsid w:val="00475A71"/>
    <w:rsid w:val="00482AD0"/>
    <w:rsid w:val="00483999"/>
    <w:rsid w:val="0048450B"/>
    <w:rsid w:val="0049468A"/>
    <w:rsid w:val="004A0AF4"/>
    <w:rsid w:val="004B1BE6"/>
    <w:rsid w:val="004B493F"/>
    <w:rsid w:val="004C0F0A"/>
    <w:rsid w:val="004C10FB"/>
    <w:rsid w:val="004C3C2A"/>
    <w:rsid w:val="004C7CE0"/>
    <w:rsid w:val="004D03A1"/>
    <w:rsid w:val="004D071D"/>
    <w:rsid w:val="004D2D75"/>
    <w:rsid w:val="004D6BE8"/>
    <w:rsid w:val="004D7188"/>
    <w:rsid w:val="004E0F2C"/>
    <w:rsid w:val="004E518F"/>
    <w:rsid w:val="004F0CB7"/>
    <w:rsid w:val="004F4564"/>
    <w:rsid w:val="0050128F"/>
    <w:rsid w:val="00501E52"/>
    <w:rsid w:val="00503770"/>
    <w:rsid w:val="00504958"/>
    <w:rsid w:val="00504AA2"/>
    <w:rsid w:val="005065EB"/>
    <w:rsid w:val="0051183D"/>
    <w:rsid w:val="00517ED6"/>
    <w:rsid w:val="00520B8C"/>
    <w:rsid w:val="0052151C"/>
    <w:rsid w:val="005243B4"/>
    <w:rsid w:val="0052574F"/>
    <w:rsid w:val="00527489"/>
    <w:rsid w:val="00527BB3"/>
    <w:rsid w:val="00531734"/>
    <w:rsid w:val="0053254A"/>
    <w:rsid w:val="00535BBB"/>
    <w:rsid w:val="0054235E"/>
    <w:rsid w:val="0054425D"/>
    <w:rsid w:val="00552D09"/>
    <w:rsid w:val="0055459B"/>
    <w:rsid w:val="005545A1"/>
    <w:rsid w:val="00554995"/>
    <w:rsid w:val="00554EEF"/>
    <w:rsid w:val="0055527D"/>
    <w:rsid w:val="00567934"/>
    <w:rsid w:val="0057025E"/>
    <w:rsid w:val="005702B6"/>
    <w:rsid w:val="005703A1"/>
    <w:rsid w:val="00571583"/>
    <w:rsid w:val="00572338"/>
    <w:rsid w:val="00572E7A"/>
    <w:rsid w:val="00583212"/>
    <w:rsid w:val="00585D8F"/>
    <w:rsid w:val="00586072"/>
    <w:rsid w:val="00586310"/>
    <w:rsid w:val="0058644C"/>
    <w:rsid w:val="00587F10"/>
    <w:rsid w:val="00591351"/>
    <w:rsid w:val="00591EC7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284A"/>
    <w:rsid w:val="005C2CBE"/>
    <w:rsid w:val="005C3D7C"/>
    <w:rsid w:val="005C4204"/>
    <w:rsid w:val="005C6823"/>
    <w:rsid w:val="005D33B5"/>
    <w:rsid w:val="005D5C6E"/>
    <w:rsid w:val="005E3E49"/>
    <w:rsid w:val="005E768D"/>
    <w:rsid w:val="005F19DD"/>
    <w:rsid w:val="005F292F"/>
    <w:rsid w:val="005F4AD8"/>
    <w:rsid w:val="005F5ADA"/>
    <w:rsid w:val="005F695C"/>
    <w:rsid w:val="00600A10"/>
    <w:rsid w:val="0060320F"/>
    <w:rsid w:val="00615E8C"/>
    <w:rsid w:val="00620F3F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36A0A"/>
    <w:rsid w:val="00644E29"/>
    <w:rsid w:val="006548B7"/>
    <w:rsid w:val="00654B3B"/>
    <w:rsid w:val="00656882"/>
    <w:rsid w:val="00657DBD"/>
    <w:rsid w:val="00661769"/>
    <w:rsid w:val="00662343"/>
    <w:rsid w:val="0066483B"/>
    <w:rsid w:val="0067069C"/>
    <w:rsid w:val="00671F29"/>
    <w:rsid w:val="00672F9C"/>
    <w:rsid w:val="0067305F"/>
    <w:rsid w:val="00680308"/>
    <w:rsid w:val="0068429C"/>
    <w:rsid w:val="00687476"/>
    <w:rsid w:val="0069038E"/>
    <w:rsid w:val="00693612"/>
    <w:rsid w:val="00694D80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332F"/>
    <w:rsid w:val="006C3C1D"/>
    <w:rsid w:val="006D3377"/>
    <w:rsid w:val="006D3E5E"/>
    <w:rsid w:val="006D5362"/>
    <w:rsid w:val="006E181A"/>
    <w:rsid w:val="006E2D44"/>
    <w:rsid w:val="006F0405"/>
    <w:rsid w:val="006F3DD4"/>
    <w:rsid w:val="007033E0"/>
    <w:rsid w:val="00711E05"/>
    <w:rsid w:val="007220CF"/>
    <w:rsid w:val="00724942"/>
    <w:rsid w:val="00727341"/>
    <w:rsid w:val="007344AB"/>
    <w:rsid w:val="00734F1A"/>
    <w:rsid w:val="00736065"/>
    <w:rsid w:val="0074006F"/>
    <w:rsid w:val="00741D75"/>
    <w:rsid w:val="0074621F"/>
    <w:rsid w:val="007463FB"/>
    <w:rsid w:val="007513CD"/>
    <w:rsid w:val="00755695"/>
    <w:rsid w:val="0076063E"/>
    <w:rsid w:val="0076196C"/>
    <w:rsid w:val="00766589"/>
    <w:rsid w:val="00766B1A"/>
    <w:rsid w:val="00766DFE"/>
    <w:rsid w:val="00786A15"/>
    <w:rsid w:val="007914E4"/>
    <w:rsid w:val="007914F3"/>
    <w:rsid w:val="007926D8"/>
    <w:rsid w:val="00794BC4"/>
    <w:rsid w:val="00794F1E"/>
    <w:rsid w:val="007953C2"/>
    <w:rsid w:val="00795C50"/>
    <w:rsid w:val="007A098E"/>
    <w:rsid w:val="007A5765"/>
    <w:rsid w:val="007A5B89"/>
    <w:rsid w:val="007B7D06"/>
    <w:rsid w:val="007C0795"/>
    <w:rsid w:val="007C14AD"/>
    <w:rsid w:val="007C6C61"/>
    <w:rsid w:val="007D2A02"/>
    <w:rsid w:val="007D3D37"/>
    <w:rsid w:val="007D4D44"/>
    <w:rsid w:val="007D50FF"/>
    <w:rsid w:val="007D6B5D"/>
    <w:rsid w:val="007D7EB7"/>
    <w:rsid w:val="007E21DF"/>
    <w:rsid w:val="007E5479"/>
    <w:rsid w:val="007F2366"/>
    <w:rsid w:val="007F5295"/>
    <w:rsid w:val="007F6EC7"/>
    <w:rsid w:val="007F75A8"/>
    <w:rsid w:val="00802FC5"/>
    <w:rsid w:val="0081078F"/>
    <w:rsid w:val="008138C1"/>
    <w:rsid w:val="00816B48"/>
    <w:rsid w:val="00817DFB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77E3"/>
    <w:rsid w:val="008378E7"/>
    <w:rsid w:val="00840667"/>
    <w:rsid w:val="0085231C"/>
    <w:rsid w:val="00852B3C"/>
    <w:rsid w:val="00853048"/>
    <w:rsid w:val="008532E6"/>
    <w:rsid w:val="0085795D"/>
    <w:rsid w:val="00862177"/>
    <w:rsid w:val="0086345E"/>
    <w:rsid w:val="00866075"/>
    <w:rsid w:val="00866701"/>
    <w:rsid w:val="0086745D"/>
    <w:rsid w:val="00872CEB"/>
    <w:rsid w:val="008776B0"/>
    <w:rsid w:val="0088012D"/>
    <w:rsid w:val="008801C4"/>
    <w:rsid w:val="00881C47"/>
    <w:rsid w:val="00884237"/>
    <w:rsid w:val="00887583"/>
    <w:rsid w:val="00891445"/>
    <w:rsid w:val="00897183"/>
    <w:rsid w:val="008A5AFD"/>
    <w:rsid w:val="008B0B96"/>
    <w:rsid w:val="008B47B4"/>
    <w:rsid w:val="008B5396"/>
    <w:rsid w:val="008B61F0"/>
    <w:rsid w:val="008C41AF"/>
    <w:rsid w:val="008C4913"/>
    <w:rsid w:val="008C5478"/>
    <w:rsid w:val="008C57E5"/>
    <w:rsid w:val="008C5AD6"/>
    <w:rsid w:val="008C5D4E"/>
    <w:rsid w:val="008C7A4B"/>
    <w:rsid w:val="008D0C05"/>
    <w:rsid w:val="008D55B6"/>
    <w:rsid w:val="008D71CE"/>
    <w:rsid w:val="008E041E"/>
    <w:rsid w:val="008E0E94"/>
    <w:rsid w:val="008E25CE"/>
    <w:rsid w:val="008E444B"/>
    <w:rsid w:val="008E54E3"/>
    <w:rsid w:val="008F039B"/>
    <w:rsid w:val="008F1C67"/>
    <w:rsid w:val="008F238D"/>
    <w:rsid w:val="00905A7F"/>
    <w:rsid w:val="00910F8F"/>
    <w:rsid w:val="0091118D"/>
    <w:rsid w:val="0092075E"/>
    <w:rsid w:val="009225A7"/>
    <w:rsid w:val="00927EB9"/>
    <w:rsid w:val="00927FEB"/>
    <w:rsid w:val="00932362"/>
    <w:rsid w:val="009339D1"/>
    <w:rsid w:val="00936D66"/>
    <w:rsid w:val="0094091B"/>
    <w:rsid w:val="00943075"/>
    <w:rsid w:val="00944591"/>
    <w:rsid w:val="00944CAA"/>
    <w:rsid w:val="00951CE8"/>
    <w:rsid w:val="00953565"/>
    <w:rsid w:val="00954C90"/>
    <w:rsid w:val="00962886"/>
    <w:rsid w:val="009709A2"/>
    <w:rsid w:val="009723A1"/>
    <w:rsid w:val="00973614"/>
    <w:rsid w:val="00974DED"/>
    <w:rsid w:val="009763CA"/>
    <w:rsid w:val="0097724C"/>
    <w:rsid w:val="00980866"/>
    <w:rsid w:val="00980D24"/>
    <w:rsid w:val="009824DF"/>
    <w:rsid w:val="00982A2F"/>
    <w:rsid w:val="0098405A"/>
    <w:rsid w:val="00991A93"/>
    <w:rsid w:val="009A0E5E"/>
    <w:rsid w:val="009A2737"/>
    <w:rsid w:val="009B09CD"/>
    <w:rsid w:val="009B2383"/>
    <w:rsid w:val="009B4356"/>
    <w:rsid w:val="009C30AA"/>
    <w:rsid w:val="009C43D1"/>
    <w:rsid w:val="009C59A6"/>
    <w:rsid w:val="009C6A52"/>
    <w:rsid w:val="009D0AB2"/>
    <w:rsid w:val="009D3276"/>
    <w:rsid w:val="009D444C"/>
    <w:rsid w:val="009D4525"/>
    <w:rsid w:val="009D4D68"/>
    <w:rsid w:val="009E2785"/>
    <w:rsid w:val="009E7A43"/>
    <w:rsid w:val="009F08F6"/>
    <w:rsid w:val="009F3F07"/>
    <w:rsid w:val="009F7755"/>
    <w:rsid w:val="00A00EE5"/>
    <w:rsid w:val="00A049E2"/>
    <w:rsid w:val="00A12431"/>
    <w:rsid w:val="00A1344B"/>
    <w:rsid w:val="00A217CD"/>
    <w:rsid w:val="00A219E7"/>
    <w:rsid w:val="00A2417A"/>
    <w:rsid w:val="00A26D8D"/>
    <w:rsid w:val="00A328C1"/>
    <w:rsid w:val="00A40884"/>
    <w:rsid w:val="00A43B6B"/>
    <w:rsid w:val="00A45C7E"/>
    <w:rsid w:val="00A46F2F"/>
    <w:rsid w:val="00A477E6"/>
    <w:rsid w:val="00A47C1B"/>
    <w:rsid w:val="00A5337D"/>
    <w:rsid w:val="00A57CE8"/>
    <w:rsid w:val="00A66CBC"/>
    <w:rsid w:val="00A70990"/>
    <w:rsid w:val="00A77009"/>
    <w:rsid w:val="00A8258D"/>
    <w:rsid w:val="00A844CE"/>
    <w:rsid w:val="00A90385"/>
    <w:rsid w:val="00A91EAA"/>
    <w:rsid w:val="00A9264B"/>
    <w:rsid w:val="00A96DCC"/>
    <w:rsid w:val="00AA188F"/>
    <w:rsid w:val="00AA3C3D"/>
    <w:rsid w:val="00AA5C69"/>
    <w:rsid w:val="00AA63A9"/>
    <w:rsid w:val="00AA64F8"/>
    <w:rsid w:val="00AA6F19"/>
    <w:rsid w:val="00AA7E07"/>
    <w:rsid w:val="00AB17F6"/>
    <w:rsid w:val="00AB25B7"/>
    <w:rsid w:val="00AC0A90"/>
    <w:rsid w:val="00AC2379"/>
    <w:rsid w:val="00AC76C6"/>
    <w:rsid w:val="00AD268D"/>
    <w:rsid w:val="00AD3749"/>
    <w:rsid w:val="00AD6723"/>
    <w:rsid w:val="00AD6AE6"/>
    <w:rsid w:val="00AE3024"/>
    <w:rsid w:val="00AE747B"/>
    <w:rsid w:val="00AF1E59"/>
    <w:rsid w:val="00AF7A26"/>
    <w:rsid w:val="00AF7A3E"/>
    <w:rsid w:val="00B0051A"/>
    <w:rsid w:val="00B03DB7"/>
    <w:rsid w:val="00B04957"/>
    <w:rsid w:val="00B04CB8"/>
    <w:rsid w:val="00B11981"/>
    <w:rsid w:val="00B16515"/>
    <w:rsid w:val="00B20BC7"/>
    <w:rsid w:val="00B447D8"/>
    <w:rsid w:val="00B45A5E"/>
    <w:rsid w:val="00B51194"/>
    <w:rsid w:val="00B52374"/>
    <w:rsid w:val="00B54777"/>
    <w:rsid w:val="00B5499F"/>
    <w:rsid w:val="00B54BCB"/>
    <w:rsid w:val="00B56B13"/>
    <w:rsid w:val="00B60DD2"/>
    <w:rsid w:val="00B63F1C"/>
    <w:rsid w:val="00B7006B"/>
    <w:rsid w:val="00B73C63"/>
    <w:rsid w:val="00B7428A"/>
    <w:rsid w:val="00B74A35"/>
    <w:rsid w:val="00B74E3D"/>
    <w:rsid w:val="00B753D1"/>
    <w:rsid w:val="00B75E96"/>
    <w:rsid w:val="00B772F2"/>
    <w:rsid w:val="00B77BB8"/>
    <w:rsid w:val="00B83455"/>
    <w:rsid w:val="00B83960"/>
    <w:rsid w:val="00B844E8"/>
    <w:rsid w:val="00B94B98"/>
    <w:rsid w:val="00B94CAC"/>
    <w:rsid w:val="00BA787B"/>
    <w:rsid w:val="00BB20F2"/>
    <w:rsid w:val="00BB67AE"/>
    <w:rsid w:val="00BC5869"/>
    <w:rsid w:val="00BD003A"/>
    <w:rsid w:val="00BD1D45"/>
    <w:rsid w:val="00BD2653"/>
    <w:rsid w:val="00BD3E62"/>
    <w:rsid w:val="00BD459E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178F"/>
    <w:rsid w:val="00C1356B"/>
    <w:rsid w:val="00C14AB3"/>
    <w:rsid w:val="00C151D0"/>
    <w:rsid w:val="00C237F5"/>
    <w:rsid w:val="00C24241"/>
    <w:rsid w:val="00C24A70"/>
    <w:rsid w:val="00C317AA"/>
    <w:rsid w:val="00C325C5"/>
    <w:rsid w:val="00C34B1A"/>
    <w:rsid w:val="00C36247"/>
    <w:rsid w:val="00C45A69"/>
    <w:rsid w:val="00C46AA2"/>
    <w:rsid w:val="00C46CF9"/>
    <w:rsid w:val="00C51170"/>
    <w:rsid w:val="00C542F0"/>
    <w:rsid w:val="00C55F0E"/>
    <w:rsid w:val="00C57CDB"/>
    <w:rsid w:val="00C60A9B"/>
    <w:rsid w:val="00C6108B"/>
    <w:rsid w:val="00C6354A"/>
    <w:rsid w:val="00C71CF5"/>
    <w:rsid w:val="00C72BC1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97719"/>
    <w:rsid w:val="00CA2591"/>
    <w:rsid w:val="00CA6934"/>
    <w:rsid w:val="00CA69FC"/>
    <w:rsid w:val="00CB285C"/>
    <w:rsid w:val="00CB7A46"/>
    <w:rsid w:val="00CB7AC4"/>
    <w:rsid w:val="00CC35D4"/>
    <w:rsid w:val="00CC3806"/>
    <w:rsid w:val="00CC39C7"/>
    <w:rsid w:val="00CC7311"/>
    <w:rsid w:val="00CD0ABD"/>
    <w:rsid w:val="00CD259C"/>
    <w:rsid w:val="00CE3DDC"/>
    <w:rsid w:val="00CE5EE2"/>
    <w:rsid w:val="00CE63EE"/>
    <w:rsid w:val="00CF16FB"/>
    <w:rsid w:val="00CF2295"/>
    <w:rsid w:val="00CF3BDE"/>
    <w:rsid w:val="00D03F8F"/>
    <w:rsid w:val="00D0639A"/>
    <w:rsid w:val="00D07ABE"/>
    <w:rsid w:val="00D237E8"/>
    <w:rsid w:val="00D25F96"/>
    <w:rsid w:val="00D307A6"/>
    <w:rsid w:val="00D36C35"/>
    <w:rsid w:val="00D42073"/>
    <w:rsid w:val="00D45EE1"/>
    <w:rsid w:val="00D5432B"/>
    <w:rsid w:val="00D5494D"/>
    <w:rsid w:val="00D561DF"/>
    <w:rsid w:val="00D574CA"/>
    <w:rsid w:val="00D57819"/>
    <w:rsid w:val="00D6072C"/>
    <w:rsid w:val="00D618A3"/>
    <w:rsid w:val="00D64BEA"/>
    <w:rsid w:val="00D7117A"/>
    <w:rsid w:val="00D72906"/>
    <w:rsid w:val="00D72BC8"/>
    <w:rsid w:val="00D73E07"/>
    <w:rsid w:val="00D826B4"/>
    <w:rsid w:val="00D84566"/>
    <w:rsid w:val="00D92951"/>
    <w:rsid w:val="00D93C3B"/>
    <w:rsid w:val="00D94B05"/>
    <w:rsid w:val="00D9667F"/>
    <w:rsid w:val="00D96975"/>
    <w:rsid w:val="00DA2B9A"/>
    <w:rsid w:val="00DA3D06"/>
    <w:rsid w:val="00DB4B77"/>
    <w:rsid w:val="00DB6B0C"/>
    <w:rsid w:val="00DB7D1B"/>
    <w:rsid w:val="00DC176F"/>
    <w:rsid w:val="00DC2B1D"/>
    <w:rsid w:val="00DC5F4D"/>
    <w:rsid w:val="00DC77AA"/>
    <w:rsid w:val="00DD3BD5"/>
    <w:rsid w:val="00DD6EB7"/>
    <w:rsid w:val="00DE2E19"/>
    <w:rsid w:val="00DE385C"/>
    <w:rsid w:val="00DE6B30"/>
    <w:rsid w:val="00DF15D7"/>
    <w:rsid w:val="00DF6CC2"/>
    <w:rsid w:val="00E006E4"/>
    <w:rsid w:val="00E01DB7"/>
    <w:rsid w:val="00E02AAD"/>
    <w:rsid w:val="00E06DCA"/>
    <w:rsid w:val="00E07608"/>
    <w:rsid w:val="00E0769B"/>
    <w:rsid w:val="00E07E4A"/>
    <w:rsid w:val="00E101F5"/>
    <w:rsid w:val="00E22FC8"/>
    <w:rsid w:val="00E24644"/>
    <w:rsid w:val="00E32B08"/>
    <w:rsid w:val="00E33B8F"/>
    <w:rsid w:val="00E53C1B"/>
    <w:rsid w:val="00E54D26"/>
    <w:rsid w:val="00E5708C"/>
    <w:rsid w:val="00E610D6"/>
    <w:rsid w:val="00E65013"/>
    <w:rsid w:val="00E701F3"/>
    <w:rsid w:val="00E71C91"/>
    <w:rsid w:val="00E74E87"/>
    <w:rsid w:val="00E772DB"/>
    <w:rsid w:val="00E80182"/>
    <w:rsid w:val="00E8027B"/>
    <w:rsid w:val="00E81353"/>
    <w:rsid w:val="00E81437"/>
    <w:rsid w:val="00E839F1"/>
    <w:rsid w:val="00E873C2"/>
    <w:rsid w:val="00E9535F"/>
    <w:rsid w:val="00EA2CE4"/>
    <w:rsid w:val="00EA48D0"/>
    <w:rsid w:val="00EA6DCB"/>
    <w:rsid w:val="00EA7579"/>
    <w:rsid w:val="00EB5ADB"/>
    <w:rsid w:val="00ED6FC5"/>
    <w:rsid w:val="00EE2AF3"/>
    <w:rsid w:val="00EE461A"/>
    <w:rsid w:val="00EE55B2"/>
    <w:rsid w:val="00EE61C3"/>
    <w:rsid w:val="00EE7DA9"/>
    <w:rsid w:val="00EF34D3"/>
    <w:rsid w:val="00EF6B9E"/>
    <w:rsid w:val="00F0401B"/>
    <w:rsid w:val="00F04FF6"/>
    <w:rsid w:val="00F109FC"/>
    <w:rsid w:val="00F1365E"/>
    <w:rsid w:val="00F2561F"/>
    <w:rsid w:val="00F2637D"/>
    <w:rsid w:val="00F30AB8"/>
    <w:rsid w:val="00F342FD"/>
    <w:rsid w:val="00F34E9E"/>
    <w:rsid w:val="00F41666"/>
    <w:rsid w:val="00F41684"/>
    <w:rsid w:val="00F44755"/>
    <w:rsid w:val="00F455E0"/>
    <w:rsid w:val="00F45E7C"/>
    <w:rsid w:val="00F53F9C"/>
    <w:rsid w:val="00F5458D"/>
    <w:rsid w:val="00F54F3A"/>
    <w:rsid w:val="00F659E1"/>
    <w:rsid w:val="00F739C0"/>
    <w:rsid w:val="00F80366"/>
    <w:rsid w:val="00F808C5"/>
    <w:rsid w:val="00F832E1"/>
    <w:rsid w:val="00F85369"/>
    <w:rsid w:val="00F9329D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29C0"/>
    <w:rsid w:val="00FB33E4"/>
    <w:rsid w:val="00FC18E0"/>
    <w:rsid w:val="00FC20C3"/>
    <w:rsid w:val="00FC29BA"/>
    <w:rsid w:val="00FC2BFD"/>
    <w:rsid w:val="00FC64E4"/>
    <w:rsid w:val="00FD217E"/>
    <w:rsid w:val="00FD554D"/>
    <w:rsid w:val="00FD5B24"/>
    <w:rsid w:val="00FE117C"/>
    <w:rsid w:val="00FE31E9"/>
    <w:rsid w:val="00FE362B"/>
    <w:rsid w:val="00FE37EF"/>
    <w:rsid w:val="00FE5C16"/>
    <w:rsid w:val="00FF21B5"/>
    <w:rsid w:val="00FF373C"/>
    <w:rsid w:val="00FF7E7B"/>
    <w:rsid w:val="00FF7EE7"/>
    <w:rsid w:val="00FF7FA0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898342">
    <w:name w:val="SP.8.98342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43">
    <w:name w:val="SP.8.98343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14">
    <w:name w:val="SP.8.98314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898305">
    <w:name w:val="SP.8.98305"/>
    <w:basedOn w:val="Normal"/>
    <w:next w:val="Normal"/>
    <w:uiPriority w:val="99"/>
    <w:rsid w:val="00D03F8F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8114704">
    <w:name w:val="SC.8.114704"/>
    <w:uiPriority w:val="99"/>
    <w:rsid w:val="00D03F8F"/>
    <w:rPr>
      <w:color w:val="000000"/>
      <w:sz w:val="20"/>
      <w:szCs w:val="20"/>
    </w:rPr>
  </w:style>
  <w:style w:type="paragraph" w:customStyle="1" w:styleId="SP7299046">
    <w:name w:val="SP.7.299046"/>
    <w:basedOn w:val="Normal"/>
    <w:next w:val="Normal"/>
    <w:uiPriority w:val="99"/>
    <w:rsid w:val="00D25F9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2">
    <w:name w:val="SP.7.299012"/>
    <w:basedOn w:val="Normal"/>
    <w:next w:val="Normal"/>
    <w:uiPriority w:val="99"/>
    <w:rsid w:val="00D25F9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7299018">
    <w:name w:val="SP.7.299018"/>
    <w:basedOn w:val="Normal"/>
    <w:next w:val="Normal"/>
    <w:uiPriority w:val="99"/>
    <w:rsid w:val="00D25F9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7200720">
    <w:name w:val="SC.7.200720"/>
    <w:uiPriority w:val="99"/>
    <w:rsid w:val="00D25F96"/>
    <w:rPr>
      <w:color w:val="000000"/>
      <w:sz w:val="20"/>
      <w:szCs w:val="20"/>
    </w:rPr>
  </w:style>
  <w:style w:type="paragraph" w:customStyle="1" w:styleId="SP7299020">
    <w:name w:val="SP.7.299020"/>
    <w:basedOn w:val="Normal"/>
    <w:next w:val="Normal"/>
    <w:uiPriority w:val="99"/>
    <w:rsid w:val="002D3F13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highlight1">
    <w:name w:val="highlight1"/>
    <w:basedOn w:val="DefaultParagraphFont"/>
    <w:rsid w:val="008B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e.Calcev@huawei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ounghoon.kwon@huawe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ngho.seok@lg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nho@etri.re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.wang@meddiatek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6B9D-FC18-4BA0-B955-5829A099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3152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Young Hoon Kwon</cp:lastModifiedBy>
  <cp:revision>2</cp:revision>
  <cp:lastPrinted>2010-05-04T03:47:00Z</cp:lastPrinted>
  <dcterms:created xsi:type="dcterms:W3CDTF">2014-05-13T00:47:00Z</dcterms:created>
  <dcterms:modified xsi:type="dcterms:W3CDTF">2014-05-13T00:47:00Z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new_ms_pID_72543">
    <vt:lpwstr>(3)bWPK32lFDqaRGCjwYiX87iTq+/AId8JvfTKu2Yds7qvRP8Y65n2fZ9PtUJi7IvkO5q05owjC
/RGDrKSvtFXYgU3ihOCHO9P8wMpG5tmnRoerGSC3gBcuNOLg4Tzb5NckRq2G3taNI62E0fgX
/PUz2LE+udMSD2lUuoDBvaz1CCaspCY++d2DCPt4BG02u4/C2QXW+CArH6E/f4+GU2Q1dtrs
ocTzgSMu5oVnKjXs8R</vt:lpwstr>
  </property>
  <property fmtid="{D5CDD505-2E9C-101B-9397-08002B2CF9AE}" pid="4" name="_new_ms_pID_725431">
    <vt:lpwstr>q/zHQJ0dckUoSRy4wCE2wOXPxwbH7JkH3EPfyW2gZE06VbswcMpxNB
y096RVwCE3KSAW77cK30b/LkF17q3IQi191Mn1tgXes5/2emV3sJgtcsqKA0VShf2M6+OdGK
7PxsJm+35Ka0+33D5umNRDbfzvbTNtV7TMPHLpxPHqTdZsdt4w22FVczl9gqDcZ+1OsSJFNT
kWuoF2VOfuP5je3tefvzzyO1qqBq28MMBpRb</vt:lpwstr>
  </property>
  <property fmtid="{D5CDD505-2E9C-101B-9397-08002B2CF9AE}" pid="5" name="_new_ms_pID_725432">
    <vt:lpwstr>+t1fnTWIXfIP6HZrdOol5Cxbzat4j9I8opqg_x000d_ T0JGxgsKmpldo6hvqf8rv217G6eROzO5nxli4OftN8lSJN4e3GB8+lFYomlj4fjvNAPGRod9_x000d_ EksL9NouDFWdXQWI78QH3Q==</vt:lpwstr>
  </property>
  <property fmtid="{D5CDD505-2E9C-101B-9397-08002B2CF9AE}" pid="6" name="sflag">
    <vt:lpwstr>1399940878</vt:lpwstr>
  </property>
</Properties>
</file>