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3250C" w:rsidP="00CC7709">
            <w:pPr>
              <w:pStyle w:val="T2"/>
            </w:pPr>
            <w:r>
              <w:t>Clarification to 11ad BSS Type definition</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13250C">
              <w:rPr>
                <w:b w:val="0"/>
                <w:sz w:val="20"/>
              </w:rPr>
              <w:t>0</w:t>
            </w:r>
            <w:r w:rsidR="007F1F99">
              <w:rPr>
                <w:b w:val="0"/>
                <w:sz w:val="20"/>
              </w:rPr>
              <w:t>4</w:t>
            </w:r>
            <w:r>
              <w:rPr>
                <w:b w:val="0"/>
                <w:sz w:val="20"/>
              </w:rPr>
              <w:t>-</w:t>
            </w:r>
            <w:r w:rsidR="007F1F99">
              <w:rPr>
                <w:b w:val="0"/>
                <w:sz w:val="20"/>
              </w:rPr>
              <w:t>3</w:t>
            </w:r>
            <w:r w:rsidR="00B92529">
              <w:rPr>
                <w:b w:val="0"/>
                <w:sz w:val="20"/>
              </w:rPr>
              <w:t>0</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ED44D8"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ED44D8"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r>
                    <w:rPr>
                      <w:szCs w:val="22"/>
                    </w:rPr>
                    <w:t xml:space="preserve">This submission </w:t>
                  </w:r>
                  <w:r w:rsidR="00625BFE">
                    <w:rPr>
                      <w:szCs w:val="22"/>
                    </w:rPr>
                    <w:t xml:space="preserve">resolves an inconsistency between </w:t>
                  </w:r>
                  <w:r w:rsidR="0013250C">
                    <w:rPr>
                      <w:szCs w:val="22"/>
                    </w:rPr>
                    <w:t>the definition of the BSS Type field</w:t>
                  </w:r>
                  <w:r w:rsidR="00625BFE">
                    <w:rPr>
                      <w:szCs w:val="22"/>
                    </w:rPr>
                    <w:t xml:space="preserve"> and the description in the corresponding table</w:t>
                  </w:r>
                  <w:r w:rsidR="0013250C">
                    <w:rPr>
                      <w:szCs w:val="22"/>
                    </w:rPr>
                    <w:t>. There is no CID associated with this change.</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0013250C">
                    <w:rPr>
                      <w:szCs w:val="22"/>
                    </w:rPr>
                    <w:t>Draft P802.11REVmc_D2.6</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625BFE" w:rsidRPr="0013250C" w:rsidRDefault="0013250C" w:rsidP="00625BFE">
      <w:r w:rsidRPr="00CE584A">
        <w:rPr>
          <w:b/>
        </w:rPr>
        <w:lastRenderedPageBreak/>
        <w:t>Discussion</w:t>
      </w:r>
      <w:r w:rsidRPr="0013250C">
        <w:t>:</w:t>
      </w:r>
      <w:r>
        <w:t xml:space="preserve"> </w:t>
      </w:r>
      <w:r w:rsidR="00625BFE">
        <w:t>There is a</w:t>
      </w:r>
      <w:r w:rsidR="00D2556F">
        <w:t>n</w:t>
      </w:r>
      <w:r w:rsidR="00625BFE">
        <w:t xml:space="preserve"> inconsistency between the definition of the BSS Type field in </w:t>
      </w:r>
      <w:r w:rsidR="00CE584A">
        <w:t>8.4.1.146</w:t>
      </w:r>
      <w:r w:rsidR="00625BFE">
        <w:t xml:space="preserve"> and the table that lists its possible values. </w:t>
      </w:r>
      <w:r w:rsidR="00D2556F">
        <w:t>Need to reconcile the definition and the table.</w:t>
      </w:r>
      <w:r w:rsidR="00835460">
        <w:t xml:space="preserve"> In particular, </w:t>
      </w:r>
      <w:r w:rsidR="00DE2127">
        <w:t xml:space="preserve">it is possible to reuse the value of </w:t>
      </w:r>
      <w:r w:rsidR="00835460">
        <w:t xml:space="preserve">BSS Type=1 </w:t>
      </w:r>
      <w:r w:rsidR="00DE2127">
        <w:t xml:space="preserve">to </w:t>
      </w:r>
      <w:r w:rsidR="00835460">
        <w:t>also apply for the case when the BSS i</w:t>
      </w:r>
      <w:r w:rsidR="00DE2127">
        <w:t>s not yet formed (i.e., no BSS) – there are no identified nega</w:t>
      </w:r>
      <w:r w:rsidR="0017637D">
        <w:t>tive side effects of this usage and it saves the Reserved bit for the future.</w:t>
      </w:r>
    </w:p>
    <w:p w:rsidR="00CE584A" w:rsidRPr="0013250C" w:rsidRDefault="00CE584A" w:rsidP="00624DD9"/>
    <w:p w:rsidR="00625BFE" w:rsidRPr="00625BFE" w:rsidRDefault="00625BFE" w:rsidP="00624DD9">
      <w:pPr>
        <w:rPr>
          <w:b/>
        </w:rPr>
      </w:pPr>
      <w:r w:rsidRPr="00625BFE">
        <w:rPr>
          <w:b/>
        </w:rPr>
        <w:t>Proposed change</w:t>
      </w:r>
      <w:r>
        <w:rPr>
          <w:b/>
        </w:rPr>
        <w:t>:</w:t>
      </w:r>
    </w:p>
    <w:p w:rsidR="00625BFE" w:rsidRPr="0013250C" w:rsidRDefault="00625BFE" w:rsidP="00624DD9"/>
    <w:p w:rsidR="0013250C" w:rsidRPr="0013250C" w:rsidRDefault="0013250C" w:rsidP="00624DD9">
      <w:r w:rsidRPr="0013250C">
        <w:rPr>
          <w:rFonts w:ascii="Arial-BoldMT" w:hAnsi="Arial-BoldMT" w:cs="Arial-BoldMT"/>
          <w:b/>
          <w:bCs/>
          <w:sz w:val="20"/>
          <w:lang w:val="en-US" w:eastAsia="ko-KR"/>
        </w:rPr>
        <w:t>8.4.1.46 DMG Parameters field</w:t>
      </w:r>
    </w:p>
    <w:p w:rsidR="0013250C" w:rsidRDefault="0013250C" w:rsidP="00624DD9"/>
    <w:p w:rsidR="00625BFE" w:rsidRPr="00625BFE" w:rsidRDefault="00625BFE" w:rsidP="00624DD9">
      <w:pPr>
        <w:rPr>
          <w:b/>
          <w:i/>
        </w:rPr>
      </w:pPr>
      <w:r w:rsidRPr="00625BFE">
        <w:rPr>
          <w:b/>
          <w:i/>
        </w:rPr>
        <w:t>Change the second paragraph as follows</w:t>
      </w:r>
    </w:p>
    <w:p w:rsidR="00625BFE" w:rsidRDefault="00625BFE" w:rsidP="00624DD9"/>
    <w:p w:rsidR="00625BFE" w:rsidRDefault="00625BFE" w:rsidP="00625BFE">
      <w:pPr>
        <w:autoSpaceDE w:val="0"/>
        <w:autoSpaceDN w:val="0"/>
        <w:adjustRightInd w:val="0"/>
      </w:pPr>
      <w:r>
        <w:rPr>
          <w:rFonts w:ascii="TimesNewRomanPSMT" w:hAnsi="TimesNewRomanPSMT" w:cs="TimesNewRomanPSMT"/>
          <w:sz w:val="20"/>
          <w:lang w:val="en-US" w:eastAsia="ko-KR"/>
        </w:rPr>
        <w:t xml:space="preserve">The BSS Type subfield is defined in Table 8-63 (The BSS Type </w:t>
      </w:r>
      <w:proofErr w:type="gramStart"/>
      <w:r>
        <w:rPr>
          <w:rFonts w:ascii="TimesNewRomanPSMT" w:hAnsi="TimesNewRomanPSMT" w:cs="TimesNewRomanPSMT"/>
          <w:sz w:val="20"/>
          <w:lang w:val="en-US" w:eastAsia="ko-KR"/>
        </w:rPr>
        <w:t>subfield(</w:t>
      </w:r>
      <w:proofErr w:type="gramEnd"/>
      <w:r>
        <w:rPr>
          <w:rFonts w:ascii="TimesNewRomanPSMT" w:hAnsi="TimesNewRomanPSMT" w:cs="TimesNewRomanPSMT"/>
          <w:sz w:val="20"/>
          <w:lang w:val="en-US" w:eastAsia="ko-KR"/>
        </w:rPr>
        <w:t>11ad)). An AP sets the BSS Type subfield to 3 within transmitted DMG Beacon, Probe Response, or (Re</w:t>
      </w:r>
      <w:proofErr w:type="gramStart"/>
      <w:r>
        <w:rPr>
          <w:rFonts w:ascii="TimesNewRomanPSMT" w:hAnsi="TimesNewRomanPSMT" w:cs="TimesNewRomanPSMT"/>
          <w:sz w:val="20"/>
          <w:lang w:val="en-US" w:eastAsia="ko-KR"/>
        </w:rPr>
        <w:t>)Association</w:t>
      </w:r>
      <w:proofErr w:type="gramEnd"/>
      <w:r>
        <w:rPr>
          <w:rFonts w:ascii="TimesNewRomanPSMT" w:hAnsi="TimesNewRomanPSMT" w:cs="TimesNewRomanPSMT"/>
          <w:sz w:val="20"/>
          <w:lang w:val="en-US" w:eastAsia="ko-KR"/>
        </w:rPr>
        <w:t xml:space="preserve"> Response frames. A PCP sets the BSS Type subfield to 2 within transmitted DMG Beacon, Probe Response, or (Re</w:t>
      </w:r>
      <w:proofErr w:type="gramStart"/>
      <w:r>
        <w:rPr>
          <w:rFonts w:ascii="TimesNewRomanPSMT" w:hAnsi="TimesNewRomanPSMT" w:cs="TimesNewRomanPSMT"/>
          <w:sz w:val="20"/>
          <w:lang w:val="en-US" w:eastAsia="ko-KR"/>
        </w:rPr>
        <w:t>)Association</w:t>
      </w:r>
      <w:proofErr w:type="gramEnd"/>
      <w:r>
        <w:rPr>
          <w:rFonts w:ascii="TimesNewRomanPSMT" w:hAnsi="TimesNewRomanPSMT" w:cs="TimesNewRomanPSMT"/>
          <w:sz w:val="20"/>
          <w:lang w:val="en-US" w:eastAsia="ko-KR"/>
        </w:rPr>
        <w:t xml:space="preserve"> Response frames. A STA within an IBSS </w:t>
      </w:r>
      <w:r w:rsidR="00EC2BB7">
        <w:rPr>
          <w:rFonts w:ascii="TimesNewRomanPSMT" w:hAnsi="TimesNewRomanPSMT" w:cs="TimesNewRomanPSMT"/>
          <w:sz w:val="20"/>
          <w:u w:val="single"/>
          <w:lang w:val="en-US" w:eastAsia="ko-KR"/>
        </w:rPr>
        <w:t xml:space="preserve">or </w:t>
      </w:r>
      <w:r w:rsidR="00E22044">
        <w:rPr>
          <w:rFonts w:ascii="TimesNewRomanPSMT" w:hAnsi="TimesNewRomanPSMT" w:cs="TimesNewRomanPSMT"/>
          <w:sz w:val="20"/>
          <w:u w:val="single"/>
          <w:lang w:val="en-US" w:eastAsia="ko-KR"/>
        </w:rPr>
        <w:t xml:space="preserve">a STA </w:t>
      </w:r>
      <w:r w:rsidR="00EC2BB7">
        <w:rPr>
          <w:rFonts w:ascii="TimesNewRomanPSMT" w:hAnsi="TimesNewRomanPSMT" w:cs="TimesNewRomanPSMT"/>
          <w:sz w:val="20"/>
          <w:u w:val="single"/>
          <w:lang w:val="en-US" w:eastAsia="ko-KR"/>
        </w:rPr>
        <w:t xml:space="preserve">that is not a member of a BSS </w:t>
      </w:r>
      <w:r>
        <w:rPr>
          <w:rFonts w:ascii="TimesNewRomanPSMT" w:hAnsi="TimesNewRomanPSMT" w:cs="TimesNewRomanPSMT"/>
          <w:sz w:val="20"/>
          <w:lang w:val="en-US" w:eastAsia="ko-KR"/>
        </w:rPr>
        <w:t>sets the BSS Type subfield to 1 within transmitted DMG Beacon or Probe Response frames.</w:t>
      </w:r>
    </w:p>
    <w:p w:rsidR="00625BFE" w:rsidRDefault="00625BFE" w:rsidP="00624DD9"/>
    <w:p w:rsidR="00D2556F" w:rsidRPr="00D2556F" w:rsidRDefault="00D2556F" w:rsidP="00624DD9">
      <w:pPr>
        <w:rPr>
          <w:b/>
          <w:i/>
        </w:rPr>
      </w:pPr>
      <w:r w:rsidRPr="00D2556F">
        <w:rPr>
          <w:b/>
          <w:i/>
        </w:rPr>
        <w:t>Change Table 8-63 as follows</w:t>
      </w:r>
    </w:p>
    <w:p w:rsidR="0013250C" w:rsidRDefault="0013250C" w:rsidP="00624DD9"/>
    <w:p w:rsidR="00625BFE" w:rsidRDefault="00625BFE" w:rsidP="00625BFE">
      <w:pPr>
        <w:jc w:val="center"/>
        <w:rPr>
          <w:rFonts w:ascii="Arial-BoldMT" w:hAnsi="Arial-BoldMT" w:cs="Arial-BoldMT"/>
          <w:b/>
          <w:bCs/>
          <w:sz w:val="20"/>
          <w:lang w:val="en-US" w:eastAsia="ko-KR"/>
        </w:rPr>
      </w:pPr>
      <w:r>
        <w:rPr>
          <w:rFonts w:ascii="Arial-BoldMT" w:hAnsi="Arial-BoldMT" w:cs="Arial-BoldMT"/>
          <w:b/>
          <w:bCs/>
          <w:sz w:val="20"/>
          <w:lang w:val="en-US" w:eastAsia="ko-KR"/>
        </w:rPr>
        <w:t>Table 8-63—The BSS Type subfield</w:t>
      </w:r>
    </w:p>
    <w:tbl>
      <w:tblPr>
        <w:tblStyle w:val="TableGrid"/>
        <w:tblW w:w="0" w:type="auto"/>
        <w:jc w:val="center"/>
        <w:tblLook w:val="04A0" w:firstRow="1" w:lastRow="0" w:firstColumn="1" w:lastColumn="0" w:noHBand="0" w:noVBand="1"/>
      </w:tblPr>
      <w:tblGrid>
        <w:gridCol w:w="1572"/>
        <w:gridCol w:w="1850"/>
        <w:gridCol w:w="3507"/>
      </w:tblGrid>
      <w:tr w:rsidR="00D2556F" w:rsidTr="00D2556F">
        <w:trPr>
          <w:jc w:val="center"/>
        </w:trPr>
        <w:tc>
          <w:tcPr>
            <w:tcW w:w="0" w:type="auto"/>
          </w:tcPr>
          <w:p w:rsidR="00D2556F" w:rsidRDefault="00D2556F" w:rsidP="00625BFE">
            <w:pPr>
              <w:jc w:val="center"/>
              <w:rPr>
                <w:rFonts w:ascii="Arial-BoldMT" w:hAnsi="Arial-BoldMT" w:cs="Arial-BoldMT"/>
                <w:b/>
                <w:bCs/>
                <w:sz w:val="20"/>
                <w:lang w:val="en-US" w:eastAsia="ko-KR"/>
              </w:rPr>
            </w:pPr>
            <w:r>
              <w:rPr>
                <w:rFonts w:ascii="Arial-BoldMT" w:hAnsi="Arial-BoldMT" w:cs="Arial-BoldMT"/>
                <w:b/>
                <w:bCs/>
                <w:sz w:val="20"/>
                <w:lang w:val="en-US" w:eastAsia="ko-KR"/>
              </w:rPr>
              <w:t>Subfield value</w:t>
            </w:r>
          </w:p>
        </w:tc>
        <w:tc>
          <w:tcPr>
            <w:tcW w:w="0" w:type="auto"/>
          </w:tcPr>
          <w:p w:rsidR="00D2556F" w:rsidRDefault="00D2556F" w:rsidP="00625BFE">
            <w:pPr>
              <w:jc w:val="center"/>
              <w:rPr>
                <w:rFonts w:ascii="Arial-BoldMT" w:hAnsi="Arial-BoldMT" w:cs="Arial-BoldMT"/>
                <w:b/>
                <w:bCs/>
                <w:sz w:val="20"/>
                <w:lang w:val="en-US" w:eastAsia="ko-KR"/>
              </w:rPr>
            </w:pPr>
            <w:r>
              <w:rPr>
                <w:rFonts w:ascii="Arial-BoldMT" w:hAnsi="Arial-BoldMT" w:cs="Arial-BoldMT"/>
                <w:b/>
                <w:bCs/>
                <w:sz w:val="20"/>
                <w:lang w:val="en-US" w:eastAsia="ko-KR"/>
              </w:rPr>
              <w:t>BSS Type</w:t>
            </w:r>
          </w:p>
        </w:tc>
        <w:tc>
          <w:tcPr>
            <w:tcW w:w="0" w:type="auto"/>
          </w:tcPr>
          <w:p w:rsidR="00D2556F" w:rsidRDefault="00D2556F" w:rsidP="00625BFE">
            <w:pPr>
              <w:jc w:val="center"/>
              <w:rPr>
                <w:rFonts w:ascii="Arial-BoldMT" w:hAnsi="Arial-BoldMT" w:cs="Arial-BoldMT"/>
                <w:b/>
                <w:bCs/>
                <w:sz w:val="20"/>
                <w:lang w:val="en-US" w:eastAsia="ko-KR"/>
              </w:rPr>
            </w:pPr>
            <w:r>
              <w:rPr>
                <w:rFonts w:ascii="Arial-BoldMT" w:hAnsi="Arial-BoldMT" w:cs="Arial-BoldMT"/>
                <w:b/>
                <w:bCs/>
                <w:sz w:val="20"/>
                <w:lang w:val="en-US" w:eastAsia="ko-KR"/>
              </w:rPr>
              <w:t>Transmitted by DMG STA</w:t>
            </w:r>
          </w:p>
        </w:tc>
      </w:tr>
      <w:tr w:rsidR="00D2556F" w:rsidTr="00D2556F">
        <w:trPr>
          <w:jc w:val="center"/>
        </w:trPr>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3</w:t>
            </w:r>
          </w:p>
        </w:tc>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Infrastructure BSS</w:t>
            </w:r>
          </w:p>
        </w:tc>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AP</w:t>
            </w:r>
          </w:p>
        </w:tc>
      </w:tr>
      <w:tr w:rsidR="00D2556F" w:rsidTr="00D2556F">
        <w:trPr>
          <w:jc w:val="center"/>
        </w:trPr>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2</w:t>
            </w:r>
          </w:p>
        </w:tc>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PBSS</w:t>
            </w:r>
          </w:p>
        </w:tc>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PCP</w:t>
            </w:r>
          </w:p>
        </w:tc>
      </w:tr>
      <w:tr w:rsidR="00D2556F" w:rsidTr="00D2556F">
        <w:trPr>
          <w:jc w:val="center"/>
        </w:trPr>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1</w:t>
            </w:r>
          </w:p>
        </w:tc>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IBSS</w:t>
            </w:r>
            <w:r>
              <w:rPr>
                <w:rFonts w:ascii="Arial-BoldMT" w:hAnsi="Arial-BoldMT" w:cs="Arial-BoldMT"/>
                <w:bCs/>
                <w:sz w:val="20"/>
                <w:lang w:val="en-US" w:eastAsia="ko-KR"/>
              </w:rPr>
              <w:t xml:space="preserve"> </w:t>
            </w:r>
            <w:r w:rsidRPr="00D2556F">
              <w:rPr>
                <w:rFonts w:ascii="Arial-BoldMT" w:hAnsi="Arial-BoldMT" w:cs="Arial-BoldMT"/>
                <w:bCs/>
                <w:sz w:val="20"/>
                <w:u w:val="single"/>
                <w:lang w:val="en-US" w:eastAsia="ko-KR"/>
              </w:rPr>
              <w:t>or no BSS</w:t>
            </w:r>
          </w:p>
        </w:tc>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Any non-AP and non-PCP DMG STA</w:t>
            </w:r>
          </w:p>
        </w:tc>
      </w:tr>
      <w:tr w:rsidR="00D2556F" w:rsidTr="00D2556F">
        <w:trPr>
          <w:jc w:val="center"/>
        </w:trPr>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0</w:t>
            </w:r>
          </w:p>
        </w:tc>
        <w:tc>
          <w:tcPr>
            <w:tcW w:w="0" w:type="auto"/>
          </w:tcPr>
          <w:p w:rsidR="00D2556F" w:rsidRPr="00D2556F" w:rsidRDefault="00D2556F" w:rsidP="00625BFE">
            <w:pPr>
              <w:jc w:val="center"/>
              <w:rPr>
                <w:rFonts w:ascii="Arial-BoldMT" w:hAnsi="Arial-BoldMT" w:cs="Arial-BoldMT"/>
                <w:bCs/>
                <w:sz w:val="20"/>
                <w:lang w:val="en-US" w:eastAsia="ko-KR"/>
              </w:rPr>
            </w:pPr>
            <w:r w:rsidRPr="00D2556F">
              <w:rPr>
                <w:rFonts w:ascii="Arial-BoldMT" w:hAnsi="Arial-BoldMT" w:cs="Arial-BoldMT"/>
                <w:bCs/>
                <w:sz w:val="20"/>
                <w:lang w:val="en-US" w:eastAsia="ko-KR"/>
              </w:rPr>
              <w:t>Reserved</w:t>
            </w:r>
          </w:p>
        </w:tc>
        <w:tc>
          <w:tcPr>
            <w:tcW w:w="0" w:type="auto"/>
          </w:tcPr>
          <w:p w:rsidR="00D2556F" w:rsidRPr="00D2556F" w:rsidRDefault="00D2556F" w:rsidP="00625BFE">
            <w:pPr>
              <w:jc w:val="center"/>
              <w:rPr>
                <w:rFonts w:ascii="Arial-BoldMT" w:hAnsi="Arial-BoldMT" w:cs="Arial-BoldMT"/>
                <w:bCs/>
                <w:sz w:val="20"/>
                <w:lang w:val="en-US" w:eastAsia="ko-KR"/>
              </w:rPr>
            </w:pPr>
          </w:p>
        </w:tc>
      </w:tr>
    </w:tbl>
    <w:p w:rsidR="00D2556F" w:rsidRDefault="00D2556F" w:rsidP="00625BFE">
      <w:pPr>
        <w:jc w:val="center"/>
        <w:rPr>
          <w:rFonts w:ascii="Arial-BoldMT" w:hAnsi="Arial-BoldMT" w:cs="Arial-BoldMT"/>
          <w:b/>
          <w:bCs/>
          <w:sz w:val="20"/>
          <w:lang w:val="en-US" w:eastAsia="ko-KR"/>
        </w:rPr>
      </w:pPr>
    </w:p>
    <w:bookmarkEnd w:id="1"/>
    <w:p w:rsidR="0069042E" w:rsidRPr="003B3558" w:rsidRDefault="0069042E" w:rsidP="00035C06">
      <w:pPr>
        <w:autoSpaceDE w:val="0"/>
        <w:autoSpaceDN w:val="0"/>
        <w:adjustRightInd w:val="0"/>
        <w:rPr>
          <w:rFonts w:ascii="TimesNewRomanPSMT" w:hAnsi="TimesNewRomanPSMT" w:cs="TimesNewRomanPSMT"/>
          <w:sz w:val="24"/>
          <w:szCs w:val="24"/>
          <w:lang w:val="en-US" w:eastAsia="ko-KR"/>
        </w:rPr>
      </w:pPr>
    </w:p>
    <w:sectPr w:rsidR="0069042E" w:rsidRPr="003B3558"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D8" w:rsidRDefault="00ED44D8">
      <w:r>
        <w:separator/>
      </w:r>
    </w:p>
  </w:endnote>
  <w:endnote w:type="continuationSeparator" w:id="0">
    <w:p w:rsidR="00ED44D8" w:rsidRDefault="00ED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F61D72">
      <w:rPr>
        <w:noProof/>
        <w:lang w:val="da-DK" w:eastAsia="ko-KR"/>
      </w:rPr>
      <w:t>2</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D8" w:rsidRDefault="00ED44D8">
      <w:r>
        <w:separator/>
      </w:r>
    </w:p>
  </w:footnote>
  <w:footnote w:type="continuationSeparator" w:id="0">
    <w:p w:rsidR="00ED44D8" w:rsidRDefault="00ED4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13250C" w:rsidP="00F704F2">
    <w:pPr>
      <w:pStyle w:val="Header"/>
      <w:tabs>
        <w:tab w:val="clear" w:pos="6480"/>
        <w:tab w:val="center" w:pos="4680"/>
        <w:tab w:val="right" w:pos="9360"/>
      </w:tabs>
      <w:rPr>
        <w:lang w:eastAsia="ko-KR"/>
      </w:rPr>
    </w:pPr>
    <w:r>
      <w:rPr>
        <w:lang w:eastAsia="ko-KR"/>
      </w:rPr>
      <w:t>May</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802.11-14/0</w:t>
    </w:r>
    <w:r w:rsidR="00F61D72">
      <w:rPr>
        <w:lang w:eastAsia="ko-KR"/>
      </w:rPr>
      <w:t>549r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14E5D-0AD7-40FB-9D3D-55A1ADFB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TotalTime>
  <Pages>1</Pages>
  <Words>216</Words>
  <Characters>1235</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5</cp:lastModifiedBy>
  <cp:revision>26</cp:revision>
  <cp:lastPrinted>2008-01-21T07:29:00Z</cp:lastPrinted>
  <dcterms:created xsi:type="dcterms:W3CDTF">2014-03-18T11:47:00Z</dcterms:created>
  <dcterms:modified xsi:type="dcterms:W3CDTF">2014-05-01T22:51:00Z</dcterms:modified>
</cp:coreProperties>
</file>