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46"/>
        <w:gridCol w:w="1654"/>
        <w:gridCol w:w="1406"/>
        <w:gridCol w:w="1530"/>
        <w:gridCol w:w="2610"/>
      </w:tblGrid>
      <w:tr w:rsidR="00CA09B2" w:rsidTr="003C07A1">
        <w:trPr>
          <w:trHeight w:val="485"/>
          <w:jc w:val="center"/>
        </w:trPr>
        <w:tc>
          <w:tcPr>
            <w:tcW w:w="8946" w:type="dxa"/>
            <w:gridSpan w:val="5"/>
            <w:vAlign w:val="center"/>
          </w:tcPr>
          <w:p w:rsidR="00CA09B2" w:rsidRDefault="005E2F02">
            <w:pPr>
              <w:pStyle w:val="T2"/>
            </w:pPr>
            <w:r w:rsidRPr="005E2F02">
              <w:t>LB200-comment-resolution-clause-8-4-2-170a</w:t>
            </w:r>
          </w:p>
        </w:tc>
      </w:tr>
      <w:tr w:rsidR="00CA09B2" w:rsidTr="003C07A1">
        <w:trPr>
          <w:trHeight w:val="359"/>
          <w:jc w:val="center"/>
        </w:trPr>
        <w:tc>
          <w:tcPr>
            <w:tcW w:w="8946" w:type="dxa"/>
            <w:gridSpan w:val="5"/>
            <w:vAlign w:val="center"/>
          </w:tcPr>
          <w:p w:rsidR="00CA09B2" w:rsidRDefault="00CA09B2" w:rsidP="00A311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0234F">
              <w:rPr>
                <w:b w:val="0"/>
                <w:sz w:val="20"/>
              </w:rPr>
              <w:t>2013</w:t>
            </w:r>
            <w:r>
              <w:rPr>
                <w:b w:val="0"/>
                <w:sz w:val="20"/>
              </w:rPr>
              <w:t>-</w:t>
            </w:r>
            <w:r w:rsidR="00A31110">
              <w:rPr>
                <w:b w:val="0"/>
                <w:sz w:val="20"/>
              </w:rPr>
              <w:t>September</w:t>
            </w:r>
            <w:r>
              <w:rPr>
                <w:b w:val="0"/>
                <w:sz w:val="20"/>
              </w:rPr>
              <w:t>-</w:t>
            </w:r>
            <w:r w:rsidR="00A31110">
              <w:rPr>
                <w:b w:val="0"/>
                <w:sz w:val="20"/>
              </w:rPr>
              <w:t>15</w:t>
            </w:r>
          </w:p>
        </w:tc>
      </w:tr>
      <w:tr w:rsidR="00CA09B2" w:rsidTr="003C07A1">
        <w:trPr>
          <w:cantSplit/>
          <w:jc w:val="center"/>
        </w:trPr>
        <w:tc>
          <w:tcPr>
            <w:tcW w:w="894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3C07A1">
        <w:trPr>
          <w:jc w:val="center"/>
        </w:trPr>
        <w:tc>
          <w:tcPr>
            <w:tcW w:w="174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5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0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9384C" w:rsidTr="003C07A1">
        <w:trPr>
          <w:jc w:val="center"/>
        </w:trPr>
        <w:tc>
          <w:tcPr>
            <w:tcW w:w="1746" w:type="dxa"/>
            <w:vAlign w:val="center"/>
          </w:tcPr>
          <w:p w:rsidR="0079384C" w:rsidRPr="00836E8D" w:rsidRDefault="0079384C" w:rsidP="00283A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36E8D">
              <w:rPr>
                <w:b w:val="0"/>
                <w:sz w:val="20"/>
              </w:rPr>
              <w:t>Jianhan Liu</w:t>
            </w:r>
          </w:p>
        </w:tc>
        <w:tc>
          <w:tcPr>
            <w:tcW w:w="1654" w:type="dxa"/>
            <w:vAlign w:val="center"/>
          </w:tcPr>
          <w:p w:rsidR="0079384C" w:rsidRPr="00836E8D" w:rsidRDefault="0079384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36E8D">
              <w:rPr>
                <w:b w:val="0"/>
                <w:sz w:val="20"/>
              </w:rPr>
              <w:t>Mediatek Inc.</w:t>
            </w:r>
          </w:p>
        </w:tc>
        <w:tc>
          <w:tcPr>
            <w:tcW w:w="2936" w:type="dxa"/>
            <w:gridSpan w:val="2"/>
            <w:vAlign w:val="center"/>
          </w:tcPr>
          <w:p w:rsidR="0079384C" w:rsidRPr="00836E8D" w:rsidRDefault="0079384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:rsidR="0079384C" w:rsidRPr="00836E8D" w:rsidRDefault="0079384C" w:rsidP="003861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36E8D">
              <w:rPr>
                <w:b w:val="0"/>
                <w:sz w:val="20"/>
              </w:rPr>
              <w:t>Jianhan.liu@mediatek.com</w:t>
            </w:r>
          </w:p>
        </w:tc>
      </w:tr>
    </w:tbl>
    <w:p w:rsidR="00CA09B2" w:rsidRDefault="000D70F4">
      <w:pPr>
        <w:pStyle w:val="T1"/>
        <w:spacing w:after="120"/>
        <w:rPr>
          <w:sz w:val="22"/>
        </w:rPr>
      </w:pPr>
      <w:r w:rsidRPr="000D70F4">
        <w:rPr>
          <w:noProof/>
          <w:lang w:val="en-US" w:eastAsia="ko-K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C736CE" w:rsidRDefault="00C736C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6A3706" w:rsidRDefault="00C736CE" w:rsidP="006A3706">
                  <w:pPr>
                    <w:jc w:val="both"/>
                  </w:pPr>
                  <w:r>
                    <w:t>This document provides resolutions for CIDs</w:t>
                  </w:r>
                  <w:r w:rsidR="006A3706">
                    <w:t xml:space="preserve"> in </w:t>
                  </w:r>
                  <w:proofErr w:type="spellStart"/>
                  <w:r w:rsidR="006A3706">
                    <w:t>subclause</w:t>
                  </w:r>
                  <w:proofErr w:type="spellEnd"/>
                  <w:r w:rsidR="006A3706">
                    <w:t xml:space="preserve"> </w:t>
                  </w:r>
                  <w:r w:rsidR="00CA6BD3">
                    <w:rPr>
                      <w:rFonts w:ascii="Arial-BoldMT" w:hAnsi="Arial-BoldMT" w:cs="Arial-BoldMT"/>
                      <w:b/>
                      <w:bCs/>
                      <w:sz w:val="20"/>
                      <w:lang w:val="en-US" w:eastAsia="ko-KR"/>
                    </w:rPr>
                    <w:t>8.4.2.170a</w:t>
                  </w:r>
                  <w:r>
                    <w:t xml:space="preserve">: </w:t>
                  </w:r>
                </w:p>
                <w:p w:rsidR="006A3706" w:rsidRDefault="00205684" w:rsidP="006A3706">
                  <w:pPr>
                    <w:pStyle w:val="ListParagraph"/>
                    <w:numPr>
                      <w:ilvl w:val="0"/>
                      <w:numId w:val="9"/>
                    </w:numPr>
                    <w:jc w:val="both"/>
                  </w:pPr>
                  <w:r>
                    <w:t>CID</w:t>
                  </w:r>
                  <w:r w:rsidR="0084199A">
                    <w:t>1110</w:t>
                  </w:r>
                  <w:r>
                    <w:t>, CID</w:t>
                  </w:r>
                  <w:r w:rsidR="0084199A">
                    <w:t>1111,</w:t>
                  </w:r>
                  <w:r w:rsidR="0084199A" w:rsidRPr="0084199A">
                    <w:t xml:space="preserve"> </w:t>
                  </w:r>
                  <w:r w:rsidR="0084199A">
                    <w:t>CID1112,</w:t>
                  </w:r>
                  <w:r w:rsidR="00DE6D71" w:rsidRPr="00DE6D71">
                    <w:t xml:space="preserve"> </w:t>
                  </w:r>
                  <w:r w:rsidR="00DE6D71">
                    <w:t>CID1384, CID1759</w:t>
                  </w:r>
                </w:p>
                <w:p w:rsidR="00D26EF1" w:rsidRDefault="00D26EF1" w:rsidP="00205684">
                  <w:pPr>
                    <w:jc w:val="both"/>
                  </w:pPr>
                </w:p>
                <w:p w:rsidR="006A3706" w:rsidRDefault="006A3706" w:rsidP="00D13B35">
                  <w:pPr>
                    <w:jc w:val="both"/>
                  </w:pPr>
                </w:p>
              </w:txbxContent>
            </v:textbox>
          </v:shape>
        </w:pict>
      </w:r>
    </w:p>
    <w:p w:rsidR="00CA09B2" w:rsidRDefault="00CA09B2" w:rsidP="001D7B22">
      <w:r>
        <w:br w:type="page"/>
      </w:r>
    </w:p>
    <w:p w:rsidR="00AA26E5" w:rsidRDefault="00AA26E5"/>
    <w:p w:rsidR="00AA26E5" w:rsidRDefault="00AA26E5"/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720"/>
        <w:gridCol w:w="720"/>
        <w:gridCol w:w="711"/>
        <w:gridCol w:w="1067"/>
        <w:gridCol w:w="2049"/>
        <w:gridCol w:w="2748"/>
        <w:gridCol w:w="1723"/>
      </w:tblGrid>
      <w:tr w:rsidR="0084199A" w:rsidRPr="002B361D" w:rsidTr="00FD6692">
        <w:trPr>
          <w:trHeight w:val="20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7349B0" w:rsidRPr="0084199A" w:rsidRDefault="007349B0" w:rsidP="0084199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84199A">
              <w:rPr>
                <w:rFonts w:ascii="Arial" w:hAnsi="Arial" w:cs="Arial"/>
                <w:b/>
                <w:bCs/>
                <w:sz w:val="18"/>
                <w:szCs w:val="18"/>
                <w:lang w:val="en-US" w:eastAsia="ko-KR"/>
              </w:rPr>
              <w:t>CID</w:t>
            </w:r>
          </w:p>
        </w:tc>
        <w:tc>
          <w:tcPr>
            <w:tcW w:w="720" w:type="dxa"/>
            <w:shd w:val="clear" w:color="auto" w:fill="D9D9D9" w:themeFill="background1" w:themeFillShade="D9"/>
            <w:hideMark/>
          </w:tcPr>
          <w:p w:rsidR="007349B0" w:rsidRPr="0084199A" w:rsidRDefault="007349B0" w:rsidP="006538D2">
            <w:pPr>
              <w:rPr>
                <w:rFonts w:ascii="Arial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84199A">
              <w:rPr>
                <w:rFonts w:ascii="Arial" w:hAnsi="Arial" w:cs="Arial"/>
                <w:b/>
                <w:bCs/>
                <w:sz w:val="18"/>
                <w:szCs w:val="18"/>
                <w:lang w:val="en-US" w:eastAsia="ko-KR"/>
              </w:rPr>
              <w:t xml:space="preserve">Page </w:t>
            </w:r>
          </w:p>
        </w:tc>
        <w:tc>
          <w:tcPr>
            <w:tcW w:w="711" w:type="dxa"/>
            <w:shd w:val="clear" w:color="auto" w:fill="D9D9D9" w:themeFill="background1" w:themeFillShade="D9"/>
            <w:hideMark/>
          </w:tcPr>
          <w:p w:rsidR="007349B0" w:rsidRPr="0084199A" w:rsidRDefault="007349B0" w:rsidP="006538D2">
            <w:pPr>
              <w:rPr>
                <w:rFonts w:ascii="Arial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84199A">
              <w:rPr>
                <w:rFonts w:ascii="Arial" w:hAnsi="Arial" w:cs="Arial"/>
                <w:b/>
                <w:bCs/>
                <w:sz w:val="18"/>
                <w:szCs w:val="18"/>
                <w:lang w:val="en-US" w:eastAsia="ko-KR"/>
              </w:rPr>
              <w:t>Line</w:t>
            </w:r>
          </w:p>
        </w:tc>
        <w:tc>
          <w:tcPr>
            <w:tcW w:w="1067" w:type="dxa"/>
            <w:shd w:val="clear" w:color="auto" w:fill="D9D9D9" w:themeFill="background1" w:themeFillShade="D9"/>
            <w:hideMark/>
          </w:tcPr>
          <w:p w:rsidR="007349B0" w:rsidRPr="0084199A" w:rsidRDefault="007349B0" w:rsidP="006538D2">
            <w:pPr>
              <w:rPr>
                <w:rFonts w:ascii="Arial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84199A">
              <w:rPr>
                <w:rFonts w:ascii="Arial" w:hAnsi="Arial" w:cs="Arial"/>
                <w:b/>
                <w:bCs/>
                <w:sz w:val="18"/>
                <w:szCs w:val="18"/>
                <w:lang w:val="en-US" w:eastAsia="ko-KR"/>
              </w:rPr>
              <w:t>Clause</w:t>
            </w:r>
          </w:p>
        </w:tc>
        <w:tc>
          <w:tcPr>
            <w:tcW w:w="2049" w:type="dxa"/>
            <w:shd w:val="clear" w:color="auto" w:fill="D9D9D9" w:themeFill="background1" w:themeFillShade="D9"/>
            <w:hideMark/>
          </w:tcPr>
          <w:p w:rsidR="007349B0" w:rsidRPr="0084199A" w:rsidRDefault="007349B0" w:rsidP="006538D2">
            <w:pPr>
              <w:rPr>
                <w:rFonts w:ascii="Arial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84199A">
              <w:rPr>
                <w:rFonts w:ascii="Arial" w:hAnsi="Arial" w:cs="Arial"/>
                <w:b/>
                <w:bCs/>
                <w:sz w:val="18"/>
                <w:szCs w:val="18"/>
                <w:lang w:val="en-US" w:eastAsia="ko-KR"/>
              </w:rPr>
              <w:t>Comment</w:t>
            </w:r>
          </w:p>
        </w:tc>
        <w:tc>
          <w:tcPr>
            <w:tcW w:w="2748" w:type="dxa"/>
            <w:shd w:val="clear" w:color="auto" w:fill="D9D9D9" w:themeFill="background1" w:themeFillShade="D9"/>
            <w:hideMark/>
          </w:tcPr>
          <w:p w:rsidR="007349B0" w:rsidRPr="0084199A" w:rsidRDefault="007349B0" w:rsidP="006538D2">
            <w:pPr>
              <w:rPr>
                <w:rFonts w:ascii="Arial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84199A">
              <w:rPr>
                <w:rFonts w:ascii="Arial" w:hAnsi="Arial" w:cs="Arial"/>
                <w:b/>
                <w:bCs/>
                <w:sz w:val="18"/>
                <w:szCs w:val="18"/>
                <w:lang w:val="en-US" w:eastAsia="ko-KR"/>
              </w:rPr>
              <w:t>Proposed Change</w:t>
            </w:r>
          </w:p>
        </w:tc>
        <w:tc>
          <w:tcPr>
            <w:tcW w:w="1723" w:type="dxa"/>
            <w:shd w:val="clear" w:color="auto" w:fill="D9D9D9" w:themeFill="background1" w:themeFillShade="D9"/>
            <w:hideMark/>
          </w:tcPr>
          <w:p w:rsidR="007349B0" w:rsidRPr="0084199A" w:rsidRDefault="007349B0" w:rsidP="006538D2">
            <w:pPr>
              <w:rPr>
                <w:rFonts w:ascii="Arial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84199A">
              <w:rPr>
                <w:rFonts w:ascii="Arial" w:hAnsi="Arial" w:cs="Arial"/>
                <w:b/>
                <w:bCs/>
                <w:sz w:val="18"/>
                <w:szCs w:val="18"/>
                <w:lang w:val="en-US" w:eastAsia="ko-KR"/>
              </w:rPr>
              <w:t>Resolution</w:t>
            </w:r>
          </w:p>
        </w:tc>
      </w:tr>
      <w:tr w:rsidR="0084199A" w:rsidRPr="00F9558B" w:rsidTr="00FD6692">
        <w:trPr>
          <w:trHeight w:val="20"/>
        </w:trPr>
        <w:tc>
          <w:tcPr>
            <w:tcW w:w="720" w:type="dxa"/>
            <w:tcBorders>
              <w:bottom w:val="single" w:sz="4" w:space="0" w:color="auto"/>
            </w:tcBorders>
          </w:tcPr>
          <w:p w:rsidR="007349B0" w:rsidRPr="00FD6692" w:rsidRDefault="00FD6692" w:rsidP="00FD6692">
            <w:pPr>
              <w:rPr>
                <w:sz w:val="18"/>
                <w:szCs w:val="18"/>
              </w:rPr>
            </w:pPr>
            <w:r w:rsidRPr="00FD6692">
              <w:rPr>
                <w:sz w:val="18"/>
                <w:szCs w:val="18"/>
              </w:rPr>
              <w:t>1110</w:t>
            </w:r>
          </w:p>
        </w:tc>
        <w:tc>
          <w:tcPr>
            <w:tcW w:w="720" w:type="dxa"/>
          </w:tcPr>
          <w:p w:rsidR="007349B0" w:rsidRPr="0084199A" w:rsidRDefault="00EE5746" w:rsidP="00EE5746">
            <w:pPr>
              <w:jc w:val="right"/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ko-KR"/>
              </w:rPr>
              <w:t>85</w:t>
            </w:r>
          </w:p>
        </w:tc>
        <w:tc>
          <w:tcPr>
            <w:tcW w:w="711" w:type="dxa"/>
          </w:tcPr>
          <w:p w:rsidR="007349B0" w:rsidRPr="0084199A" w:rsidRDefault="00EE5746" w:rsidP="00C736CE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ko-KR"/>
              </w:rPr>
              <w:t>12</w:t>
            </w:r>
          </w:p>
        </w:tc>
        <w:tc>
          <w:tcPr>
            <w:tcW w:w="1067" w:type="dxa"/>
          </w:tcPr>
          <w:p w:rsidR="007349B0" w:rsidRPr="0084199A" w:rsidRDefault="007349B0" w:rsidP="00C736CE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 w:rsidRPr="0084199A">
              <w:rPr>
                <w:rFonts w:ascii="Arial" w:hAnsi="Arial" w:cs="Arial"/>
                <w:sz w:val="18"/>
                <w:szCs w:val="18"/>
                <w:lang w:val="en-US" w:eastAsia="ko-KR"/>
              </w:rPr>
              <w:t>8.4.2.170a</w:t>
            </w:r>
          </w:p>
        </w:tc>
        <w:tc>
          <w:tcPr>
            <w:tcW w:w="2049" w:type="dxa"/>
          </w:tcPr>
          <w:p w:rsidR="007349B0" w:rsidRPr="0084199A" w:rsidRDefault="0084199A" w:rsidP="00C736CE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 w:rsidRPr="0084199A">
              <w:rPr>
                <w:rFonts w:ascii="Arial" w:hAnsi="Arial" w:cs="Arial"/>
                <w:sz w:val="18"/>
                <w:szCs w:val="18"/>
                <w:lang w:val="en-US" w:eastAsia="ko-KR"/>
              </w:rPr>
              <w:t>The Open-loop Link Margin index is specific to S1G.   The name is over-general.</w:t>
            </w:r>
          </w:p>
        </w:tc>
        <w:tc>
          <w:tcPr>
            <w:tcW w:w="2748" w:type="dxa"/>
          </w:tcPr>
          <w:p w:rsidR="007349B0" w:rsidRPr="0084199A" w:rsidRDefault="0084199A" w:rsidP="00C736CE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 w:rsidRPr="0084199A">
              <w:rPr>
                <w:rFonts w:ascii="Arial" w:hAnsi="Arial" w:cs="Arial"/>
                <w:sz w:val="18"/>
                <w:szCs w:val="18"/>
                <w:lang w:val="en-US" w:eastAsia="ko-KR"/>
              </w:rPr>
              <w:t>Add an S1G somewhere in the name.   Apply change globally.</w:t>
            </w:r>
          </w:p>
        </w:tc>
        <w:tc>
          <w:tcPr>
            <w:tcW w:w="1723" w:type="dxa"/>
          </w:tcPr>
          <w:p w:rsidR="007349B0" w:rsidRPr="0084199A" w:rsidRDefault="002C4BAC" w:rsidP="007349B0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ko-KR"/>
              </w:rPr>
              <w:t>Revised</w:t>
            </w:r>
            <w:r w:rsidR="0084199A" w:rsidRPr="0084199A">
              <w:rPr>
                <w:rFonts w:ascii="Arial" w:hAnsi="Arial" w:cs="Arial"/>
                <w:sz w:val="18"/>
                <w:szCs w:val="18"/>
                <w:lang w:val="en-US" w:eastAsia="ko-KR"/>
              </w:rPr>
              <w:t>:</w:t>
            </w:r>
          </w:p>
          <w:p w:rsidR="00A65D29" w:rsidRPr="0084199A" w:rsidRDefault="00A65D29" w:rsidP="007349B0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</w:p>
          <w:p w:rsidR="00A65D29" w:rsidRDefault="0084199A" w:rsidP="0084199A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 w:rsidRPr="0084199A">
              <w:rPr>
                <w:rFonts w:ascii="Arial" w:hAnsi="Arial" w:cs="Arial"/>
                <w:sz w:val="18"/>
                <w:szCs w:val="18"/>
                <w:lang w:val="en-US" w:eastAsia="ko-KR"/>
              </w:rPr>
              <w:t>Change “Open-Loop Link Margin Index” to “S1G Open-Loop Link Margin Index”</w:t>
            </w:r>
          </w:p>
          <w:p w:rsidR="00F61D71" w:rsidRDefault="00F61D71" w:rsidP="0084199A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</w:p>
          <w:p w:rsidR="00F61D71" w:rsidRPr="0084199A" w:rsidRDefault="00F61D71" w:rsidP="0084199A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 w:rsidRPr="0084199A">
              <w:rPr>
                <w:rFonts w:ascii="Arial" w:hAnsi="Arial" w:cs="Arial"/>
                <w:sz w:val="18"/>
                <w:szCs w:val="18"/>
                <w:lang w:val="en-US" w:eastAsia="ko-KR"/>
              </w:rPr>
              <w:t>Apply change globally.</w:t>
            </w:r>
          </w:p>
        </w:tc>
      </w:tr>
      <w:tr w:rsidR="00FD6692" w:rsidRPr="00F9558B" w:rsidTr="008F1E76">
        <w:trPr>
          <w:trHeight w:val="2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349B0" w:rsidRPr="0084199A" w:rsidRDefault="0084199A" w:rsidP="00C736CE">
            <w:pPr>
              <w:jc w:val="right"/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 w:rsidRPr="0084199A">
              <w:rPr>
                <w:rFonts w:ascii="Arial" w:hAnsi="Arial" w:cs="Arial"/>
                <w:sz w:val="18"/>
                <w:szCs w:val="18"/>
                <w:lang w:val="en-US" w:eastAsia="ko-KR"/>
              </w:rPr>
              <w:t>1111</w:t>
            </w:r>
          </w:p>
        </w:tc>
        <w:tc>
          <w:tcPr>
            <w:tcW w:w="720" w:type="dxa"/>
          </w:tcPr>
          <w:p w:rsidR="007349B0" w:rsidRPr="0084199A" w:rsidRDefault="00EE5746" w:rsidP="00C736CE">
            <w:pPr>
              <w:jc w:val="right"/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ko-KR"/>
              </w:rPr>
              <w:t>85</w:t>
            </w:r>
          </w:p>
        </w:tc>
        <w:tc>
          <w:tcPr>
            <w:tcW w:w="711" w:type="dxa"/>
          </w:tcPr>
          <w:p w:rsidR="007349B0" w:rsidRPr="0084199A" w:rsidRDefault="00EE5746" w:rsidP="00C736CE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ko-KR"/>
              </w:rPr>
              <w:t>31</w:t>
            </w:r>
          </w:p>
        </w:tc>
        <w:tc>
          <w:tcPr>
            <w:tcW w:w="1067" w:type="dxa"/>
          </w:tcPr>
          <w:p w:rsidR="007349B0" w:rsidRPr="0084199A" w:rsidRDefault="007349B0" w:rsidP="00C736CE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 w:rsidRPr="0084199A">
              <w:rPr>
                <w:rFonts w:ascii="Arial" w:hAnsi="Arial" w:cs="Arial"/>
                <w:sz w:val="18"/>
                <w:szCs w:val="18"/>
                <w:lang w:val="en-US" w:eastAsia="ko-KR"/>
              </w:rPr>
              <w:t>8.4.2.170a</w:t>
            </w:r>
          </w:p>
        </w:tc>
        <w:tc>
          <w:tcPr>
            <w:tcW w:w="2049" w:type="dxa"/>
          </w:tcPr>
          <w:p w:rsidR="007349B0" w:rsidRPr="0084199A" w:rsidRDefault="00EE5746" w:rsidP="00C736CE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 w:rsidRPr="00EE5746">
              <w:rPr>
                <w:rFonts w:ascii="Arial" w:hAnsi="Arial" w:cs="Arial"/>
                <w:sz w:val="18"/>
                <w:szCs w:val="18"/>
                <w:lang w:val="en-US" w:eastAsia="ko-KR"/>
              </w:rPr>
              <w:t xml:space="preserve">"The Length field is set to 1."  --  this is contrary to recent </w:t>
            </w:r>
            <w:proofErr w:type="spellStart"/>
            <w:r w:rsidRPr="00EE5746">
              <w:rPr>
                <w:rFonts w:ascii="Arial" w:hAnsi="Arial" w:cs="Arial"/>
                <w:sz w:val="18"/>
                <w:szCs w:val="18"/>
                <w:lang w:val="en-US" w:eastAsia="ko-KR"/>
              </w:rPr>
              <w:t>TGmc</w:t>
            </w:r>
            <w:proofErr w:type="spellEnd"/>
            <w:r w:rsidRPr="00EE5746">
              <w:rPr>
                <w:rFonts w:ascii="Arial" w:hAnsi="Arial" w:cs="Arial"/>
                <w:sz w:val="18"/>
                <w:szCs w:val="18"/>
                <w:lang w:val="en-US" w:eastAsia="ko-KR"/>
              </w:rPr>
              <w:t xml:space="preserve"> style,  </w:t>
            </w:r>
          </w:p>
        </w:tc>
        <w:tc>
          <w:tcPr>
            <w:tcW w:w="2748" w:type="dxa"/>
          </w:tcPr>
          <w:p w:rsidR="007349B0" w:rsidRPr="0084199A" w:rsidRDefault="00EE5746" w:rsidP="0086211B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 w:rsidRPr="00EE5746">
              <w:rPr>
                <w:rFonts w:ascii="Arial" w:hAnsi="Arial" w:cs="Arial"/>
                <w:sz w:val="18"/>
                <w:szCs w:val="18"/>
                <w:lang w:val="en-US" w:eastAsia="ko-KR"/>
              </w:rPr>
              <w:t>Remove cited text.</w:t>
            </w:r>
          </w:p>
        </w:tc>
        <w:tc>
          <w:tcPr>
            <w:tcW w:w="1723" w:type="dxa"/>
          </w:tcPr>
          <w:p w:rsidR="00FA5C8C" w:rsidRDefault="00EE5746" w:rsidP="0075707D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 w:rsidRPr="0084199A">
              <w:rPr>
                <w:rFonts w:ascii="Arial" w:hAnsi="Arial" w:cs="Arial"/>
                <w:sz w:val="18"/>
                <w:szCs w:val="18"/>
                <w:lang w:val="en-US" w:eastAsia="ko-KR"/>
              </w:rPr>
              <w:t>A</w:t>
            </w:r>
            <w:r w:rsidR="007C3250">
              <w:rPr>
                <w:rFonts w:ascii="Arial" w:hAnsi="Arial" w:cs="Arial"/>
                <w:sz w:val="18"/>
                <w:szCs w:val="18"/>
                <w:lang w:val="en-US" w:eastAsia="ko-KR"/>
              </w:rPr>
              <w:t>ccept</w:t>
            </w:r>
            <w:r w:rsidR="00FA5C8C">
              <w:rPr>
                <w:rFonts w:ascii="Arial" w:hAnsi="Arial" w:cs="Arial"/>
                <w:sz w:val="18"/>
                <w:szCs w:val="18"/>
                <w:lang w:val="en-US" w:eastAsia="ko-KR"/>
              </w:rPr>
              <w:t>:</w:t>
            </w:r>
          </w:p>
          <w:p w:rsidR="00FA5C8C" w:rsidRDefault="00FA5C8C" w:rsidP="0075707D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</w:p>
          <w:p w:rsidR="00FA5C8C" w:rsidRDefault="00FA5C8C" w:rsidP="0075707D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ko-KR"/>
              </w:rPr>
              <w:t xml:space="preserve">Already resolved in other submissions. </w:t>
            </w:r>
          </w:p>
          <w:p w:rsidR="00BD68A8" w:rsidRPr="00FA5C8C" w:rsidRDefault="00BD68A8" w:rsidP="0075707D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 w:rsidRPr="0084199A">
              <w:rPr>
                <w:rFonts w:ascii="Arial" w:hAnsi="Arial" w:cs="Arial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8F1E76" w:rsidRPr="00EA53AA" w:rsidTr="00AD50B6">
        <w:trPr>
          <w:trHeight w:val="2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F1E76" w:rsidRPr="0084199A" w:rsidRDefault="008F1E76" w:rsidP="00C736CE">
            <w:pPr>
              <w:jc w:val="right"/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ko-KR"/>
              </w:rPr>
              <w:t>1112</w:t>
            </w:r>
          </w:p>
        </w:tc>
        <w:tc>
          <w:tcPr>
            <w:tcW w:w="720" w:type="dxa"/>
          </w:tcPr>
          <w:p w:rsidR="008F1E76" w:rsidRDefault="008F1E76" w:rsidP="00C736CE">
            <w:pPr>
              <w:jc w:val="right"/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ko-KR"/>
              </w:rPr>
              <w:t>85</w:t>
            </w:r>
          </w:p>
        </w:tc>
        <w:tc>
          <w:tcPr>
            <w:tcW w:w="711" w:type="dxa"/>
          </w:tcPr>
          <w:p w:rsidR="008F1E76" w:rsidRDefault="008F1E76" w:rsidP="00C736CE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ko-KR"/>
              </w:rPr>
              <w:t>49</w:t>
            </w:r>
          </w:p>
        </w:tc>
        <w:tc>
          <w:tcPr>
            <w:tcW w:w="1067" w:type="dxa"/>
          </w:tcPr>
          <w:p w:rsidR="008F1E76" w:rsidRPr="0084199A" w:rsidRDefault="008F1E76" w:rsidP="00C736CE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 w:rsidRPr="0084199A">
              <w:rPr>
                <w:rFonts w:ascii="Arial" w:hAnsi="Arial" w:cs="Arial"/>
                <w:sz w:val="18"/>
                <w:szCs w:val="18"/>
                <w:lang w:val="en-US" w:eastAsia="ko-KR"/>
              </w:rPr>
              <w:t>8.4.2.170a</w:t>
            </w:r>
          </w:p>
        </w:tc>
        <w:tc>
          <w:tcPr>
            <w:tcW w:w="2049" w:type="dxa"/>
          </w:tcPr>
          <w:p w:rsidR="008F1E76" w:rsidRPr="008F1E76" w:rsidRDefault="008F1E76" w:rsidP="008F1E76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 w:rsidRPr="008F1E76">
              <w:rPr>
                <w:rFonts w:ascii="Arial" w:hAnsi="Arial" w:cs="Arial"/>
                <w:sz w:val="18"/>
                <w:szCs w:val="18"/>
                <w:lang w:val="en-US" w:eastAsia="ko-KR"/>
              </w:rPr>
              <w:t>"The Open-Loop Link Margin Index is defined as (-128+D+∙0.5)</w:t>
            </w:r>
            <w:proofErr w:type="spellStart"/>
            <w:r w:rsidRPr="008F1E76">
              <w:rPr>
                <w:rFonts w:ascii="Arial" w:hAnsi="Arial" w:cs="Arial"/>
                <w:sz w:val="18"/>
                <w:szCs w:val="18"/>
                <w:lang w:val="en-US" w:eastAsia="ko-KR"/>
              </w:rPr>
              <w:t>dBm</w:t>
            </w:r>
            <w:proofErr w:type="spellEnd"/>
            <w:r w:rsidRPr="008F1E76">
              <w:rPr>
                <w:rFonts w:ascii="Arial" w:hAnsi="Arial" w:cs="Arial"/>
                <w:sz w:val="18"/>
                <w:szCs w:val="18"/>
                <w:lang w:val="en-US" w:eastAsia="ko-KR"/>
              </w:rPr>
              <w:t>, where D is an unsigned integer number</w:t>
            </w:r>
          </w:p>
          <w:p w:rsidR="008F1E76" w:rsidRPr="008F1E76" w:rsidRDefault="008F1E76" w:rsidP="008F1E76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proofErr w:type="gramStart"/>
            <w:r w:rsidRPr="008F1E76">
              <w:rPr>
                <w:rFonts w:ascii="Arial" w:hAnsi="Arial" w:cs="Arial"/>
                <w:sz w:val="18"/>
                <w:szCs w:val="18"/>
                <w:lang w:val="en-US" w:eastAsia="ko-KR"/>
              </w:rPr>
              <w:t>shown</w:t>
            </w:r>
            <w:proofErr w:type="gramEnd"/>
            <w:r w:rsidRPr="008F1E76">
              <w:rPr>
                <w:rFonts w:ascii="Arial" w:hAnsi="Arial" w:cs="Arial"/>
                <w:sz w:val="18"/>
                <w:szCs w:val="18"/>
                <w:lang w:val="en-US" w:eastAsia="ko-KR"/>
              </w:rPr>
              <w:t xml:space="preserve"> in Open-Loop Link Margin Index field."</w:t>
            </w:r>
          </w:p>
          <w:p w:rsidR="008F1E76" w:rsidRPr="008F1E76" w:rsidRDefault="008F1E76" w:rsidP="008F1E76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</w:p>
          <w:p w:rsidR="008F1E76" w:rsidRPr="008F1E76" w:rsidRDefault="008F1E76" w:rsidP="008F1E76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 w:rsidRPr="008F1E76">
              <w:rPr>
                <w:rFonts w:ascii="Arial" w:hAnsi="Arial" w:cs="Arial"/>
                <w:sz w:val="18"/>
                <w:szCs w:val="18"/>
                <w:lang w:val="en-US" w:eastAsia="ko-KR"/>
              </w:rPr>
              <w:t xml:space="preserve">This is a great example of how to get foundational garments into a state of </w:t>
            </w:r>
            <w:proofErr w:type="spellStart"/>
            <w:r w:rsidRPr="008F1E76">
              <w:rPr>
                <w:rFonts w:ascii="Arial" w:hAnsi="Arial" w:cs="Arial"/>
                <w:sz w:val="18"/>
                <w:szCs w:val="18"/>
                <w:lang w:val="en-US" w:eastAsia="ko-KR"/>
              </w:rPr>
              <w:t>torsional</w:t>
            </w:r>
            <w:proofErr w:type="spellEnd"/>
            <w:r w:rsidRPr="008F1E76">
              <w:rPr>
                <w:rFonts w:ascii="Arial" w:hAnsi="Arial" w:cs="Arial"/>
                <w:sz w:val="18"/>
                <w:szCs w:val="18"/>
                <w:lang w:val="en-US" w:eastAsia="ko-KR"/>
              </w:rPr>
              <w:t xml:space="preserve"> dislocation.</w:t>
            </w:r>
          </w:p>
          <w:p w:rsidR="008F1E76" w:rsidRPr="00EE5746" w:rsidRDefault="008F1E76" w:rsidP="008F1E76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 w:rsidRPr="008F1E76">
              <w:rPr>
                <w:rFonts w:ascii="Arial" w:hAnsi="Arial" w:cs="Arial"/>
                <w:sz w:val="18"/>
                <w:szCs w:val="18"/>
                <w:lang w:val="en-US" w:eastAsia="ko-KR"/>
              </w:rPr>
              <w:t>Don't have a field and the same thing without field attached that mean different things.</w:t>
            </w:r>
          </w:p>
        </w:tc>
        <w:tc>
          <w:tcPr>
            <w:tcW w:w="2748" w:type="dxa"/>
          </w:tcPr>
          <w:p w:rsidR="008F1E76" w:rsidRPr="008F1E76" w:rsidRDefault="008F1E76" w:rsidP="008F1E76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 w:rsidRPr="008F1E76">
              <w:rPr>
                <w:rFonts w:ascii="Arial" w:hAnsi="Arial" w:cs="Arial"/>
                <w:sz w:val="18"/>
                <w:szCs w:val="18"/>
                <w:lang w:val="en-US" w:eastAsia="ko-KR"/>
              </w:rPr>
              <w:t xml:space="preserve">Drop "index" when </w:t>
            </w:r>
            <w:proofErr w:type="spellStart"/>
            <w:r w:rsidRPr="008F1E76">
              <w:rPr>
                <w:rFonts w:ascii="Arial" w:hAnsi="Arial" w:cs="Arial"/>
                <w:sz w:val="18"/>
                <w:szCs w:val="18"/>
                <w:lang w:val="en-US" w:eastAsia="ko-KR"/>
              </w:rPr>
              <w:t>refering</w:t>
            </w:r>
            <w:proofErr w:type="spellEnd"/>
            <w:r w:rsidRPr="008F1E76">
              <w:rPr>
                <w:rFonts w:ascii="Arial" w:hAnsi="Arial" w:cs="Arial"/>
                <w:sz w:val="18"/>
                <w:szCs w:val="18"/>
                <w:lang w:val="en-US" w:eastAsia="ko-KR"/>
              </w:rPr>
              <w:t xml:space="preserve"> to the thing in units of </w:t>
            </w:r>
            <w:proofErr w:type="spellStart"/>
            <w:r w:rsidRPr="008F1E76">
              <w:rPr>
                <w:rFonts w:ascii="Arial" w:hAnsi="Arial" w:cs="Arial"/>
                <w:sz w:val="18"/>
                <w:szCs w:val="18"/>
                <w:lang w:val="en-US" w:eastAsia="ko-KR"/>
              </w:rPr>
              <w:t>dBm</w:t>
            </w:r>
            <w:proofErr w:type="spellEnd"/>
            <w:r w:rsidRPr="008F1E76">
              <w:rPr>
                <w:rFonts w:ascii="Arial" w:hAnsi="Arial" w:cs="Arial"/>
                <w:sz w:val="18"/>
                <w:szCs w:val="18"/>
                <w:lang w:val="en-US" w:eastAsia="ko-KR"/>
              </w:rPr>
              <w:t xml:space="preserve"> - i.e. at line 38.   Replace cited text with:  "The open-loop link margin is defined as (-128+D+∙0.5</w:t>
            </w:r>
            <w:proofErr w:type="gramStart"/>
            <w:r w:rsidRPr="008F1E76">
              <w:rPr>
                <w:rFonts w:ascii="Arial" w:hAnsi="Arial" w:cs="Arial"/>
                <w:sz w:val="18"/>
                <w:szCs w:val="18"/>
                <w:lang w:val="en-US" w:eastAsia="ko-KR"/>
              </w:rPr>
              <w:t>)</w:t>
            </w:r>
            <w:proofErr w:type="spellStart"/>
            <w:r w:rsidRPr="008F1E76">
              <w:rPr>
                <w:rFonts w:ascii="Arial" w:hAnsi="Arial" w:cs="Arial"/>
                <w:sz w:val="18"/>
                <w:szCs w:val="18"/>
                <w:lang w:val="en-US" w:eastAsia="ko-KR"/>
              </w:rPr>
              <w:t>dBm</w:t>
            </w:r>
            <w:proofErr w:type="spellEnd"/>
            <w:proofErr w:type="gramEnd"/>
            <w:r w:rsidRPr="008F1E76">
              <w:rPr>
                <w:rFonts w:ascii="Arial" w:hAnsi="Arial" w:cs="Arial"/>
                <w:sz w:val="18"/>
                <w:szCs w:val="18"/>
                <w:lang w:val="en-US" w:eastAsia="ko-KR"/>
              </w:rPr>
              <w:t>, where D is an unsigned integer value of the Open-Loop Link Margin Index field."</w:t>
            </w:r>
          </w:p>
          <w:p w:rsidR="008F1E76" w:rsidRPr="008F1E76" w:rsidRDefault="008F1E76" w:rsidP="008F1E76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</w:p>
          <w:p w:rsidR="008F1E76" w:rsidRPr="00EE5746" w:rsidRDefault="008F1E76" w:rsidP="008F1E76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 w:rsidRPr="008F1E76">
              <w:rPr>
                <w:rFonts w:ascii="Arial" w:hAnsi="Arial" w:cs="Arial"/>
                <w:sz w:val="18"/>
                <w:szCs w:val="18"/>
                <w:lang w:val="en-US" w:eastAsia="ko-KR"/>
              </w:rPr>
              <w:t xml:space="preserve">Also note that We Don't Capitalize random collections Of Words - even if they describe a really cool concept.  We capitalize the names that </w:t>
            </w:r>
            <w:proofErr w:type="spellStart"/>
            <w:r w:rsidRPr="008F1E76">
              <w:rPr>
                <w:rFonts w:ascii="Arial" w:hAnsi="Arial" w:cs="Arial"/>
                <w:sz w:val="18"/>
                <w:szCs w:val="18"/>
                <w:lang w:val="en-US" w:eastAsia="ko-KR"/>
              </w:rPr>
              <w:t>preceed</w:t>
            </w:r>
            <w:proofErr w:type="spellEnd"/>
            <w:r w:rsidRPr="008F1E76">
              <w:rPr>
                <w:rFonts w:ascii="Arial" w:hAnsi="Arial" w:cs="Arial"/>
                <w:sz w:val="18"/>
                <w:szCs w:val="18"/>
                <w:lang w:val="en-US" w:eastAsia="ko-KR"/>
              </w:rPr>
              <w:t xml:space="preserve"> "field, element, frame .etc".   So "open loop link margin" and "Open Loop </w:t>
            </w:r>
            <w:r w:rsidR="005258E9" w:rsidRPr="008F1E76">
              <w:rPr>
                <w:rFonts w:ascii="Arial" w:hAnsi="Arial" w:cs="Arial"/>
                <w:sz w:val="18"/>
                <w:szCs w:val="18"/>
                <w:lang w:val="en-US" w:eastAsia="ko-KR"/>
              </w:rPr>
              <w:t>Link Margin</w:t>
            </w:r>
            <w:r w:rsidRPr="008F1E76">
              <w:rPr>
                <w:rFonts w:ascii="Arial" w:hAnsi="Arial" w:cs="Arial"/>
                <w:sz w:val="18"/>
                <w:szCs w:val="18"/>
                <w:lang w:val="en-US" w:eastAsia="ko-KR"/>
              </w:rPr>
              <w:t xml:space="preserve"> Index field" please to represent these two distinct concepts.</w:t>
            </w:r>
          </w:p>
        </w:tc>
        <w:tc>
          <w:tcPr>
            <w:tcW w:w="1723" w:type="dxa"/>
          </w:tcPr>
          <w:p w:rsidR="008F1E76" w:rsidRDefault="002C4BAC" w:rsidP="00EE5746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ko-KR"/>
              </w:rPr>
              <w:t>Revised:</w:t>
            </w:r>
          </w:p>
          <w:p w:rsidR="002C4BAC" w:rsidRDefault="002C4BAC" w:rsidP="00EE5746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</w:p>
          <w:p w:rsidR="00EA53AA" w:rsidRDefault="002C4BAC" w:rsidP="00EE5746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 w:rsidRPr="008F1E76">
              <w:rPr>
                <w:rFonts w:ascii="Arial" w:hAnsi="Arial" w:cs="Arial"/>
                <w:sz w:val="18"/>
                <w:szCs w:val="18"/>
                <w:lang w:val="en-US" w:eastAsia="ko-KR"/>
              </w:rPr>
              <w:t>Replace cited text with</w:t>
            </w:r>
            <w:r>
              <w:rPr>
                <w:rFonts w:ascii="Arial" w:hAnsi="Arial" w:cs="Arial"/>
                <w:sz w:val="18"/>
                <w:szCs w:val="18"/>
                <w:lang w:val="en-US" w:eastAsia="ko-KR"/>
              </w:rPr>
              <w:t xml:space="preserve"> </w:t>
            </w:r>
          </w:p>
          <w:p w:rsidR="002C4BAC" w:rsidRDefault="002C4BAC" w:rsidP="00EE5746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</w:p>
          <w:p w:rsidR="007C3250" w:rsidRDefault="00EA53AA" w:rsidP="00EE5746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ko-KR"/>
              </w:rPr>
              <w:t>“</w:t>
            </w:r>
            <w:r w:rsidR="00EC2C98" w:rsidRPr="008F1E76">
              <w:rPr>
                <w:rFonts w:ascii="Arial" w:hAnsi="Arial" w:cs="Arial"/>
                <w:sz w:val="18"/>
                <w:szCs w:val="18"/>
                <w:lang w:val="en-US" w:eastAsia="ko-KR"/>
              </w:rPr>
              <w:t>The open-loop lin</w:t>
            </w:r>
            <w:r w:rsidR="008D55E9">
              <w:rPr>
                <w:rFonts w:ascii="Arial" w:hAnsi="Arial" w:cs="Arial"/>
                <w:sz w:val="18"/>
                <w:szCs w:val="18"/>
                <w:lang w:val="en-US" w:eastAsia="ko-KR"/>
              </w:rPr>
              <w:t>k margin is defined as (-128+D+</w:t>
            </w:r>
            <w:r w:rsidR="00EC2C98" w:rsidRPr="008F1E76">
              <w:rPr>
                <w:rFonts w:ascii="Arial" w:hAnsi="Arial" w:cs="Arial"/>
                <w:sz w:val="18"/>
                <w:szCs w:val="18"/>
                <w:lang w:val="en-US" w:eastAsia="ko-KR"/>
              </w:rPr>
              <w:t>0.5</w:t>
            </w:r>
            <w:proofErr w:type="gramStart"/>
            <w:r w:rsidR="00EC2C98" w:rsidRPr="008F1E76">
              <w:rPr>
                <w:rFonts w:ascii="Arial" w:hAnsi="Arial" w:cs="Arial"/>
                <w:sz w:val="18"/>
                <w:szCs w:val="18"/>
                <w:lang w:val="en-US" w:eastAsia="ko-KR"/>
              </w:rPr>
              <w:t>)</w:t>
            </w:r>
            <w:proofErr w:type="spellStart"/>
            <w:r w:rsidR="00EC2C98" w:rsidRPr="008F1E76">
              <w:rPr>
                <w:rFonts w:ascii="Arial" w:hAnsi="Arial" w:cs="Arial"/>
                <w:sz w:val="18"/>
                <w:szCs w:val="18"/>
                <w:lang w:val="en-US" w:eastAsia="ko-KR"/>
              </w:rPr>
              <w:t>dBm</w:t>
            </w:r>
            <w:proofErr w:type="spellEnd"/>
            <w:proofErr w:type="gramEnd"/>
            <w:r w:rsidR="00EC2C98" w:rsidRPr="008F1E76">
              <w:rPr>
                <w:rFonts w:ascii="Arial" w:hAnsi="Arial" w:cs="Arial"/>
                <w:sz w:val="18"/>
                <w:szCs w:val="18"/>
                <w:lang w:val="en-US" w:eastAsia="ko-KR"/>
              </w:rPr>
              <w:t>, where D is an unsigned integer value of the Open-Loop Link Margin Index field</w:t>
            </w:r>
            <w:r w:rsidR="00EC2C98">
              <w:rPr>
                <w:rFonts w:ascii="Arial" w:hAnsi="Arial" w:cs="Arial"/>
                <w:sz w:val="18"/>
                <w:szCs w:val="18"/>
                <w:lang w:val="en-US" w:eastAsia="ko-KR"/>
              </w:rPr>
              <w:t xml:space="preserve"> .</w:t>
            </w:r>
            <w:r>
              <w:rPr>
                <w:rFonts w:ascii="Arial" w:hAnsi="Arial" w:cs="Arial"/>
                <w:sz w:val="18"/>
                <w:szCs w:val="18"/>
                <w:lang w:val="en-US" w:eastAsia="ko-KR"/>
              </w:rPr>
              <w:t>”</w:t>
            </w:r>
          </w:p>
          <w:p w:rsidR="007C3250" w:rsidRDefault="007C3250" w:rsidP="00EE5746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</w:p>
          <w:p w:rsidR="00E5212E" w:rsidRDefault="00E5212E" w:rsidP="00EE5746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</w:p>
          <w:p w:rsidR="00E5212E" w:rsidRPr="0084199A" w:rsidRDefault="00E5212E" w:rsidP="00EE5746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</w:p>
        </w:tc>
      </w:tr>
      <w:tr w:rsidR="00AD50B6" w:rsidRPr="004F4792" w:rsidTr="006D65BB">
        <w:trPr>
          <w:trHeight w:val="2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D50B6" w:rsidRDefault="00AD50B6" w:rsidP="00C736CE">
            <w:pPr>
              <w:jc w:val="right"/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ko-KR"/>
              </w:rPr>
              <w:t>1384</w:t>
            </w:r>
          </w:p>
        </w:tc>
        <w:tc>
          <w:tcPr>
            <w:tcW w:w="720" w:type="dxa"/>
          </w:tcPr>
          <w:p w:rsidR="00AD50B6" w:rsidRDefault="00AD50B6" w:rsidP="006D65BB">
            <w:pPr>
              <w:jc w:val="right"/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ko-KR"/>
              </w:rPr>
              <w:t>8</w:t>
            </w:r>
            <w:r w:rsidR="006D65BB">
              <w:rPr>
                <w:rFonts w:ascii="Arial" w:hAnsi="Arial" w:cs="Arial"/>
                <w:sz w:val="18"/>
                <w:szCs w:val="18"/>
                <w:lang w:val="en-US" w:eastAsia="ko-KR"/>
              </w:rPr>
              <w:t>5</w:t>
            </w:r>
          </w:p>
        </w:tc>
        <w:tc>
          <w:tcPr>
            <w:tcW w:w="711" w:type="dxa"/>
          </w:tcPr>
          <w:p w:rsidR="00AD50B6" w:rsidRDefault="00AD50B6" w:rsidP="00C736CE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ko-KR"/>
              </w:rPr>
              <w:t>45</w:t>
            </w:r>
          </w:p>
        </w:tc>
        <w:tc>
          <w:tcPr>
            <w:tcW w:w="1067" w:type="dxa"/>
          </w:tcPr>
          <w:p w:rsidR="00AD50B6" w:rsidRPr="0084199A" w:rsidRDefault="00042264" w:rsidP="00C736CE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 w:rsidRPr="0084199A">
              <w:rPr>
                <w:rFonts w:ascii="Arial" w:hAnsi="Arial" w:cs="Arial"/>
                <w:sz w:val="18"/>
                <w:szCs w:val="18"/>
                <w:lang w:val="en-US" w:eastAsia="ko-KR"/>
              </w:rPr>
              <w:t>8.4.2.170a</w:t>
            </w:r>
          </w:p>
        </w:tc>
        <w:tc>
          <w:tcPr>
            <w:tcW w:w="2049" w:type="dxa"/>
          </w:tcPr>
          <w:p w:rsidR="00AD50B6" w:rsidRPr="008F1E76" w:rsidRDefault="00773288" w:rsidP="008F1E76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 w:rsidRPr="00773288">
              <w:rPr>
                <w:rFonts w:ascii="Arial" w:hAnsi="Arial" w:cs="Arial"/>
                <w:sz w:val="18"/>
                <w:szCs w:val="18"/>
                <w:lang w:val="en-US" w:eastAsia="ko-KR"/>
              </w:rPr>
              <w:t>Sentence indicates that this element can be used for open loop link adaptation and open loop power control but neither of these procedures has been defined for S1G.</w:t>
            </w:r>
          </w:p>
        </w:tc>
        <w:tc>
          <w:tcPr>
            <w:tcW w:w="2748" w:type="dxa"/>
          </w:tcPr>
          <w:p w:rsidR="00AD50B6" w:rsidRPr="008F1E76" w:rsidRDefault="00042264" w:rsidP="008F1E76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 w:rsidRPr="00042264">
              <w:rPr>
                <w:rFonts w:ascii="Arial" w:hAnsi="Arial" w:cs="Arial"/>
                <w:sz w:val="18"/>
                <w:szCs w:val="18"/>
                <w:lang w:val="en-US" w:eastAsia="ko-KR"/>
              </w:rPr>
              <w:t>Clearly describe protocol behavior of these features and add corresponding indications in the S1G Capabilities element.</w:t>
            </w:r>
          </w:p>
        </w:tc>
        <w:tc>
          <w:tcPr>
            <w:tcW w:w="1723" w:type="dxa"/>
          </w:tcPr>
          <w:p w:rsidR="00AD50B6" w:rsidRDefault="006D65BB" w:rsidP="00EE5746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ko-KR"/>
              </w:rPr>
              <w:t>R</w:t>
            </w:r>
            <w:r w:rsidR="00BD6270">
              <w:rPr>
                <w:rFonts w:ascii="Arial" w:hAnsi="Arial" w:cs="Arial"/>
                <w:sz w:val="18"/>
                <w:szCs w:val="18"/>
                <w:lang w:val="en-US" w:eastAsia="ko-KR"/>
              </w:rPr>
              <w:t>eject</w:t>
            </w:r>
            <w:r>
              <w:rPr>
                <w:rFonts w:ascii="Arial" w:hAnsi="Arial" w:cs="Arial"/>
                <w:sz w:val="18"/>
                <w:szCs w:val="18"/>
                <w:lang w:val="en-US" w:eastAsia="ko-KR"/>
              </w:rPr>
              <w:t>:</w:t>
            </w:r>
          </w:p>
          <w:p w:rsidR="006D65BB" w:rsidRDefault="006D65BB" w:rsidP="00EE5746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</w:p>
          <w:p w:rsidR="004F4792" w:rsidRDefault="006D65BB" w:rsidP="00EE5746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ko-KR"/>
              </w:rPr>
              <w:t xml:space="preserve">IE is optional to be included in the management frame. Even if there is no capability indication, </w:t>
            </w:r>
            <w:r w:rsidR="00EC7CC1">
              <w:rPr>
                <w:rFonts w:ascii="Arial" w:hAnsi="Arial" w:cs="Arial"/>
                <w:sz w:val="18"/>
                <w:szCs w:val="18"/>
                <w:lang w:val="en-US" w:eastAsia="ko-KR"/>
              </w:rPr>
              <w:t xml:space="preserve">IE can be chosen to be included or not. </w:t>
            </w:r>
          </w:p>
          <w:p w:rsidR="004F4792" w:rsidRDefault="004F4792" w:rsidP="00EE5746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</w:p>
          <w:p w:rsidR="006D65BB" w:rsidRDefault="004F4792" w:rsidP="00EE5746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ko-KR"/>
              </w:rPr>
              <w:t xml:space="preserve">Open-Loop Link Margin Index is mostly included in the beacon. Since it is mostly serves as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US" w:eastAsia="ko-KR"/>
              </w:rPr>
              <w:t>an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 w:eastAsia="ko-KR"/>
              </w:rPr>
              <w:t xml:space="preserve"> broadcasting message, it is not needed to be indicated by capability. </w:t>
            </w:r>
            <w:r w:rsidR="0034169E">
              <w:rPr>
                <w:rFonts w:ascii="Arial" w:hAnsi="Arial" w:cs="Arial"/>
                <w:sz w:val="18"/>
                <w:szCs w:val="18"/>
                <w:lang w:val="en-US" w:eastAsia="ko-KR"/>
              </w:rPr>
              <w:t xml:space="preserve"> </w:t>
            </w:r>
          </w:p>
          <w:p w:rsidR="00042264" w:rsidRDefault="00042264" w:rsidP="00EE5746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</w:p>
        </w:tc>
      </w:tr>
      <w:tr w:rsidR="006D65BB" w:rsidRPr="00EA53AA" w:rsidTr="00FD6692">
        <w:trPr>
          <w:trHeight w:val="20"/>
        </w:trPr>
        <w:tc>
          <w:tcPr>
            <w:tcW w:w="720" w:type="dxa"/>
            <w:tcBorders>
              <w:top w:val="single" w:sz="4" w:space="0" w:color="auto"/>
            </w:tcBorders>
          </w:tcPr>
          <w:p w:rsidR="006D65BB" w:rsidRDefault="006D65BB" w:rsidP="00C736CE">
            <w:pPr>
              <w:jc w:val="right"/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ko-KR"/>
              </w:rPr>
              <w:t>1759</w:t>
            </w:r>
          </w:p>
        </w:tc>
        <w:tc>
          <w:tcPr>
            <w:tcW w:w="720" w:type="dxa"/>
          </w:tcPr>
          <w:p w:rsidR="006D65BB" w:rsidRDefault="006D65BB" w:rsidP="00AD50B6">
            <w:pPr>
              <w:jc w:val="right"/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ko-KR"/>
              </w:rPr>
              <w:t>85</w:t>
            </w:r>
          </w:p>
        </w:tc>
        <w:tc>
          <w:tcPr>
            <w:tcW w:w="711" w:type="dxa"/>
          </w:tcPr>
          <w:p w:rsidR="006D65BB" w:rsidRDefault="006D65BB" w:rsidP="00C736CE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ko-KR"/>
              </w:rPr>
              <w:t>49</w:t>
            </w:r>
          </w:p>
        </w:tc>
        <w:tc>
          <w:tcPr>
            <w:tcW w:w="1067" w:type="dxa"/>
          </w:tcPr>
          <w:p w:rsidR="006D65BB" w:rsidRPr="0084199A" w:rsidRDefault="006D65BB" w:rsidP="00C736CE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 w:rsidRPr="0084199A">
              <w:rPr>
                <w:rFonts w:ascii="Arial" w:hAnsi="Arial" w:cs="Arial"/>
                <w:sz w:val="18"/>
                <w:szCs w:val="18"/>
                <w:lang w:val="en-US" w:eastAsia="ko-KR"/>
              </w:rPr>
              <w:t>8.4.2.170a</w:t>
            </w:r>
          </w:p>
        </w:tc>
        <w:tc>
          <w:tcPr>
            <w:tcW w:w="2049" w:type="dxa"/>
          </w:tcPr>
          <w:p w:rsidR="006D65BB" w:rsidRPr="006D65BB" w:rsidRDefault="006D65BB" w:rsidP="006D65BB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 w:rsidRPr="006D65BB">
              <w:rPr>
                <w:rFonts w:ascii="Arial" w:hAnsi="Arial" w:cs="Arial"/>
                <w:sz w:val="18"/>
                <w:szCs w:val="18"/>
                <w:lang w:val="en-US" w:eastAsia="ko-KR"/>
              </w:rPr>
              <w:t xml:space="preserve">The description of the </w:t>
            </w:r>
            <w:r w:rsidRPr="006D65BB">
              <w:rPr>
                <w:rFonts w:ascii="Arial" w:hAnsi="Arial" w:cs="Arial"/>
                <w:sz w:val="18"/>
                <w:szCs w:val="18"/>
                <w:lang w:val="en-US" w:eastAsia="ko-KR"/>
              </w:rPr>
              <w:lastRenderedPageBreak/>
              <w:t>Open-Loop Link Margin Index seems incomplete. In particular, it is defined as (-128+Dx0.5</w:t>
            </w:r>
            <w:proofErr w:type="gramStart"/>
            <w:r w:rsidRPr="006D65BB">
              <w:rPr>
                <w:rFonts w:ascii="Arial" w:hAnsi="Arial" w:cs="Arial"/>
                <w:sz w:val="18"/>
                <w:szCs w:val="18"/>
                <w:lang w:val="en-US" w:eastAsia="ko-KR"/>
              </w:rPr>
              <w:t>)</w:t>
            </w:r>
            <w:proofErr w:type="spellStart"/>
            <w:r w:rsidRPr="006D65BB">
              <w:rPr>
                <w:rFonts w:ascii="Arial" w:hAnsi="Arial" w:cs="Arial"/>
                <w:sz w:val="18"/>
                <w:szCs w:val="18"/>
                <w:lang w:val="en-US" w:eastAsia="ko-KR"/>
              </w:rPr>
              <w:t>dBm</w:t>
            </w:r>
            <w:proofErr w:type="spellEnd"/>
            <w:proofErr w:type="gramEnd"/>
            <w:r w:rsidRPr="006D65BB">
              <w:rPr>
                <w:rFonts w:ascii="Arial" w:hAnsi="Arial" w:cs="Arial"/>
                <w:sz w:val="18"/>
                <w:szCs w:val="18"/>
                <w:lang w:val="en-US" w:eastAsia="ko-KR"/>
              </w:rPr>
              <w:t xml:space="preserve">, but I'm pretty sure that the proper units for a link margin measure should be in dB, not </w:t>
            </w:r>
            <w:proofErr w:type="spellStart"/>
            <w:r w:rsidRPr="006D65BB">
              <w:rPr>
                <w:rFonts w:ascii="Arial" w:hAnsi="Arial" w:cs="Arial"/>
                <w:sz w:val="18"/>
                <w:szCs w:val="18"/>
                <w:lang w:val="en-US" w:eastAsia="ko-KR"/>
              </w:rPr>
              <w:t>dBm</w:t>
            </w:r>
            <w:proofErr w:type="spellEnd"/>
            <w:r w:rsidRPr="006D65BB">
              <w:rPr>
                <w:rFonts w:ascii="Arial" w:hAnsi="Arial" w:cs="Arial"/>
                <w:sz w:val="18"/>
                <w:szCs w:val="18"/>
                <w:lang w:val="en-US" w:eastAsia="ko-KR"/>
              </w:rPr>
              <w:t>.</w:t>
            </w:r>
          </w:p>
          <w:p w:rsidR="006D65BB" w:rsidRPr="00773288" w:rsidRDefault="006D65BB" w:rsidP="006D65BB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 w:rsidRPr="006D65BB">
              <w:rPr>
                <w:rFonts w:ascii="Arial" w:hAnsi="Arial" w:cs="Arial"/>
                <w:sz w:val="18"/>
                <w:szCs w:val="18"/>
                <w:lang w:val="en-US" w:eastAsia="ko-KR"/>
              </w:rPr>
              <w:t>Indeed the entire derivation for this link margin seems light. Link budget analysis is a complicated thing involving numerous terms, very few of which I see here.</w:t>
            </w:r>
          </w:p>
        </w:tc>
        <w:tc>
          <w:tcPr>
            <w:tcW w:w="2748" w:type="dxa"/>
          </w:tcPr>
          <w:p w:rsidR="006D65BB" w:rsidRPr="00042264" w:rsidRDefault="006D65BB" w:rsidP="008F1E76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 w:rsidRPr="006D65BB">
              <w:rPr>
                <w:rFonts w:ascii="Arial" w:hAnsi="Arial" w:cs="Arial"/>
                <w:sz w:val="18"/>
                <w:szCs w:val="18"/>
                <w:lang w:val="en-US" w:eastAsia="ko-KR"/>
              </w:rPr>
              <w:lastRenderedPageBreak/>
              <w:t xml:space="preserve">Provide a more thorough </w:t>
            </w:r>
            <w:r w:rsidRPr="006D65BB">
              <w:rPr>
                <w:rFonts w:ascii="Arial" w:hAnsi="Arial" w:cs="Arial"/>
                <w:sz w:val="18"/>
                <w:szCs w:val="18"/>
                <w:lang w:val="en-US" w:eastAsia="ko-KR"/>
              </w:rPr>
              <w:lastRenderedPageBreak/>
              <w:t>derivation for the Open Loop Link Margin Index, showing how the units are derived.</w:t>
            </w:r>
          </w:p>
        </w:tc>
        <w:tc>
          <w:tcPr>
            <w:tcW w:w="1723" w:type="dxa"/>
          </w:tcPr>
          <w:p w:rsidR="006D65BB" w:rsidRDefault="006D65BB" w:rsidP="00EE5746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ko-KR"/>
              </w:rPr>
              <w:lastRenderedPageBreak/>
              <w:t>Reject:</w:t>
            </w:r>
          </w:p>
          <w:p w:rsidR="006D65BB" w:rsidRDefault="006D65BB" w:rsidP="00EE5746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</w:p>
          <w:p w:rsidR="006D65BB" w:rsidRDefault="0073041E" w:rsidP="0073041E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ko-KR"/>
              </w:rPr>
              <w:t xml:space="preserve">Since </w:t>
            </w:r>
            <w:r w:rsidR="008F6926">
              <w:rPr>
                <w:rFonts w:ascii="Arial" w:hAnsi="Arial" w:cs="Arial"/>
                <w:sz w:val="18"/>
                <w:szCs w:val="18"/>
                <w:lang w:val="en-US" w:eastAsia="ko-KR"/>
              </w:rPr>
              <w:t xml:space="preserve">the </w:t>
            </w:r>
            <w:r>
              <w:rPr>
                <w:rFonts w:ascii="Arial" w:hAnsi="Arial" w:cs="Arial"/>
                <w:sz w:val="18"/>
                <w:szCs w:val="18"/>
                <w:lang w:val="en-US" w:eastAsia="ko-KR"/>
              </w:rPr>
              <w:t>“</w:t>
            </w:r>
            <w:r w:rsidR="008F6926">
              <w:rPr>
                <w:rFonts w:ascii="Arial" w:hAnsi="Arial" w:cs="Arial"/>
                <w:sz w:val="18"/>
                <w:szCs w:val="18"/>
                <w:lang w:val="en-US" w:eastAsia="ko-KR"/>
              </w:rPr>
              <w:t xml:space="preserve">open loop link margin </w:t>
            </w:r>
            <w:r>
              <w:rPr>
                <w:rFonts w:ascii="Arial" w:hAnsi="Arial" w:cs="Arial"/>
                <w:sz w:val="18"/>
                <w:szCs w:val="18"/>
                <w:lang w:val="en-US" w:eastAsia="ko-KR"/>
              </w:rPr>
              <w:t>index” already</w:t>
            </w:r>
            <w:r w:rsidR="008F6926">
              <w:rPr>
                <w:rFonts w:ascii="Arial" w:hAnsi="Arial" w:cs="Arial"/>
                <w:sz w:val="18"/>
                <w:szCs w:val="18"/>
                <w:lang w:val="en-US" w:eastAsia="ko-KR"/>
              </w:rPr>
              <w:t xml:space="preserve"> c</w:t>
            </w:r>
            <w:r>
              <w:rPr>
                <w:rFonts w:ascii="Arial" w:hAnsi="Arial" w:cs="Arial"/>
                <w:sz w:val="18"/>
                <w:szCs w:val="18"/>
                <w:lang w:val="en-US" w:eastAsia="ko-KR"/>
              </w:rPr>
              <w:t xml:space="preserve">hanged to “open loop link margin” as CID1112, the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ko-KR"/>
              </w:rPr>
              <w:t>the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ko-KR"/>
              </w:rPr>
              <w:t xml:space="preserve"> description is clear. </w:t>
            </w:r>
          </w:p>
          <w:p w:rsidR="008347C2" w:rsidRDefault="008347C2" w:rsidP="0073041E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</w:p>
          <w:p w:rsidR="008347C2" w:rsidRDefault="008347C2" w:rsidP="0073041E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</w:p>
          <w:p w:rsidR="0073041E" w:rsidRDefault="0073041E" w:rsidP="0073041E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</w:p>
          <w:p w:rsidR="0073041E" w:rsidRDefault="0073041E" w:rsidP="0073041E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</w:p>
        </w:tc>
      </w:tr>
    </w:tbl>
    <w:p w:rsidR="00217A87" w:rsidRDefault="00217A87"/>
    <w:p w:rsidR="0075707D" w:rsidRDefault="0075707D"/>
    <w:sectPr w:rsidR="0075707D" w:rsidSect="003601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2B6" w:rsidRDefault="004072B6">
      <w:r>
        <w:separator/>
      </w:r>
    </w:p>
  </w:endnote>
  <w:endnote w:type="continuationSeparator" w:id="0">
    <w:p w:rsidR="004072B6" w:rsidRDefault="00407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09D" w:rsidRDefault="00CD20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6CE" w:rsidRDefault="000D70F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736CE">
        <w:t>Submission</w:t>
      </w:r>
    </w:fldSimple>
    <w:r w:rsidR="00C736CE">
      <w:tab/>
      <w:t xml:space="preserve">page </w:t>
    </w:r>
    <w:r>
      <w:fldChar w:fldCharType="begin"/>
    </w:r>
    <w:r w:rsidR="00C736CE">
      <w:instrText xml:space="preserve">page </w:instrText>
    </w:r>
    <w:r>
      <w:fldChar w:fldCharType="separate"/>
    </w:r>
    <w:r w:rsidR="00CD209D">
      <w:rPr>
        <w:noProof/>
      </w:rPr>
      <w:t>1</w:t>
    </w:r>
    <w:r>
      <w:fldChar w:fldCharType="end"/>
    </w:r>
    <w:r w:rsidR="00C736CE">
      <w:tab/>
    </w:r>
    <w:fldSimple w:instr=" COMMENTS  \* MERGEFORMAT ">
      <w:r w:rsidR="000D4AAB">
        <w:t>Jianhan Liu</w:t>
      </w:r>
      <w:r w:rsidR="00C736CE">
        <w:t xml:space="preserve">, </w:t>
      </w:r>
      <w:r w:rsidR="000D4AAB">
        <w:t>Mediatek Inc.</w:t>
      </w:r>
    </w:fldSimple>
  </w:p>
  <w:p w:rsidR="00C736CE" w:rsidRDefault="00C736C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09D" w:rsidRDefault="00CD20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2B6" w:rsidRDefault="004072B6">
      <w:r>
        <w:separator/>
      </w:r>
    </w:p>
  </w:footnote>
  <w:footnote w:type="continuationSeparator" w:id="0">
    <w:p w:rsidR="004072B6" w:rsidRDefault="004072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09D" w:rsidRDefault="00CD20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6CE" w:rsidRDefault="000D70F4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50034E">
        <w:t>March</w:t>
      </w:r>
      <w:r w:rsidR="00C736CE">
        <w:t xml:space="preserve"> 201</w:t>
      </w:r>
      <w:r w:rsidR="0050034E">
        <w:t>4</w:t>
      </w:r>
    </w:fldSimple>
    <w:r w:rsidR="00C736CE">
      <w:tab/>
    </w:r>
    <w:r w:rsidR="00C736CE">
      <w:tab/>
    </w:r>
    <w:r>
      <w:fldChar w:fldCharType="begin"/>
    </w:r>
    <w:r>
      <w:instrText xml:space="preserve"> TITLE  \* MERGEFORMAT </w:instrText>
    </w:r>
    <w:r>
      <w:fldChar w:fldCharType="separate"/>
    </w:r>
    <w:r w:rsidR="00C736CE">
      <w:t>doc.</w:t>
    </w:r>
    <w:r w:rsidR="00C736CE">
      <w:t>: IEEE 802.11-1</w:t>
    </w:r>
    <w:r w:rsidR="0050034E">
      <w:t>4</w:t>
    </w:r>
    <w:r w:rsidR="00C736CE">
      <w:t>/</w:t>
    </w:r>
    <w:r>
      <w:fldChar w:fldCharType="end"/>
    </w:r>
    <w:r w:rsidR="0050034E">
      <w:t>0410</w:t>
    </w:r>
    <w:r w:rsidR="00CD209D">
      <w:t>r1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09D" w:rsidRDefault="00CD20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82703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3812A08"/>
    <w:multiLevelType w:val="hybridMultilevel"/>
    <w:tmpl w:val="87A65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87624"/>
    <w:multiLevelType w:val="hybridMultilevel"/>
    <w:tmpl w:val="214E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E67B04"/>
    <w:multiLevelType w:val="hybridMultilevel"/>
    <w:tmpl w:val="37528DC0"/>
    <w:lvl w:ilvl="0" w:tplc="F452A0D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9B2A42"/>
    <w:multiLevelType w:val="hybridMultilevel"/>
    <w:tmpl w:val="7FAC6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65139"/>
    <w:multiLevelType w:val="hybridMultilevel"/>
    <w:tmpl w:val="7C46EA80"/>
    <w:lvl w:ilvl="0" w:tplc="F452A0D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Figure 8-401d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0"/>
    <w:lvlOverride w:ilvl="0">
      <w:lvl w:ilvl="0">
        <w:numFmt w:val="bullet"/>
        <w:lvlText w:val="Figure 8-401d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>
    <w:abstractNumId w:val="0"/>
    <w:lvlOverride w:ilvl="0">
      <w:lvl w:ilvl="0">
        <w:numFmt w:val="bullet"/>
        <w:lvlText w:val="Table 8-191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Figure 8-401d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4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F349EF"/>
    <w:rsid w:val="000008E9"/>
    <w:rsid w:val="00001052"/>
    <w:rsid w:val="000328CD"/>
    <w:rsid w:val="00036EBB"/>
    <w:rsid w:val="00042264"/>
    <w:rsid w:val="000450E6"/>
    <w:rsid w:val="000563CA"/>
    <w:rsid w:val="00090C74"/>
    <w:rsid w:val="000D1689"/>
    <w:rsid w:val="000D33F6"/>
    <w:rsid w:val="000D4AAB"/>
    <w:rsid w:val="000D70F4"/>
    <w:rsid w:val="000F0D2D"/>
    <w:rsid w:val="0013152A"/>
    <w:rsid w:val="00171080"/>
    <w:rsid w:val="00173B96"/>
    <w:rsid w:val="0018603B"/>
    <w:rsid w:val="001979C4"/>
    <w:rsid w:val="001A7372"/>
    <w:rsid w:val="001B2702"/>
    <w:rsid w:val="001D723B"/>
    <w:rsid w:val="001D7B22"/>
    <w:rsid w:val="001F3BDD"/>
    <w:rsid w:val="00205684"/>
    <w:rsid w:val="00217A87"/>
    <w:rsid w:val="002753FC"/>
    <w:rsid w:val="00283463"/>
    <w:rsid w:val="00283AD2"/>
    <w:rsid w:val="0029020B"/>
    <w:rsid w:val="00294597"/>
    <w:rsid w:val="002A2976"/>
    <w:rsid w:val="002B00AD"/>
    <w:rsid w:val="002B361D"/>
    <w:rsid w:val="002C4BAC"/>
    <w:rsid w:val="002D44BE"/>
    <w:rsid w:val="00313408"/>
    <w:rsid w:val="003139C2"/>
    <w:rsid w:val="00320F45"/>
    <w:rsid w:val="003242C6"/>
    <w:rsid w:val="003415E0"/>
    <w:rsid w:val="0034169E"/>
    <w:rsid w:val="0036011D"/>
    <w:rsid w:val="00362AF2"/>
    <w:rsid w:val="00367D48"/>
    <w:rsid w:val="00386140"/>
    <w:rsid w:val="003A6A0C"/>
    <w:rsid w:val="003B14DB"/>
    <w:rsid w:val="003B59EC"/>
    <w:rsid w:val="003C07A1"/>
    <w:rsid w:val="003C3EA8"/>
    <w:rsid w:val="003C58F7"/>
    <w:rsid w:val="004050C0"/>
    <w:rsid w:val="004072B6"/>
    <w:rsid w:val="004156A7"/>
    <w:rsid w:val="00415A5D"/>
    <w:rsid w:val="00435E36"/>
    <w:rsid w:val="00442037"/>
    <w:rsid w:val="00452682"/>
    <w:rsid w:val="00471A24"/>
    <w:rsid w:val="004905E2"/>
    <w:rsid w:val="00496071"/>
    <w:rsid w:val="004B064B"/>
    <w:rsid w:val="004E1A19"/>
    <w:rsid w:val="004F38FE"/>
    <w:rsid w:val="004F4792"/>
    <w:rsid w:val="0050034E"/>
    <w:rsid w:val="00522308"/>
    <w:rsid w:val="0052433D"/>
    <w:rsid w:val="005258E9"/>
    <w:rsid w:val="00531CD8"/>
    <w:rsid w:val="005626B3"/>
    <w:rsid w:val="00597E54"/>
    <w:rsid w:val="005C6139"/>
    <w:rsid w:val="005E2F02"/>
    <w:rsid w:val="0062440B"/>
    <w:rsid w:val="00631DED"/>
    <w:rsid w:val="006415C8"/>
    <w:rsid w:val="0066429F"/>
    <w:rsid w:val="00691F8C"/>
    <w:rsid w:val="006A3706"/>
    <w:rsid w:val="006C0727"/>
    <w:rsid w:val="006D65BB"/>
    <w:rsid w:val="006E145F"/>
    <w:rsid w:val="006E6323"/>
    <w:rsid w:val="00715F67"/>
    <w:rsid w:val="0073041E"/>
    <w:rsid w:val="007349B0"/>
    <w:rsid w:val="00743E43"/>
    <w:rsid w:val="00745D69"/>
    <w:rsid w:val="0075707D"/>
    <w:rsid w:val="00770572"/>
    <w:rsid w:val="00772B75"/>
    <w:rsid w:val="00772D7D"/>
    <w:rsid w:val="00773288"/>
    <w:rsid w:val="0079384C"/>
    <w:rsid w:val="0079710C"/>
    <w:rsid w:val="007B6A35"/>
    <w:rsid w:val="007C3250"/>
    <w:rsid w:val="0080540B"/>
    <w:rsid w:val="008253BB"/>
    <w:rsid w:val="008347C2"/>
    <w:rsid w:val="00836E8D"/>
    <w:rsid w:val="00840DF8"/>
    <w:rsid w:val="0084199A"/>
    <w:rsid w:val="0086211B"/>
    <w:rsid w:val="008A1696"/>
    <w:rsid w:val="008D55E9"/>
    <w:rsid w:val="008E740B"/>
    <w:rsid w:val="008F1E76"/>
    <w:rsid w:val="008F6926"/>
    <w:rsid w:val="00903CC5"/>
    <w:rsid w:val="0090452D"/>
    <w:rsid w:val="00917D00"/>
    <w:rsid w:val="009217B2"/>
    <w:rsid w:val="009308A3"/>
    <w:rsid w:val="00945C3F"/>
    <w:rsid w:val="00961D55"/>
    <w:rsid w:val="00972529"/>
    <w:rsid w:val="009743CA"/>
    <w:rsid w:val="009A2A8A"/>
    <w:rsid w:val="009F2FBC"/>
    <w:rsid w:val="00A005A4"/>
    <w:rsid w:val="00A011A6"/>
    <w:rsid w:val="00A0234F"/>
    <w:rsid w:val="00A0263B"/>
    <w:rsid w:val="00A141F6"/>
    <w:rsid w:val="00A17806"/>
    <w:rsid w:val="00A31110"/>
    <w:rsid w:val="00A43309"/>
    <w:rsid w:val="00A65D29"/>
    <w:rsid w:val="00A73339"/>
    <w:rsid w:val="00AA26E5"/>
    <w:rsid w:val="00AA427C"/>
    <w:rsid w:val="00AC2493"/>
    <w:rsid w:val="00AD50B6"/>
    <w:rsid w:val="00B241F0"/>
    <w:rsid w:val="00B366FF"/>
    <w:rsid w:val="00B746DF"/>
    <w:rsid w:val="00B91587"/>
    <w:rsid w:val="00B91955"/>
    <w:rsid w:val="00B9501F"/>
    <w:rsid w:val="00BC019B"/>
    <w:rsid w:val="00BD4BF1"/>
    <w:rsid w:val="00BD6270"/>
    <w:rsid w:val="00BD68A8"/>
    <w:rsid w:val="00BE68C2"/>
    <w:rsid w:val="00BF0885"/>
    <w:rsid w:val="00C202E4"/>
    <w:rsid w:val="00C736CE"/>
    <w:rsid w:val="00C833E6"/>
    <w:rsid w:val="00CA09B2"/>
    <w:rsid w:val="00CA6BD3"/>
    <w:rsid w:val="00CA7B1A"/>
    <w:rsid w:val="00CB55EC"/>
    <w:rsid w:val="00CD209D"/>
    <w:rsid w:val="00D03F3D"/>
    <w:rsid w:val="00D13B35"/>
    <w:rsid w:val="00D201DF"/>
    <w:rsid w:val="00D26EF1"/>
    <w:rsid w:val="00D4496F"/>
    <w:rsid w:val="00D505FB"/>
    <w:rsid w:val="00D741A4"/>
    <w:rsid w:val="00D97FEF"/>
    <w:rsid w:val="00DB2474"/>
    <w:rsid w:val="00DC5A7B"/>
    <w:rsid w:val="00DE6D71"/>
    <w:rsid w:val="00DF466D"/>
    <w:rsid w:val="00E01F07"/>
    <w:rsid w:val="00E0359B"/>
    <w:rsid w:val="00E22753"/>
    <w:rsid w:val="00E31F91"/>
    <w:rsid w:val="00E51D2A"/>
    <w:rsid w:val="00E5212E"/>
    <w:rsid w:val="00E57C1F"/>
    <w:rsid w:val="00E72132"/>
    <w:rsid w:val="00E83A88"/>
    <w:rsid w:val="00E867E3"/>
    <w:rsid w:val="00EA43CC"/>
    <w:rsid w:val="00EA53AA"/>
    <w:rsid w:val="00EC2C98"/>
    <w:rsid w:val="00EC526E"/>
    <w:rsid w:val="00EC544C"/>
    <w:rsid w:val="00EC7CC1"/>
    <w:rsid w:val="00ED32D0"/>
    <w:rsid w:val="00EE5746"/>
    <w:rsid w:val="00EF74C3"/>
    <w:rsid w:val="00F06FE5"/>
    <w:rsid w:val="00F23989"/>
    <w:rsid w:val="00F349EF"/>
    <w:rsid w:val="00F456FB"/>
    <w:rsid w:val="00F45DF5"/>
    <w:rsid w:val="00F54638"/>
    <w:rsid w:val="00F61D71"/>
    <w:rsid w:val="00F9558B"/>
    <w:rsid w:val="00FA5C8C"/>
    <w:rsid w:val="00FB7F1E"/>
    <w:rsid w:val="00FC73B8"/>
    <w:rsid w:val="00FD0673"/>
    <w:rsid w:val="00FD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433D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6011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36011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36011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6011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6011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6011D"/>
    <w:pPr>
      <w:jc w:val="center"/>
    </w:pPr>
    <w:rPr>
      <w:b/>
      <w:sz w:val="28"/>
    </w:rPr>
  </w:style>
  <w:style w:type="paragraph" w:customStyle="1" w:styleId="T2">
    <w:name w:val="T2"/>
    <w:basedOn w:val="T1"/>
    <w:rsid w:val="0036011D"/>
    <w:pPr>
      <w:spacing w:after="240"/>
      <w:ind w:left="720" w:right="720"/>
    </w:pPr>
  </w:style>
  <w:style w:type="paragraph" w:customStyle="1" w:styleId="T3">
    <w:name w:val="T3"/>
    <w:basedOn w:val="T1"/>
    <w:rsid w:val="0036011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6011D"/>
    <w:pPr>
      <w:ind w:left="720" w:hanging="720"/>
    </w:pPr>
  </w:style>
  <w:style w:type="character" w:styleId="Hyperlink">
    <w:name w:val="Hyperlink"/>
    <w:rsid w:val="0036011D"/>
    <w:rPr>
      <w:color w:val="0000FF"/>
      <w:u w:val="single"/>
    </w:rPr>
  </w:style>
  <w:style w:type="table" w:styleId="TableGrid">
    <w:name w:val="Table Grid"/>
    <w:basedOn w:val="TableNormal"/>
    <w:rsid w:val="00A00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6FE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746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46DF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rsid w:val="00BD4B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4BF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4BF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D4B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D4BF1"/>
    <w:rPr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471A2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A24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433D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A00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6FE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746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46DF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rsid w:val="00BD4B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4BF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4BF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D4B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D4BF1"/>
    <w:rPr>
      <w:b/>
      <w:bCs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ark1\Documents\Low%20power%20wifi\IEEE%20802.11ah\Internal\TGah\CC09\Comment%20resolution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C8C31-F304-464B-811D-DA48FC6BE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24</TotalTime>
  <Pages>3</Pages>
  <Words>484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802.11-13/xxxxr0</vt:lpstr>
    </vt:vector>
  </TitlesOfParts>
  <Company>Some Company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802.11-13/xxxxr0</dc:title>
  <dc:subject>Submission</dc:subject>
  <dc:creator>mpark1</dc:creator>
  <cp:keywords>July 2013</cp:keywords>
  <dc:description>Minyoung Park, Intel Corporation</dc:description>
  <cp:lastModifiedBy>mtk30143</cp:lastModifiedBy>
  <cp:revision>16</cp:revision>
  <cp:lastPrinted>2013-07-02T22:14:00Z</cp:lastPrinted>
  <dcterms:created xsi:type="dcterms:W3CDTF">2014-03-18T02:48:00Z</dcterms:created>
  <dcterms:modified xsi:type="dcterms:W3CDTF">2014-03-19T07:08:00Z</dcterms:modified>
</cp:coreProperties>
</file>