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6"/>
        <w:gridCol w:w="165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5E2F02">
            <w:pPr>
              <w:pStyle w:val="T2"/>
            </w:pPr>
            <w:r w:rsidRPr="005E2F02">
              <w:t>LB200-comment-resolution-clause-8-4-2-170a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A311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A31110">
              <w:rPr>
                <w:b w:val="0"/>
                <w:sz w:val="20"/>
              </w:rPr>
              <w:t>September</w:t>
            </w:r>
            <w:r>
              <w:rPr>
                <w:b w:val="0"/>
                <w:sz w:val="20"/>
              </w:rPr>
              <w:t>-</w:t>
            </w:r>
            <w:r w:rsidR="00A31110">
              <w:rPr>
                <w:b w:val="0"/>
                <w:sz w:val="20"/>
              </w:rPr>
              <w:t>15</w:t>
            </w:r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4199A">
        <w:trPr>
          <w:jc w:val="center"/>
        </w:trPr>
        <w:tc>
          <w:tcPr>
            <w:tcW w:w="174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5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9384C" w:rsidTr="00087E09">
        <w:trPr>
          <w:jc w:val="center"/>
        </w:trPr>
        <w:tc>
          <w:tcPr>
            <w:tcW w:w="1746" w:type="dxa"/>
            <w:vAlign w:val="center"/>
          </w:tcPr>
          <w:p w:rsidR="0079384C" w:rsidRPr="00836E8D" w:rsidRDefault="0079384C" w:rsidP="00283AD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6E8D">
              <w:rPr>
                <w:b w:val="0"/>
                <w:sz w:val="20"/>
              </w:rPr>
              <w:t>Jianhan Liu</w:t>
            </w:r>
          </w:p>
        </w:tc>
        <w:tc>
          <w:tcPr>
            <w:tcW w:w="1654" w:type="dxa"/>
            <w:vAlign w:val="center"/>
          </w:tcPr>
          <w:p w:rsidR="0079384C" w:rsidRPr="00836E8D" w:rsidRDefault="007938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6E8D">
              <w:rPr>
                <w:b w:val="0"/>
                <w:sz w:val="20"/>
              </w:rPr>
              <w:t>Mediatek Inc.</w:t>
            </w:r>
          </w:p>
        </w:tc>
        <w:tc>
          <w:tcPr>
            <w:tcW w:w="2936" w:type="dxa"/>
            <w:gridSpan w:val="2"/>
            <w:vAlign w:val="center"/>
          </w:tcPr>
          <w:p w:rsidR="0079384C" w:rsidRPr="00836E8D" w:rsidRDefault="007938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79384C" w:rsidRPr="00836E8D" w:rsidRDefault="0079384C" w:rsidP="003861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36E8D">
              <w:rPr>
                <w:b w:val="0"/>
                <w:sz w:val="20"/>
              </w:rPr>
              <w:t>Jianhan.liu@mediatek.com</w:t>
            </w:r>
          </w:p>
        </w:tc>
      </w:tr>
    </w:tbl>
    <w:p w:rsidR="00CA09B2" w:rsidRDefault="003B14DB">
      <w:pPr>
        <w:pStyle w:val="T1"/>
        <w:spacing w:after="120"/>
        <w:rPr>
          <w:sz w:val="22"/>
        </w:rPr>
      </w:pPr>
      <w:r w:rsidRPr="003B14DB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C736CE" w:rsidRDefault="00C736C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A3706" w:rsidRDefault="00C736CE" w:rsidP="006A3706">
                  <w:pPr>
                    <w:jc w:val="both"/>
                  </w:pPr>
                  <w:r>
                    <w:t>This document provides resolutions for CIDs</w:t>
                  </w:r>
                  <w:r w:rsidR="006A3706">
                    <w:t xml:space="preserve"> in subclause </w:t>
                  </w:r>
                  <w:r w:rsidR="00CA6BD3">
                    <w:rPr>
                      <w:rFonts w:ascii="Arial-BoldMT" w:hAnsi="Arial-BoldMT" w:cs="Arial-BoldMT"/>
                      <w:b/>
                      <w:bCs/>
                      <w:sz w:val="20"/>
                      <w:lang w:val="en-US" w:eastAsia="ko-KR"/>
                    </w:rPr>
                    <w:t>8.4.2.170a</w:t>
                  </w:r>
                  <w:r>
                    <w:t xml:space="preserve">: </w:t>
                  </w:r>
                </w:p>
                <w:p w:rsidR="006A3706" w:rsidRDefault="00205684" w:rsidP="006A3706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</w:pPr>
                  <w:r>
                    <w:t>CID</w:t>
                  </w:r>
                  <w:r w:rsidR="0084199A">
                    <w:t>1110</w:t>
                  </w:r>
                  <w:r>
                    <w:t>, CID</w:t>
                  </w:r>
                  <w:r w:rsidR="0084199A">
                    <w:t>1111,</w:t>
                  </w:r>
                  <w:r w:rsidR="0084199A" w:rsidRPr="0084199A">
                    <w:t xml:space="preserve"> </w:t>
                  </w:r>
                  <w:r w:rsidR="0084199A">
                    <w:t>CID1112,</w:t>
                  </w:r>
                  <w:r w:rsidR="00DE6D71" w:rsidRPr="00DE6D71">
                    <w:t xml:space="preserve"> </w:t>
                  </w:r>
                  <w:r w:rsidR="00DE6D71">
                    <w:t>CID1384, CID1759</w:t>
                  </w:r>
                </w:p>
                <w:p w:rsidR="00D26EF1" w:rsidRDefault="00D26EF1" w:rsidP="00205684">
                  <w:pPr>
                    <w:jc w:val="both"/>
                  </w:pPr>
                </w:p>
                <w:p w:rsidR="006A3706" w:rsidRDefault="006A3706" w:rsidP="00D13B35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1D7B22">
      <w:r>
        <w:br w:type="page"/>
      </w:r>
    </w:p>
    <w:p w:rsidR="00AA26E5" w:rsidRDefault="00AA26E5"/>
    <w:p w:rsidR="00AA26E5" w:rsidRDefault="00AA26E5"/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720"/>
        <w:gridCol w:w="720"/>
        <w:gridCol w:w="711"/>
        <w:gridCol w:w="1067"/>
        <w:gridCol w:w="2049"/>
        <w:gridCol w:w="2748"/>
        <w:gridCol w:w="1723"/>
      </w:tblGrid>
      <w:tr w:rsidR="0084199A" w:rsidRPr="002B361D" w:rsidTr="00FD6692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7349B0" w:rsidRPr="0084199A" w:rsidRDefault="007349B0" w:rsidP="0084199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CID</w:t>
            </w:r>
          </w:p>
        </w:tc>
        <w:tc>
          <w:tcPr>
            <w:tcW w:w="720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 xml:space="preserve">Page </w:t>
            </w:r>
          </w:p>
        </w:tc>
        <w:tc>
          <w:tcPr>
            <w:tcW w:w="711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Line</w:t>
            </w:r>
          </w:p>
        </w:tc>
        <w:tc>
          <w:tcPr>
            <w:tcW w:w="1067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Clause</w:t>
            </w:r>
          </w:p>
        </w:tc>
        <w:tc>
          <w:tcPr>
            <w:tcW w:w="2049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Comment</w:t>
            </w:r>
          </w:p>
        </w:tc>
        <w:tc>
          <w:tcPr>
            <w:tcW w:w="2748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Proposed Change</w:t>
            </w:r>
          </w:p>
        </w:tc>
        <w:tc>
          <w:tcPr>
            <w:tcW w:w="1723" w:type="dxa"/>
            <w:shd w:val="clear" w:color="auto" w:fill="D9D9D9" w:themeFill="background1" w:themeFillShade="D9"/>
            <w:hideMark/>
          </w:tcPr>
          <w:p w:rsidR="007349B0" w:rsidRPr="0084199A" w:rsidRDefault="007349B0" w:rsidP="006538D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  <w:t>Resolution</w:t>
            </w:r>
          </w:p>
        </w:tc>
      </w:tr>
      <w:tr w:rsidR="0084199A" w:rsidRPr="00F9558B" w:rsidTr="00FD6692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</w:tcPr>
          <w:p w:rsidR="007349B0" w:rsidRPr="00FD6692" w:rsidRDefault="00FD6692" w:rsidP="00FD6692">
            <w:pPr>
              <w:rPr>
                <w:sz w:val="18"/>
                <w:szCs w:val="18"/>
              </w:rPr>
            </w:pPr>
            <w:r w:rsidRPr="00FD6692">
              <w:rPr>
                <w:sz w:val="18"/>
                <w:szCs w:val="18"/>
              </w:rPr>
              <w:t>1110</w:t>
            </w:r>
          </w:p>
        </w:tc>
        <w:tc>
          <w:tcPr>
            <w:tcW w:w="720" w:type="dxa"/>
          </w:tcPr>
          <w:p w:rsidR="007349B0" w:rsidRPr="0084199A" w:rsidRDefault="00EE5746" w:rsidP="00EE5746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7349B0" w:rsidRPr="0084199A" w:rsidRDefault="00EE574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12</w:t>
            </w:r>
          </w:p>
        </w:tc>
        <w:tc>
          <w:tcPr>
            <w:tcW w:w="1067" w:type="dxa"/>
          </w:tcPr>
          <w:p w:rsidR="007349B0" w:rsidRPr="0084199A" w:rsidRDefault="007349B0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7349B0" w:rsidRPr="0084199A" w:rsidRDefault="0084199A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The Open-loop Link Margin index is specific to S1G.   The name is over-general.</w:t>
            </w:r>
          </w:p>
        </w:tc>
        <w:tc>
          <w:tcPr>
            <w:tcW w:w="2748" w:type="dxa"/>
          </w:tcPr>
          <w:p w:rsidR="007349B0" w:rsidRPr="0084199A" w:rsidRDefault="0084199A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Add an S1G somewhere in the name.   Apply change globally.</w:t>
            </w:r>
          </w:p>
        </w:tc>
        <w:tc>
          <w:tcPr>
            <w:tcW w:w="1723" w:type="dxa"/>
          </w:tcPr>
          <w:p w:rsidR="007349B0" w:rsidRPr="0084199A" w:rsidRDefault="0084199A" w:rsidP="007349B0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Accept:</w:t>
            </w:r>
          </w:p>
          <w:p w:rsidR="00A65D29" w:rsidRPr="0084199A" w:rsidRDefault="00A65D29" w:rsidP="007349B0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A65D29" w:rsidRPr="0084199A" w:rsidRDefault="0084199A" w:rsidP="0084199A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Change “Open-Loop Link Margin Index” to “S1G Open-Loop Link Margin Index”</w:t>
            </w:r>
          </w:p>
        </w:tc>
      </w:tr>
      <w:tr w:rsidR="00FD6692" w:rsidRPr="00F9558B" w:rsidTr="008F1E76">
        <w:trPr>
          <w:trHeight w:val="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349B0" w:rsidRPr="0084199A" w:rsidRDefault="0084199A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1111</w:t>
            </w:r>
          </w:p>
        </w:tc>
        <w:tc>
          <w:tcPr>
            <w:tcW w:w="720" w:type="dxa"/>
          </w:tcPr>
          <w:p w:rsidR="007349B0" w:rsidRPr="0084199A" w:rsidRDefault="00EE574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7349B0" w:rsidRPr="0084199A" w:rsidRDefault="00EE574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31</w:t>
            </w:r>
          </w:p>
        </w:tc>
        <w:tc>
          <w:tcPr>
            <w:tcW w:w="1067" w:type="dxa"/>
          </w:tcPr>
          <w:p w:rsidR="007349B0" w:rsidRPr="0084199A" w:rsidRDefault="007349B0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7349B0" w:rsidRPr="0084199A" w:rsidRDefault="00EE574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EE574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"The Length field is set to 1."  --  this is contrary to recent TGmc style,  </w:t>
            </w:r>
          </w:p>
        </w:tc>
        <w:tc>
          <w:tcPr>
            <w:tcW w:w="2748" w:type="dxa"/>
          </w:tcPr>
          <w:p w:rsidR="007349B0" w:rsidRPr="0084199A" w:rsidRDefault="00EE5746" w:rsidP="0086211B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EE5746">
              <w:rPr>
                <w:rFonts w:ascii="Arial" w:hAnsi="Arial" w:cs="Arial"/>
                <w:sz w:val="18"/>
                <w:szCs w:val="18"/>
                <w:lang w:val="en-US" w:eastAsia="ko-KR"/>
              </w:rPr>
              <w:t>Remove cited text.</w:t>
            </w:r>
          </w:p>
        </w:tc>
        <w:tc>
          <w:tcPr>
            <w:tcW w:w="1723" w:type="dxa"/>
          </w:tcPr>
          <w:p w:rsidR="00EE5746" w:rsidRPr="0084199A" w:rsidRDefault="00EE5746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A</w:t>
            </w:r>
            <w:r w:rsidR="007C3250">
              <w:rPr>
                <w:rFonts w:ascii="Arial" w:hAnsi="Arial" w:cs="Arial"/>
                <w:sz w:val="18"/>
                <w:szCs w:val="18"/>
                <w:lang w:val="en-US" w:eastAsia="ko-KR"/>
              </w:rPr>
              <w:t>ccept</w:t>
            </w:r>
          </w:p>
          <w:p w:rsidR="00BD68A8" w:rsidRPr="0084199A" w:rsidRDefault="00BD68A8" w:rsidP="0075707D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F1E76" w:rsidRPr="00EA53AA" w:rsidTr="00AD50B6">
        <w:trPr>
          <w:trHeight w:val="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F1E76" w:rsidRPr="0084199A" w:rsidRDefault="008F1E7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1112</w:t>
            </w:r>
          </w:p>
        </w:tc>
        <w:tc>
          <w:tcPr>
            <w:tcW w:w="720" w:type="dxa"/>
          </w:tcPr>
          <w:p w:rsidR="008F1E76" w:rsidRDefault="008F1E7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8F1E76" w:rsidRDefault="008F1E7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49</w:t>
            </w:r>
          </w:p>
        </w:tc>
        <w:tc>
          <w:tcPr>
            <w:tcW w:w="1067" w:type="dxa"/>
          </w:tcPr>
          <w:p w:rsidR="008F1E76" w:rsidRPr="0084199A" w:rsidRDefault="008F1E7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"The Open-Loop Link Margin Index is defined as (-128+D+∙0.5)dBm, where D is an unsigned integer number</w:t>
            </w: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shown in Open-Loop Link Margin Index field."</w:t>
            </w: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This is a great example of how to get foundational garments into a state of torsional dislocation.</w:t>
            </w:r>
          </w:p>
          <w:p w:rsidR="008F1E76" w:rsidRPr="00EE574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Don't have a field and the same thing without field attached that mean different things.</w:t>
            </w:r>
          </w:p>
        </w:tc>
        <w:tc>
          <w:tcPr>
            <w:tcW w:w="2748" w:type="dxa"/>
          </w:tcPr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Drop "index" when refering to the thing in units of dBm - i.e. at line 38.   Replace cited text with:  "The open-loop link margin is defined as (-128+D+∙0.5)dBm, where D is an unsigned integer value of the Open-Loop Link Margin Index field."</w:t>
            </w:r>
          </w:p>
          <w:p w:rsidR="008F1E76" w:rsidRPr="008F1E7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8F1E76" w:rsidRPr="00EE5746" w:rsidRDefault="008F1E76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Also note that We Don't Capitalize random collections Of Words - even if they describe a really cool concept.  We capitalize the names that preceed "field, element, frame .etc".   So "open loop link margin" and "Open Loop </w:t>
            </w:r>
            <w:r w:rsidR="005258E9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Link Margin</w:t>
            </w:r>
            <w:r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Index field" please to represent these two distinct concepts.</w:t>
            </w:r>
          </w:p>
        </w:tc>
        <w:tc>
          <w:tcPr>
            <w:tcW w:w="1723" w:type="dxa"/>
          </w:tcPr>
          <w:p w:rsidR="008F1E76" w:rsidRDefault="007C3250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Accept</w:t>
            </w:r>
            <w:r w:rsidR="00E5212E">
              <w:rPr>
                <w:rFonts w:ascii="Arial" w:hAnsi="Arial" w:cs="Arial"/>
                <w:sz w:val="18"/>
                <w:szCs w:val="18"/>
                <w:lang w:val="en-US" w:eastAsia="ko-KR"/>
              </w:rPr>
              <w:t>:</w:t>
            </w:r>
          </w:p>
          <w:p w:rsidR="00E5212E" w:rsidRDefault="00EA53AA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Revised as commenter suggested,</w:t>
            </w:r>
          </w:p>
          <w:p w:rsidR="00EA53AA" w:rsidRDefault="00EA53AA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7C3250" w:rsidRDefault="00EA53AA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“</w:t>
            </w:r>
            <w:r w:rsidR="00EC2C98" w:rsidRPr="008F1E76">
              <w:rPr>
                <w:rFonts w:ascii="Arial" w:hAnsi="Arial" w:cs="Arial"/>
                <w:sz w:val="18"/>
                <w:szCs w:val="18"/>
                <w:lang w:val="en-US" w:eastAsia="ko-KR"/>
              </w:rPr>
              <w:t>The open-loop link margin is defined as (-128+D+∙0.5)dBm, where D is an unsigned integer value of the Open-Loop Link Margin Index field</w:t>
            </w:r>
            <w:r w:rsidR="00EC2C98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.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”</w:t>
            </w:r>
          </w:p>
          <w:p w:rsidR="007C3250" w:rsidRDefault="007C3250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E5212E" w:rsidRDefault="00E5212E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E5212E" w:rsidRPr="0084199A" w:rsidRDefault="00E5212E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</w:tr>
      <w:tr w:rsidR="00AD50B6" w:rsidRPr="004F4792" w:rsidTr="006D65BB">
        <w:trPr>
          <w:trHeight w:val="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D50B6" w:rsidRDefault="00AD50B6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1384</w:t>
            </w:r>
          </w:p>
        </w:tc>
        <w:tc>
          <w:tcPr>
            <w:tcW w:w="720" w:type="dxa"/>
          </w:tcPr>
          <w:p w:rsidR="00AD50B6" w:rsidRDefault="00AD50B6" w:rsidP="006D65BB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</w:t>
            </w:r>
            <w:r w:rsid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5</w:t>
            </w:r>
          </w:p>
        </w:tc>
        <w:tc>
          <w:tcPr>
            <w:tcW w:w="711" w:type="dxa"/>
          </w:tcPr>
          <w:p w:rsidR="00AD50B6" w:rsidRDefault="00AD50B6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45</w:t>
            </w:r>
          </w:p>
        </w:tc>
        <w:tc>
          <w:tcPr>
            <w:tcW w:w="1067" w:type="dxa"/>
          </w:tcPr>
          <w:p w:rsidR="00AD50B6" w:rsidRPr="0084199A" w:rsidRDefault="00042264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AD50B6" w:rsidRPr="008F1E76" w:rsidRDefault="00773288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773288">
              <w:rPr>
                <w:rFonts w:ascii="Arial" w:hAnsi="Arial" w:cs="Arial"/>
                <w:sz w:val="18"/>
                <w:szCs w:val="18"/>
                <w:lang w:val="en-US" w:eastAsia="ko-KR"/>
              </w:rPr>
              <w:t>Sentence indicates that this element can be used for open loop link adaptation and open loop power control but neither of these procedures has been defined for S1G.</w:t>
            </w:r>
          </w:p>
        </w:tc>
        <w:tc>
          <w:tcPr>
            <w:tcW w:w="2748" w:type="dxa"/>
          </w:tcPr>
          <w:p w:rsidR="00AD50B6" w:rsidRPr="008F1E76" w:rsidRDefault="00042264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042264">
              <w:rPr>
                <w:rFonts w:ascii="Arial" w:hAnsi="Arial" w:cs="Arial"/>
                <w:sz w:val="18"/>
                <w:szCs w:val="18"/>
                <w:lang w:val="en-US" w:eastAsia="ko-KR"/>
              </w:rPr>
              <w:t>Clearly describe protocol behavior of these features and add corresponding indications in the S1G Capabilities element.</w:t>
            </w:r>
          </w:p>
        </w:tc>
        <w:tc>
          <w:tcPr>
            <w:tcW w:w="1723" w:type="dxa"/>
          </w:tcPr>
          <w:p w:rsidR="00AD50B6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R</w:t>
            </w:r>
            <w:r w:rsidR="00BD6270">
              <w:rPr>
                <w:rFonts w:ascii="Arial" w:hAnsi="Arial" w:cs="Arial"/>
                <w:sz w:val="18"/>
                <w:szCs w:val="18"/>
                <w:lang w:val="en-US" w:eastAsia="ko-KR"/>
              </w:rPr>
              <w:t>eject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:</w:t>
            </w:r>
          </w:p>
          <w:p w:rsidR="006D65BB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4F4792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IE is optional to be included in the management frame. Even if there is no capability indication, </w:t>
            </w:r>
            <w:r w:rsidR="00EC7CC1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IE can be chosen to be included or not. </w:t>
            </w:r>
          </w:p>
          <w:p w:rsidR="004F4792" w:rsidRDefault="004F4792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6D65BB" w:rsidRDefault="004F4792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Open-Loop Link Margin Index is mostly included in the beacon. Since it is mostly serves as an broadcasting message, it is not needed to be indicated by capability. </w:t>
            </w:r>
            <w:r w:rsidR="0034169E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</w:t>
            </w:r>
          </w:p>
          <w:p w:rsidR="00042264" w:rsidRDefault="00042264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</w:tr>
      <w:tr w:rsidR="006D65BB" w:rsidRPr="00EA53AA" w:rsidTr="00FD6692">
        <w:trPr>
          <w:trHeight w:val="20"/>
        </w:trPr>
        <w:tc>
          <w:tcPr>
            <w:tcW w:w="720" w:type="dxa"/>
            <w:tcBorders>
              <w:top w:val="single" w:sz="4" w:space="0" w:color="auto"/>
            </w:tcBorders>
          </w:tcPr>
          <w:p w:rsidR="006D65BB" w:rsidRDefault="006D65BB" w:rsidP="00C736CE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1759</w:t>
            </w:r>
          </w:p>
        </w:tc>
        <w:tc>
          <w:tcPr>
            <w:tcW w:w="720" w:type="dxa"/>
          </w:tcPr>
          <w:p w:rsidR="006D65BB" w:rsidRDefault="006D65BB" w:rsidP="00AD50B6">
            <w:pPr>
              <w:jc w:val="right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85</w:t>
            </w:r>
          </w:p>
        </w:tc>
        <w:tc>
          <w:tcPr>
            <w:tcW w:w="711" w:type="dxa"/>
          </w:tcPr>
          <w:p w:rsidR="006D65BB" w:rsidRDefault="006D65BB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49</w:t>
            </w:r>
          </w:p>
        </w:tc>
        <w:tc>
          <w:tcPr>
            <w:tcW w:w="1067" w:type="dxa"/>
          </w:tcPr>
          <w:p w:rsidR="006D65BB" w:rsidRPr="0084199A" w:rsidRDefault="006D65BB" w:rsidP="00C736C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4199A">
              <w:rPr>
                <w:rFonts w:ascii="Arial" w:hAnsi="Arial" w:cs="Arial"/>
                <w:sz w:val="18"/>
                <w:szCs w:val="18"/>
                <w:lang w:val="en-US" w:eastAsia="ko-KR"/>
              </w:rPr>
              <w:t>8.4.2.170a</w:t>
            </w:r>
          </w:p>
        </w:tc>
        <w:tc>
          <w:tcPr>
            <w:tcW w:w="2049" w:type="dxa"/>
          </w:tcPr>
          <w:p w:rsidR="006D65BB" w:rsidRPr="006D65BB" w:rsidRDefault="006D65BB" w:rsidP="006D65BB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The description of the Open-Loop Link Margin Index seems incomplete. In particular, it is defined as (-128+Dx0.5)dBm, </w:t>
            </w: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lastRenderedPageBreak/>
              <w:t>but I'm pretty sure that the proper units for a link margin measure should be in dB, not dBm.</w:t>
            </w:r>
          </w:p>
          <w:p w:rsidR="006D65BB" w:rsidRPr="00773288" w:rsidRDefault="006D65BB" w:rsidP="006D65BB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t>Indeed the entire derivation for this link margin seems light. Link budget analysis is a complicated thing involving numerous terms, very few of which I see here.</w:t>
            </w:r>
          </w:p>
        </w:tc>
        <w:tc>
          <w:tcPr>
            <w:tcW w:w="2748" w:type="dxa"/>
          </w:tcPr>
          <w:p w:rsidR="006D65BB" w:rsidRPr="00042264" w:rsidRDefault="006D65BB" w:rsidP="008F1E7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6D65BB">
              <w:rPr>
                <w:rFonts w:ascii="Arial" w:hAnsi="Arial" w:cs="Arial"/>
                <w:sz w:val="18"/>
                <w:szCs w:val="18"/>
                <w:lang w:val="en-US" w:eastAsia="ko-KR"/>
              </w:rPr>
              <w:lastRenderedPageBreak/>
              <w:t>Provide a more thorough derivation for the Open Loop Link Margin Index, showing how the units are derived.</w:t>
            </w:r>
          </w:p>
        </w:tc>
        <w:tc>
          <w:tcPr>
            <w:tcW w:w="1723" w:type="dxa"/>
          </w:tcPr>
          <w:p w:rsidR="006D65BB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Reject:</w:t>
            </w:r>
          </w:p>
          <w:p w:rsidR="006D65BB" w:rsidRDefault="006D65BB" w:rsidP="00EE5746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6D65BB" w:rsidRDefault="0073041E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Since </w:t>
            </w:r>
            <w:r w:rsidR="008F692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“</w:t>
            </w:r>
            <w:r w:rsidR="008F692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open loop link margin 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>index” already</w:t>
            </w:r>
            <w:r w:rsidR="008F6926"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t xml:space="preserve">hanged to “open </w:t>
            </w:r>
            <w:r>
              <w:rPr>
                <w:rFonts w:ascii="Arial" w:hAnsi="Arial" w:cs="Arial"/>
                <w:sz w:val="18"/>
                <w:szCs w:val="18"/>
                <w:lang w:val="en-US" w:eastAsia="ko-KR"/>
              </w:rPr>
              <w:lastRenderedPageBreak/>
              <w:t xml:space="preserve">loop link margin” as CID1112, the the description is clear. </w:t>
            </w:r>
          </w:p>
          <w:p w:rsidR="008347C2" w:rsidRDefault="008347C2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8347C2" w:rsidRDefault="008347C2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73041E" w:rsidRDefault="0073041E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  <w:p w:rsidR="0073041E" w:rsidRDefault="0073041E" w:rsidP="0073041E">
            <w:pPr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</w:tr>
    </w:tbl>
    <w:p w:rsidR="00217A87" w:rsidRDefault="00217A87"/>
    <w:p w:rsidR="0075707D" w:rsidRDefault="0075707D"/>
    <w:sectPr w:rsidR="0075707D" w:rsidSect="0036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B6" w:rsidRDefault="004072B6">
      <w:r>
        <w:separator/>
      </w:r>
    </w:p>
  </w:endnote>
  <w:endnote w:type="continuationSeparator" w:id="0">
    <w:p w:rsidR="004072B6" w:rsidRDefault="0040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4E" w:rsidRDefault="005003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CE" w:rsidRDefault="003B14D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736CE">
        <w:t>Submission</w:t>
      </w:r>
    </w:fldSimple>
    <w:r w:rsidR="00C736CE">
      <w:tab/>
      <w:t xml:space="preserve">page </w:t>
    </w:r>
    <w:r>
      <w:fldChar w:fldCharType="begin"/>
    </w:r>
    <w:r w:rsidR="00C736CE">
      <w:instrText xml:space="preserve">page </w:instrText>
    </w:r>
    <w:r>
      <w:fldChar w:fldCharType="separate"/>
    </w:r>
    <w:r w:rsidR="0050034E">
      <w:rPr>
        <w:noProof/>
      </w:rPr>
      <w:t>1</w:t>
    </w:r>
    <w:r>
      <w:fldChar w:fldCharType="end"/>
    </w:r>
    <w:r w:rsidR="00C736CE">
      <w:tab/>
    </w:r>
    <w:fldSimple w:instr=" COMMENTS  \* MERGEFORMAT ">
      <w:r w:rsidR="000D4AAB">
        <w:t>Jianhan Liu</w:t>
      </w:r>
      <w:r w:rsidR="00C736CE">
        <w:t xml:space="preserve">, </w:t>
      </w:r>
      <w:r w:rsidR="000D4AAB">
        <w:t>Mediatek Inc.</w:t>
      </w:r>
    </w:fldSimple>
  </w:p>
  <w:p w:rsidR="00C736CE" w:rsidRDefault="00C736C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4E" w:rsidRDefault="005003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B6" w:rsidRDefault="004072B6">
      <w:r>
        <w:separator/>
      </w:r>
    </w:p>
  </w:footnote>
  <w:footnote w:type="continuationSeparator" w:id="0">
    <w:p w:rsidR="004072B6" w:rsidRDefault="00407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4E" w:rsidRDefault="005003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CE" w:rsidRDefault="003B14D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0034E">
        <w:t>March</w:t>
      </w:r>
      <w:r w:rsidR="00C736CE">
        <w:t xml:space="preserve"> 201</w:t>
      </w:r>
      <w:r w:rsidR="0050034E">
        <w:t>4</w:t>
      </w:r>
    </w:fldSimple>
    <w:r w:rsidR="00C736CE">
      <w:tab/>
    </w:r>
    <w:r w:rsidR="00C736CE">
      <w:tab/>
    </w:r>
    <w:fldSimple w:instr=" TITLE  \* MERGEFORMAT ">
      <w:r w:rsidR="00C736CE">
        <w:t>doc.: IEEE 802.11-1</w:t>
      </w:r>
      <w:r w:rsidR="0050034E">
        <w:t>4</w:t>
      </w:r>
      <w:r w:rsidR="00C736CE">
        <w:t>/</w:t>
      </w:r>
    </w:fldSimple>
    <w:r w:rsidR="0050034E">
      <w:t>0410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4E" w:rsidRDefault="005003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7624"/>
    <w:multiLevelType w:val="hybridMultilevel"/>
    <w:tmpl w:val="214E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67B04"/>
    <w:multiLevelType w:val="hybridMultilevel"/>
    <w:tmpl w:val="37528DC0"/>
    <w:lvl w:ilvl="0" w:tplc="F452A0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B2A42"/>
    <w:multiLevelType w:val="hybridMultilevel"/>
    <w:tmpl w:val="7FAC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5139"/>
    <w:multiLevelType w:val="hybridMultilevel"/>
    <w:tmpl w:val="7C46EA80"/>
    <w:lvl w:ilvl="0" w:tplc="F452A0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349EF"/>
    <w:rsid w:val="000008E9"/>
    <w:rsid w:val="00001052"/>
    <w:rsid w:val="000328CD"/>
    <w:rsid w:val="00036EBB"/>
    <w:rsid w:val="00042264"/>
    <w:rsid w:val="000450E6"/>
    <w:rsid w:val="000563CA"/>
    <w:rsid w:val="00090C74"/>
    <w:rsid w:val="000D1689"/>
    <w:rsid w:val="000D33F6"/>
    <w:rsid w:val="000D4AAB"/>
    <w:rsid w:val="000F0D2D"/>
    <w:rsid w:val="0013152A"/>
    <w:rsid w:val="00171080"/>
    <w:rsid w:val="00173B96"/>
    <w:rsid w:val="0018603B"/>
    <w:rsid w:val="001979C4"/>
    <w:rsid w:val="001A7372"/>
    <w:rsid w:val="001B2702"/>
    <w:rsid w:val="001D723B"/>
    <w:rsid w:val="001D7B22"/>
    <w:rsid w:val="001F3BDD"/>
    <w:rsid w:val="00205684"/>
    <w:rsid w:val="00217A87"/>
    <w:rsid w:val="002753FC"/>
    <w:rsid w:val="00283463"/>
    <w:rsid w:val="00283AD2"/>
    <w:rsid w:val="0029020B"/>
    <w:rsid w:val="00294597"/>
    <w:rsid w:val="002A2976"/>
    <w:rsid w:val="002B00AD"/>
    <w:rsid w:val="002B361D"/>
    <w:rsid w:val="002D44BE"/>
    <w:rsid w:val="00313408"/>
    <w:rsid w:val="003139C2"/>
    <w:rsid w:val="00320F45"/>
    <w:rsid w:val="003242C6"/>
    <w:rsid w:val="003415E0"/>
    <w:rsid w:val="0034169E"/>
    <w:rsid w:val="0036011D"/>
    <w:rsid w:val="00362AF2"/>
    <w:rsid w:val="00367D48"/>
    <w:rsid w:val="00386140"/>
    <w:rsid w:val="003A6A0C"/>
    <w:rsid w:val="003B14DB"/>
    <w:rsid w:val="003B59EC"/>
    <w:rsid w:val="003C3EA8"/>
    <w:rsid w:val="003C58F7"/>
    <w:rsid w:val="004050C0"/>
    <w:rsid w:val="004072B6"/>
    <w:rsid w:val="004156A7"/>
    <w:rsid w:val="00415A5D"/>
    <w:rsid w:val="00435E36"/>
    <w:rsid w:val="00442037"/>
    <w:rsid w:val="00452682"/>
    <w:rsid w:val="00471A24"/>
    <w:rsid w:val="004905E2"/>
    <w:rsid w:val="00496071"/>
    <w:rsid w:val="004B064B"/>
    <w:rsid w:val="004E1A19"/>
    <w:rsid w:val="004F38FE"/>
    <w:rsid w:val="004F4792"/>
    <w:rsid w:val="0050034E"/>
    <w:rsid w:val="00522308"/>
    <w:rsid w:val="0052433D"/>
    <w:rsid w:val="005258E9"/>
    <w:rsid w:val="00531CD8"/>
    <w:rsid w:val="005626B3"/>
    <w:rsid w:val="00597E54"/>
    <w:rsid w:val="005C6139"/>
    <w:rsid w:val="005E2F02"/>
    <w:rsid w:val="0062440B"/>
    <w:rsid w:val="00631DED"/>
    <w:rsid w:val="006415C8"/>
    <w:rsid w:val="0066429F"/>
    <w:rsid w:val="00691F8C"/>
    <w:rsid w:val="006A3706"/>
    <w:rsid w:val="006C0727"/>
    <w:rsid w:val="006D65BB"/>
    <w:rsid w:val="006E145F"/>
    <w:rsid w:val="006E6323"/>
    <w:rsid w:val="00715F67"/>
    <w:rsid w:val="0073041E"/>
    <w:rsid w:val="007349B0"/>
    <w:rsid w:val="00743E43"/>
    <w:rsid w:val="00745D69"/>
    <w:rsid w:val="0075707D"/>
    <w:rsid w:val="00770572"/>
    <w:rsid w:val="00772B75"/>
    <w:rsid w:val="00772D7D"/>
    <w:rsid w:val="00773288"/>
    <w:rsid w:val="0079384C"/>
    <w:rsid w:val="0079710C"/>
    <w:rsid w:val="007B6A35"/>
    <w:rsid w:val="007C3250"/>
    <w:rsid w:val="0080540B"/>
    <w:rsid w:val="008253BB"/>
    <w:rsid w:val="008347C2"/>
    <w:rsid w:val="00836E8D"/>
    <w:rsid w:val="00840DF8"/>
    <w:rsid w:val="0084199A"/>
    <w:rsid w:val="0086211B"/>
    <w:rsid w:val="008A1696"/>
    <w:rsid w:val="008E740B"/>
    <w:rsid w:val="008F1E76"/>
    <w:rsid w:val="008F6926"/>
    <w:rsid w:val="00903CC5"/>
    <w:rsid w:val="00917D00"/>
    <w:rsid w:val="009217B2"/>
    <w:rsid w:val="009308A3"/>
    <w:rsid w:val="00945C3F"/>
    <w:rsid w:val="00961D55"/>
    <w:rsid w:val="00972529"/>
    <w:rsid w:val="009743CA"/>
    <w:rsid w:val="009A2A8A"/>
    <w:rsid w:val="009F2FBC"/>
    <w:rsid w:val="00A005A4"/>
    <w:rsid w:val="00A011A6"/>
    <w:rsid w:val="00A0234F"/>
    <w:rsid w:val="00A0263B"/>
    <w:rsid w:val="00A141F6"/>
    <w:rsid w:val="00A17806"/>
    <w:rsid w:val="00A31110"/>
    <w:rsid w:val="00A43309"/>
    <w:rsid w:val="00A65D29"/>
    <w:rsid w:val="00A73339"/>
    <w:rsid w:val="00AA26E5"/>
    <w:rsid w:val="00AA427C"/>
    <w:rsid w:val="00AC2493"/>
    <w:rsid w:val="00AD50B6"/>
    <w:rsid w:val="00B241F0"/>
    <w:rsid w:val="00B366FF"/>
    <w:rsid w:val="00B746DF"/>
    <w:rsid w:val="00B91587"/>
    <w:rsid w:val="00B91955"/>
    <w:rsid w:val="00B9501F"/>
    <w:rsid w:val="00BC019B"/>
    <w:rsid w:val="00BD4BF1"/>
    <w:rsid w:val="00BD6270"/>
    <w:rsid w:val="00BD68A8"/>
    <w:rsid w:val="00BE68C2"/>
    <w:rsid w:val="00BF0885"/>
    <w:rsid w:val="00C202E4"/>
    <w:rsid w:val="00C736CE"/>
    <w:rsid w:val="00C833E6"/>
    <w:rsid w:val="00CA09B2"/>
    <w:rsid w:val="00CA6BD3"/>
    <w:rsid w:val="00CA7B1A"/>
    <w:rsid w:val="00CB55EC"/>
    <w:rsid w:val="00D03F3D"/>
    <w:rsid w:val="00D13B35"/>
    <w:rsid w:val="00D201DF"/>
    <w:rsid w:val="00D26EF1"/>
    <w:rsid w:val="00D4496F"/>
    <w:rsid w:val="00D505FB"/>
    <w:rsid w:val="00D741A4"/>
    <w:rsid w:val="00D97FEF"/>
    <w:rsid w:val="00DB2474"/>
    <w:rsid w:val="00DC5A7B"/>
    <w:rsid w:val="00DE6D71"/>
    <w:rsid w:val="00DF466D"/>
    <w:rsid w:val="00E01F07"/>
    <w:rsid w:val="00E0359B"/>
    <w:rsid w:val="00E22753"/>
    <w:rsid w:val="00E31F91"/>
    <w:rsid w:val="00E51D2A"/>
    <w:rsid w:val="00E5212E"/>
    <w:rsid w:val="00E57C1F"/>
    <w:rsid w:val="00E72132"/>
    <w:rsid w:val="00E83A88"/>
    <w:rsid w:val="00E867E3"/>
    <w:rsid w:val="00EA43CC"/>
    <w:rsid w:val="00EA53AA"/>
    <w:rsid w:val="00EC2C98"/>
    <w:rsid w:val="00EC526E"/>
    <w:rsid w:val="00EC544C"/>
    <w:rsid w:val="00EC7CC1"/>
    <w:rsid w:val="00ED32D0"/>
    <w:rsid w:val="00EE5746"/>
    <w:rsid w:val="00EF74C3"/>
    <w:rsid w:val="00F06FE5"/>
    <w:rsid w:val="00F23989"/>
    <w:rsid w:val="00F349EF"/>
    <w:rsid w:val="00F456FB"/>
    <w:rsid w:val="00F45DF5"/>
    <w:rsid w:val="00F54638"/>
    <w:rsid w:val="00F9558B"/>
    <w:rsid w:val="00FB7F1E"/>
    <w:rsid w:val="00FC73B8"/>
    <w:rsid w:val="00FD0673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601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601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601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01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601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6011D"/>
    <w:pPr>
      <w:jc w:val="center"/>
    </w:pPr>
    <w:rPr>
      <w:b/>
      <w:sz w:val="28"/>
    </w:rPr>
  </w:style>
  <w:style w:type="paragraph" w:customStyle="1" w:styleId="T2">
    <w:name w:val="T2"/>
    <w:basedOn w:val="T1"/>
    <w:rsid w:val="0036011D"/>
    <w:pPr>
      <w:spacing w:after="240"/>
      <w:ind w:left="720" w:right="720"/>
    </w:pPr>
  </w:style>
  <w:style w:type="paragraph" w:customStyle="1" w:styleId="T3">
    <w:name w:val="T3"/>
    <w:basedOn w:val="T1"/>
    <w:rsid w:val="003601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6011D"/>
    <w:pPr>
      <w:ind w:left="720" w:hanging="720"/>
    </w:pPr>
  </w:style>
  <w:style w:type="character" w:styleId="Hyperlink">
    <w:name w:val="Hyperlink"/>
    <w:rsid w:val="0036011D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471A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A2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DF7C-99E0-4764-A580-CCED9F36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3</Pages>
  <Words>476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802.11-13/xxxxr0</vt:lpstr>
    </vt:vector>
  </TitlesOfParts>
  <Company>Some Company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802.11-13/xxxxr0</dc:title>
  <dc:subject>Submission</dc:subject>
  <dc:creator>mpark1</dc:creator>
  <cp:keywords>July 2013</cp:keywords>
  <dc:description>Minyoung Park, Intel Corporation</dc:description>
  <cp:lastModifiedBy>mtk30143</cp:lastModifiedBy>
  <cp:revision>4</cp:revision>
  <cp:lastPrinted>2013-07-02T22:14:00Z</cp:lastPrinted>
  <dcterms:created xsi:type="dcterms:W3CDTF">2014-03-18T02:48:00Z</dcterms:created>
  <dcterms:modified xsi:type="dcterms:W3CDTF">2014-03-18T02:51:00Z</dcterms:modified>
</cp:coreProperties>
</file>