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12438" w:rsidP="00940E01">
            <w:pPr>
              <w:pStyle w:val="T2"/>
            </w:pPr>
            <w:r>
              <w:t>ECC (14)BB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6645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70C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C70C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AC70C1">
              <w:rPr>
                <w:b w:val="0"/>
                <w:sz w:val="20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>, MS SJ-14-4, San Jose, CA 95134-1706</w:t>
            </w:r>
          </w:p>
        </w:tc>
        <w:tc>
          <w:tcPr>
            <w:tcW w:w="1715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pecclesi@cisco.com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04F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17608" w:rsidRDefault="00617608" w:rsidP="00617608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The IEEE 802.11 response to the ECC (14</w:t>
                            </w:r>
                            <w:proofErr w:type="gramStart"/>
                            <w:r>
                              <w:rPr>
                                <w:color w:val="1F497D"/>
                              </w:rPr>
                              <w:t>)BB</w:t>
                            </w:r>
                            <w:proofErr w:type="gramEnd"/>
                          </w:p>
                          <w:p w:rsidR="00617608" w:rsidRDefault="00617608" w:rsidP="00617608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http://www.cept.org/ecc/tools-and-services/ecc-consultation</w:t>
                              </w:r>
                            </w:hyperlink>
                          </w:p>
                          <w:p w:rsidR="002D54F6" w:rsidRDefault="002D54F6" w:rsidP="006176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17608" w:rsidRDefault="00617608" w:rsidP="00617608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The IEEE 802.11 response to the ECC (14</w:t>
                      </w:r>
                      <w:proofErr w:type="gramStart"/>
                      <w:r>
                        <w:rPr>
                          <w:color w:val="1F497D"/>
                        </w:rPr>
                        <w:t>)BB</w:t>
                      </w:r>
                      <w:proofErr w:type="gramEnd"/>
                    </w:p>
                    <w:p w:rsidR="00617608" w:rsidRDefault="00617608" w:rsidP="00617608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 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http://www.cept.org/ecc/tools-and-services/ecc-consultation</w:t>
                        </w:r>
                      </w:hyperlink>
                    </w:p>
                    <w:p w:rsidR="002D54F6" w:rsidRDefault="002D54F6" w:rsidP="006176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D326E4">
      <w:r>
        <w:br w:type="page"/>
      </w:r>
    </w:p>
    <w:p w:rsidR="00CA09B2" w:rsidRDefault="00CA09B2"/>
    <w:p w:rsidR="00617608" w:rsidRDefault="00617608" w:rsidP="00617608">
      <w:pPr>
        <w:rPr>
          <w:color w:val="1F497D"/>
        </w:rPr>
      </w:pPr>
      <w:r>
        <w:rPr>
          <w:color w:val="1F497D"/>
        </w:rPr>
        <w:t>The ECC (14</w:t>
      </w:r>
      <w:proofErr w:type="gramStart"/>
      <w:r>
        <w:rPr>
          <w:color w:val="1F497D"/>
        </w:rPr>
        <w:t>)BB</w:t>
      </w:r>
      <w:proofErr w:type="gramEnd"/>
      <w:r>
        <w:rPr>
          <w:color w:val="1F497D"/>
        </w:rPr>
        <w:t xml:space="preserve">  </w:t>
      </w:r>
      <w:hyperlink r:id="rId12" w:history="1">
        <w:r>
          <w:rPr>
            <w:rStyle w:val="Hyperlink"/>
          </w:rPr>
          <w:t>http://www.cept.org/ecc/tools-and-services/ecc-consultation</w:t>
        </w:r>
      </w:hyperlink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text</w:t>
      </w:r>
      <w:proofErr w:type="gramEnd"/>
      <w:r>
        <w:rPr>
          <w:color w:val="1F497D"/>
        </w:rPr>
        <w:t xml:space="preserve"> (page 8) being commented on:</w:t>
      </w:r>
    </w:p>
    <w:p w:rsidR="00617608" w:rsidRDefault="00617608" w:rsidP="00617608">
      <w:pPr>
        <w:pStyle w:val="ECCAnnexheading3"/>
        <w:numPr>
          <w:ilvl w:val="0"/>
          <w:numId w:val="0"/>
        </w:numPr>
        <w:tabs>
          <w:tab w:val="left" w:pos="720"/>
        </w:tabs>
        <w:ind w:left="720"/>
        <w:rPr>
          <w:lang w:val="en-GB"/>
        </w:rPr>
      </w:pPr>
      <w:r w:rsidRPr="00801CFD">
        <w:rPr>
          <w:rFonts w:ascii="Calibri" w:hAnsi="Calibri" w:cs="Calibri"/>
          <w:color w:val="000000" w:themeColor="text1"/>
        </w:rPr>
        <w:t>A2.1.1</w:t>
      </w:r>
      <w:proofErr w:type="gramStart"/>
      <w:r w:rsidRPr="00801CFD">
        <w:rPr>
          <w:rFonts w:ascii="Calibri" w:hAnsi="Calibri" w:cs="Calibri"/>
          <w:color w:val="000000" w:themeColor="text1"/>
        </w:rPr>
        <w:t xml:space="preserve">  </w:t>
      </w:r>
      <w:r>
        <w:rPr>
          <w:lang w:val="en-GB"/>
        </w:rPr>
        <w:t>In</w:t>
      </w:r>
      <w:proofErr w:type="gramEnd"/>
      <w:r>
        <w:rPr>
          <w:lang w:val="en-GB"/>
        </w:rPr>
        <w:t>-block requirements for MFCN base stations</w:t>
      </w:r>
    </w:p>
    <w:p w:rsidR="00617608" w:rsidRDefault="00617608" w:rsidP="00617608">
      <w:pPr>
        <w:pStyle w:val="ECCParBulleted"/>
        <w:rPr>
          <w:lang w:val="en-GB"/>
        </w:rPr>
      </w:pPr>
      <w:r>
        <w:rPr>
          <w:b/>
          <w:bCs/>
          <w:lang w:val="en-GB"/>
        </w:rPr>
        <w:t>2300-2400 MHz:</w:t>
      </w:r>
      <w:r>
        <w:rPr>
          <w:lang w:val="en-GB"/>
        </w:rPr>
        <w:t xml:space="preserve"> An in-block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limit is not obligatory. In case an upper limit is desired by an administration, a value which does not exceed 68 dBm / 5MHz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per antenna may be applied. For the protection of WLAN above 2400 MHz, administrations may need to apply more stringent in-block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limit in the upper part of the band 2300-2400 </w:t>
      </w:r>
      <w:proofErr w:type="spellStart"/>
      <w:r>
        <w:rPr>
          <w:lang w:val="en-GB"/>
        </w:rPr>
        <w:t>MHz.</w:t>
      </w:r>
      <w:proofErr w:type="spellEnd"/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 xml:space="preserve">   The Ofcom consultation for this band proposes to limit 2390-2400 MHz </w:t>
      </w:r>
      <w:proofErr w:type="gramStart"/>
      <w:r>
        <w:rPr>
          <w:color w:val="1F497D"/>
        </w:rPr>
        <w:t>to 25 mW/5 MHz,</w:t>
      </w:r>
      <w:proofErr w:type="gramEnd"/>
      <w:r>
        <w:rPr>
          <w:color w:val="1F497D"/>
        </w:rPr>
        <w:t xml:space="preserve"> but there remains the possibility that RLAN operation on channel 1 will be blocked by LTE base station operation in 2380-2390 </w:t>
      </w:r>
      <w:proofErr w:type="spellStart"/>
      <w:r>
        <w:rPr>
          <w:color w:val="1F497D"/>
        </w:rPr>
        <w:t>MHz.</w:t>
      </w:r>
      <w:proofErr w:type="spellEnd"/>
    </w:p>
    <w:p w:rsidR="00617608" w:rsidRDefault="00617608" w:rsidP="00617608">
      <w:pPr>
        <w:rPr>
          <w:color w:val="1F497D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>   2300MHz-2400MHz into RLAN sharing analysis is presented in ECC Report 172, section 6.2, page 67</w:t>
      </w:r>
    </w:p>
    <w:p w:rsidR="00617608" w:rsidRDefault="009F4955" w:rsidP="00617608">
      <w:pPr>
        <w:rPr>
          <w:color w:val="1F497D"/>
        </w:rPr>
      </w:pPr>
      <w:hyperlink r:id="rId13" w:history="1">
        <w:r w:rsidR="00617608">
          <w:rPr>
            <w:rStyle w:val="Hyperlink"/>
          </w:rPr>
          <w:t>http://www.erodocdb.dk/docs/doc98/official/pdf/ECCRep172.pdf</w:t>
        </w:r>
      </w:hyperlink>
      <w:r w:rsidR="00617608">
        <w:rPr>
          <w:color w:val="1F497D"/>
        </w:rPr>
        <w:t xml:space="preserve"> </w:t>
      </w:r>
    </w:p>
    <w:p w:rsidR="00617608" w:rsidRDefault="00617608" w:rsidP="00617608">
      <w:pPr>
        <w:rPr>
          <w:color w:val="1F497D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>   Note ECC Rep 172 Annex A.1.3 Unwanted Emissions Mask (Table 64, page 82)</w:t>
      </w:r>
    </w:p>
    <w:p w:rsidR="00617608" w:rsidRDefault="00617608" w:rsidP="00617608"/>
    <w:p w:rsidR="00617608" w:rsidRDefault="00617608" w:rsidP="00617608">
      <w:r>
        <w:t xml:space="preserve">   Rather that limiting the power only in 2390 to 2400 (2 x 5 MHz channels), extend that to 4 channels (2380 – 2400 MHz). The reason is that ECC Report 172 indicates a high probability of interference into outdoor 802.11 networks. (82% for </w:t>
      </w:r>
      <w:proofErr w:type="gramStart"/>
      <w:r>
        <w:t>WLAN operating</w:t>
      </w:r>
      <w:proofErr w:type="gramEnd"/>
      <w:r>
        <w:t xml:space="preserve"> on 2412 and still 16% for WLAN operating on 2432 MHz). </w:t>
      </w:r>
    </w:p>
    <w:p w:rsidR="00617608" w:rsidRDefault="00617608" w:rsidP="00617608"/>
    <w:p w:rsidR="00617608" w:rsidRDefault="00617608" w:rsidP="00617608">
      <w:r>
        <w:t>Note that the 1</w:t>
      </w:r>
      <w:r>
        <w:rPr>
          <w:vertAlign w:val="superscript"/>
        </w:rPr>
        <w:t>st</w:t>
      </w:r>
      <w:r>
        <w:t xml:space="preserve"> channel (20 MHz wide with 2412 as </w:t>
      </w:r>
      <w:proofErr w:type="spellStart"/>
      <w:r>
        <w:t>cent</w:t>
      </w:r>
      <w:r w:rsidR="00DD3288">
        <w:t>er</w:t>
      </w:r>
      <w:proofErr w:type="spellEnd"/>
      <w:r>
        <w:t xml:space="preserve">) is from 2402 up to 2422 </w:t>
      </w:r>
      <w:proofErr w:type="spellStart"/>
      <w:r>
        <w:t>MHz.</w:t>
      </w:r>
      <w:proofErr w:type="spellEnd"/>
      <w:r>
        <w:t xml:space="preserve"> Just doing something on the upper 10 MHz of </w:t>
      </w:r>
      <w:r w:rsidR="00DD3288">
        <w:t xml:space="preserve">the </w:t>
      </w:r>
      <w:r>
        <w:t xml:space="preserve">2300 </w:t>
      </w:r>
      <w:r w:rsidR="00DD3288">
        <w:t xml:space="preserve">MHz </w:t>
      </w:r>
      <w:bookmarkStart w:id="0" w:name="_GoBack"/>
      <w:bookmarkEnd w:id="0"/>
      <w:r>
        <w:t xml:space="preserve">band is not sufficient. </w:t>
      </w:r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r>
        <w:t>Proposed Comment:</w:t>
      </w:r>
    </w:p>
    <w:p w:rsidR="00617608" w:rsidRDefault="00617608" w:rsidP="00BA235F">
      <w:pPr>
        <w:pStyle w:val="ECCAnnexheading3"/>
        <w:numPr>
          <w:ilvl w:val="0"/>
          <w:numId w:val="0"/>
        </w:numPr>
        <w:ind w:left="720" w:hanging="720"/>
      </w:pPr>
    </w:p>
    <w:tbl>
      <w:tblPr>
        <w:tblpPr w:leftFromText="180" w:rightFromText="180" w:vertAnchor="text" w:horzAnchor="page" w:tblpX="345" w:tblpY="-13"/>
        <w:tblW w:w="10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5"/>
        <w:gridCol w:w="773"/>
        <w:gridCol w:w="929"/>
        <w:gridCol w:w="1523"/>
        <w:gridCol w:w="2716"/>
        <w:gridCol w:w="3240"/>
      </w:tblGrid>
      <w:tr w:rsidR="00BA235F" w:rsidTr="002F3C91">
        <w:trPr>
          <w:cantSplit/>
          <w:trHeight w:val="765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Comment number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Section number/ Clause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Paragraph Figure/ Table</w:t>
            </w:r>
          </w:p>
        </w:tc>
        <w:tc>
          <w:tcPr>
            <w:tcW w:w="1523" w:type="dxa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Type of comment </w:t>
            </w:r>
            <w:r w:rsidRPr="00AA2F1C">
              <w:rPr>
                <w:rFonts w:ascii="Arial" w:hAnsi="Arial"/>
                <w:sz w:val="16"/>
                <w:szCs w:val="16"/>
                <w:lang w:val="en-US"/>
              </w:rPr>
              <w:t>(General/ Technical/Editorial)</w:t>
            </w:r>
          </w:p>
        </w:tc>
        <w:tc>
          <w:tcPr>
            <w:tcW w:w="2716" w:type="dxa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COMMENTS</w:t>
            </w:r>
          </w:p>
        </w:tc>
        <w:tc>
          <w:tcPr>
            <w:tcW w:w="3240" w:type="dxa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Proposed change</w:t>
            </w:r>
          </w:p>
        </w:tc>
      </w:tr>
      <w:tr w:rsidR="00BA235F" w:rsidTr="002F3C91">
        <w:trPr>
          <w:cantSplit/>
          <w:trHeight w:val="1370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IEEE</w:t>
            </w:r>
            <w:r w:rsidRPr="00AA2F1C">
              <w:rPr>
                <w:sz w:val="16"/>
                <w:szCs w:val="16"/>
                <w:lang w:val="en-US"/>
              </w:rPr>
              <w:t>/1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</w:p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A2.1.1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Technical</w:t>
            </w:r>
          </w:p>
        </w:tc>
        <w:tc>
          <w:tcPr>
            <w:tcW w:w="2716" w:type="dxa"/>
          </w:tcPr>
          <w:p w:rsidR="002F3C91" w:rsidRDefault="002F3C91" w:rsidP="002F3C91">
            <w:pPr>
              <w:spacing w:before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ECC Report 172 indicates very high potential interference into outdoor WLAN. </w:t>
            </w:r>
            <w:r w:rsidRPr="0046582A">
              <w:rPr>
                <w:sz w:val="18"/>
                <w:szCs w:val="18"/>
                <w:lang w:val="en-US"/>
              </w:rPr>
              <w:t>In order to protect</w:t>
            </w:r>
            <w:r>
              <w:rPr>
                <w:sz w:val="18"/>
                <w:szCs w:val="18"/>
                <w:lang w:val="en-US"/>
              </w:rPr>
              <w:t xml:space="preserve"> these</w:t>
            </w:r>
            <w:r w:rsidRPr="0046582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</w:t>
            </w:r>
            <w:r w:rsidRPr="0046582A">
              <w:rPr>
                <w:sz w:val="18"/>
                <w:szCs w:val="18"/>
                <w:lang w:val="en-US"/>
              </w:rPr>
              <w:t xml:space="preserve">LANs operating in the 2400 – 2483.5 MHz, the maximum in-block </w:t>
            </w:r>
            <w:proofErr w:type="spellStart"/>
            <w:r w:rsidRPr="0046582A">
              <w:rPr>
                <w:sz w:val="18"/>
                <w:szCs w:val="18"/>
                <w:lang w:val="en-US"/>
              </w:rPr>
              <w:t>e.i.r.p</w:t>
            </w:r>
            <w:proofErr w:type="spellEnd"/>
            <w:r w:rsidRPr="0046582A">
              <w:rPr>
                <w:sz w:val="18"/>
                <w:szCs w:val="18"/>
                <w:lang w:val="en-US"/>
              </w:rPr>
              <w:t xml:space="preserve">. for the upper </w:t>
            </w:r>
            <w:r>
              <w:rPr>
                <w:sz w:val="18"/>
                <w:szCs w:val="18"/>
                <w:lang w:val="en-US"/>
              </w:rPr>
              <w:t>4</w:t>
            </w:r>
            <w:r w:rsidRPr="0046582A">
              <w:rPr>
                <w:sz w:val="18"/>
                <w:szCs w:val="18"/>
                <w:lang w:val="en-US"/>
              </w:rPr>
              <w:t xml:space="preserve"> x 5 MHz channels (23</w:t>
            </w:r>
            <w:r>
              <w:rPr>
                <w:sz w:val="18"/>
                <w:szCs w:val="18"/>
                <w:lang w:val="en-US"/>
              </w:rPr>
              <w:t>8</w:t>
            </w:r>
            <w:r w:rsidRPr="0046582A">
              <w:rPr>
                <w:sz w:val="18"/>
                <w:szCs w:val="18"/>
                <w:lang w:val="en-US"/>
              </w:rPr>
              <w:t xml:space="preserve">0 – 2400 MHz) should be limited </w:t>
            </w:r>
            <w:proofErr w:type="gramStart"/>
            <w:r w:rsidRPr="0046582A">
              <w:rPr>
                <w:sz w:val="18"/>
                <w:szCs w:val="18"/>
                <w:lang w:val="en-US"/>
              </w:rPr>
              <w:t xml:space="preserve">to </w:t>
            </w:r>
            <w:r>
              <w:rPr>
                <w:sz w:val="18"/>
                <w:szCs w:val="18"/>
                <w:lang w:val="en-US"/>
              </w:rPr>
              <w:t xml:space="preserve">25 mW/5 </w:t>
            </w:r>
            <w:proofErr w:type="spellStart"/>
            <w:r>
              <w:rPr>
                <w:sz w:val="18"/>
                <w:szCs w:val="18"/>
                <w:lang w:val="en-US"/>
              </w:rPr>
              <w:t>MHz</w:t>
            </w:r>
            <w:proofErr w:type="gramEnd"/>
            <w:r w:rsidRPr="0046582A">
              <w:rPr>
                <w:sz w:val="18"/>
                <w:szCs w:val="18"/>
                <w:lang w:val="en-US"/>
              </w:rPr>
              <w:t>.</w:t>
            </w:r>
            <w:proofErr w:type="spellEnd"/>
          </w:p>
          <w:p w:rsidR="00BA235F" w:rsidRPr="00A2054A" w:rsidRDefault="002F3C91" w:rsidP="002F3C91">
            <w:pPr>
              <w:spacing w:before="120"/>
              <w:jc w:val="both"/>
              <w:rPr>
                <w:szCs w:val="22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There is another risk which was not considered when ECC Report 172 was developed. Starting from 1 Jan 2015, 2.4 GHz WLAN devices can NO longer use CCA (Clear Channel Assessment) based on Carrier Sense or Carrier Sense with Energy Detect. From that date</w:t>
            </w:r>
            <w:r>
              <w:rPr>
                <w:sz w:val="18"/>
                <w:szCs w:val="18"/>
                <w:lang w:val="en-US"/>
              </w:rPr>
              <w:t>, the</w:t>
            </w:r>
            <w:r>
              <w:rPr>
                <w:sz w:val="18"/>
                <w:szCs w:val="18"/>
                <w:lang w:val="en-US"/>
              </w:rPr>
              <w:t xml:space="preserve"> CCA mechanism shall be modified to do Energy Detect (CCA-ED) only. That makes WLAN systems sensitive to any signal, including LTE signals where current WLAN devices would only react on other WLAN devices. High out of band emissions (in</w:t>
            </w:r>
            <w:r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  <w:lang w:val="en-US"/>
              </w:rPr>
              <w:t xml:space="preserve"> the 2400 – 2483.5 MHz band) from LTE base stations in adjacent bands may trigger the CCA-ED mechanism in WLAN devices and make them back-off all the time.   </w:t>
            </w:r>
          </w:p>
        </w:tc>
        <w:tc>
          <w:tcPr>
            <w:tcW w:w="3240" w:type="dxa"/>
          </w:tcPr>
          <w:p w:rsidR="00BA235F" w:rsidRDefault="00BA235F" w:rsidP="00BA235F">
            <w:pPr>
              <w:pStyle w:val="ECCAnnexheading3"/>
              <w:numPr>
                <w:ilvl w:val="0"/>
                <w:numId w:val="0"/>
              </w:numPr>
              <w:ind w:left="720"/>
            </w:pPr>
            <w:r>
              <w:t>A2.1.1 In-block requirements for MFCN base stations</w:t>
            </w:r>
          </w:p>
          <w:p w:rsidR="00BA235F" w:rsidRDefault="00BA235F" w:rsidP="002F3C91">
            <w:pPr>
              <w:pStyle w:val="ListParagraph"/>
              <w:numPr>
                <w:ilvl w:val="0"/>
                <w:numId w:val="5"/>
              </w:numPr>
            </w:pPr>
            <w:r>
              <w:t>2300-2380 MHz:</w:t>
            </w:r>
          </w:p>
          <w:p w:rsidR="00BA235F" w:rsidRDefault="00BA235F" w:rsidP="00BA235F">
            <w:r>
              <w:t xml:space="preserve">An in-block EIRP limit is not mandatory. In case an upper limit is desired by an administration, a value </w:t>
            </w:r>
            <w:proofErr w:type="gramStart"/>
            <w:r>
              <w:t>of 68 dBm/5</w:t>
            </w:r>
            <w:r w:rsidR="002F3C91">
              <w:t xml:space="preserve"> </w:t>
            </w:r>
            <w:r>
              <w:t>MHz EIRP per antenna</w:t>
            </w:r>
            <w:proofErr w:type="gramEnd"/>
            <w:r>
              <w:t xml:space="preserve"> may be applied.</w:t>
            </w:r>
          </w:p>
          <w:p w:rsidR="00BA235F" w:rsidRDefault="00BA235F" w:rsidP="002F3C91">
            <w:pPr>
              <w:pStyle w:val="ListParagraph"/>
              <w:numPr>
                <w:ilvl w:val="0"/>
                <w:numId w:val="5"/>
              </w:numPr>
            </w:pPr>
            <w:r>
              <w:t>2380-2400 MHz:</w:t>
            </w:r>
          </w:p>
          <w:p w:rsidR="00BA235F" w:rsidRDefault="00BA235F" w:rsidP="00BA235F">
            <w:r>
              <w:t xml:space="preserve">In-block EIRP limit of </w:t>
            </w:r>
            <w:r w:rsidR="00D33996">
              <w:t>14 dBm</w:t>
            </w:r>
            <w:r>
              <w:t xml:space="preserve"> per </w:t>
            </w:r>
            <w:r w:rsidR="00D33996">
              <w:t xml:space="preserve">5 </w:t>
            </w:r>
            <w:proofErr w:type="spellStart"/>
            <w:r w:rsidR="00D33996">
              <w:t>MHz</w:t>
            </w:r>
            <w:r>
              <w:t>.</w:t>
            </w:r>
            <w:proofErr w:type="spellEnd"/>
          </w:p>
          <w:p w:rsidR="00BA235F" w:rsidRDefault="00BA235F" w:rsidP="00BA235F"/>
          <w:p w:rsidR="002F3C91" w:rsidRPr="002F3C91" w:rsidRDefault="002F3C91" w:rsidP="002F3C91">
            <w:pPr>
              <w:numPr>
                <w:ilvl w:val="0"/>
                <w:numId w:val="4"/>
              </w:numPr>
              <w:spacing w:after="120"/>
              <w:ind w:left="357"/>
              <w:rPr>
                <w:szCs w:val="22"/>
              </w:rPr>
            </w:pPr>
            <w:r w:rsidRPr="002F3C91">
              <w:rPr>
                <w:szCs w:val="22"/>
              </w:rPr>
              <w:t xml:space="preserve">For </w:t>
            </w:r>
            <w:proofErr w:type="spellStart"/>
            <w:r w:rsidRPr="002F3C91">
              <w:rPr>
                <w:szCs w:val="22"/>
              </w:rPr>
              <w:t>femto</w:t>
            </w:r>
            <w:proofErr w:type="spellEnd"/>
            <w:r w:rsidRPr="002F3C91">
              <w:rPr>
                <w:szCs w:val="22"/>
              </w:rPr>
              <w:t xml:space="preserve"> base stations, the use of power control is mandatory in order to minimise interference to adjacent channels.</w:t>
            </w:r>
          </w:p>
          <w:p w:rsidR="00BA235F" w:rsidRPr="00AA2F1C" w:rsidRDefault="00BA235F" w:rsidP="00BA235F">
            <w:pPr>
              <w:keepLines/>
              <w:spacing w:before="12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A235F" w:rsidRPr="00FD3EC5" w:rsidTr="002F3C91">
        <w:trPr>
          <w:cantSplit/>
          <w:trHeight w:val="1214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 w:rsidRPr="00AA2F1C">
              <w:rPr>
                <w:sz w:val="16"/>
                <w:szCs w:val="16"/>
                <w:lang w:val="en-US"/>
              </w:rPr>
              <w:t>XX/2</w:t>
            </w:r>
          </w:p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2716" w:type="dxa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BA235F" w:rsidRPr="00AA2F1C" w:rsidRDefault="00BA235F" w:rsidP="00BA235F">
            <w:pPr>
              <w:spacing w:before="120"/>
              <w:rPr>
                <w:sz w:val="16"/>
                <w:szCs w:val="16"/>
              </w:rPr>
            </w:pPr>
          </w:p>
        </w:tc>
      </w:tr>
    </w:tbl>
    <w:p w:rsidR="00BA235F" w:rsidRPr="000B7C07" w:rsidRDefault="00BA235F" w:rsidP="00BA235F"/>
    <w:p w:rsidR="00783EEB" w:rsidRDefault="00783EEB" w:rsidP="00617608">
      <w:pPr>
        <w:pStyle w:val="IEEEStdsLevel1Header"/>
        <w:tabs>
          <w:tab w:val="clear" w:pos="360"/>
        </w:tabs>
        <w:rPr>
          <w:color w:val="000000"/>
        </w:rPr>
      </w:pPr>
    </w:p>
    <w:sectPr w:rsidR="00783EE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55" w:rsidRDefault="009F4955">
      <w:r>
        <w:separator/>
      </w:r>
    </w:p>
  </w:endnote>
  <w:endnote w:type="continuationSeparator" w:id="0">
    <w:p w:rsidR="009F4955" w:rsidRDefault="009F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F49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D3288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26E4">
      <w:t>Peter Ecclesine</w:t>
    </w:r>
    <w:r w:rsidR="009F2FBC">
      <w:t xml:space="preserve">, </w:t>
    </w:r>
    <w:r w:rsidR="00D326E4">
      <w:t>Cisco Systems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55" w:rsidRDefault="009F4955">
      <w:r>
        <w:separator/>
      </w:r>
    </w:p>
  </w:footnote>
  <w:footnote w:type="continuationSeparator" w:id="0">
    <w:p w:rsidR="009F4955" w:rsidRDefault="009F4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F49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12438">
      <w:t>March</w:t>
    </w:r>
    <w:r w:rsidR="009F2FBC">
      <w:t xml:space="preserve"> </w:t>
    </w:r>
    <w:r w:rsidR="00D326E4">
      <w:t>201</w:t>
    </w:r>
    <w:r w:rsidR="00212438">
      <w:t>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D326E4">
      <w:t>1</w:t>
    </w:r>
    <w:r w:rsidR="00212438">
      <w:t>4</w:t>
    </w:r>
    <w:r w:rsidR="009F2FBC">
      <w:t>/</w:t>
    </w:r>
    <w:r w:rsidR="00212438">
      <w:t>0404</w:t>
    </w:r>
    <w:r w:rsidR="009F2FBC">
      <w:t>r</w:t>
    </w:r>
    <w:r w:rsidR="00F732CF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A3775F5"/>
    <w:multiLevelType w:val="hybridMultilevel"/>
    <w:tmpl w:val="95AE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37CE1"/>
    <w:multiLevelType w:val="hybridMultilevel"/>
    <w:tmpl w:val="942E4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2F4188"/>
    <w:multiLevelType w:val="multilevel"/>
    <w:tmpl w:val="425C2A18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27E184A"/>
    <w:multiLevelType w:val="hybridMultilevel"/>
    <w:tmpl w:val="F51A9A3A"/>
    <w:lvl w:ilvl="0" w:tplc="C65085F2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2722A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F3A6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4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B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AB23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1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5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C0A8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56362"/>
    <w:rsid w:val="000966D1"/>
    <w:rsid w:val="00096EC3"/>
    <w:rsid w:val="000B5CA5"/>
    <w:rsid w:val="001374E2"/>
    <w:rsid w:val="00142E02"/>
    <w:rsid w:val="001B4AE4"/>
    <w:rsid w:val="001D1E6F"/>
    <w:rsid w:val="001D723B"/>
    <w:rsid w:val="00212438"/>
    <w:rsid w:val="00223F10"/>
    <w:rsid w:val="0023749E"/>
    <w:rsid w:val="002578EE"/>
    <w:rsid w:val="00271E6F"/>
    <w:rsid w:val="002742E8"/>
    <w:rsid w:val="002759AD"/>
    <w:rsid w:val="00284224"/>
    <w:rsid w:val="0029020B"/>
    <w:rsid w:val="002B1ED8"/>
    <w:rsid w:val="002D44BE"/>
    <w:rsid w:val="002D54F6"/>
    <w:rsid w:val="002F3C91"/>
    <w:rsid w:val="003D4AF6"/>
    <w:rsid w:val="003D4CEB"/>
    <w:rsid w:val="003F0F58"/>
    <w:rsid w:val="00422B8E"/>
    <w:rsid w:val="00441990"/>
    <w:rsid w:val="00442037"/>
    <w:rsid w:val="004839F4"/>
    <w:rsid w:val="00486DB9"/>
    <w:rsid w:val="004A0B3C"/>
    <w:rsid w:val="004B064B"/>
    <w:rsid w:val="004B0885"/>
    <w:rsid w:val="004E0067"/>
    <w:rsid w:val="005075BD"/>
    <w:rsid w:val="00526393"/>
    <w:rsid w:val="005D3E51"/>
    <w:rsid w:val="00617608"/>
    <w:rsid w:val="0062440B"/>
    <w:rsid w:val="00630D45"/>
    <w:rsid w:val="00637191"/>
    <w:rsid w:val="00645929"/>
    <w:rsid w:val="00683F74"/>
    <w:rsid w:val="006B3982"/>
    <w:rsid w:val="006C0727"/>
    <w:rsid w:val="006E145F"/>
    <w:rsid w:val="00705640"/>
    <w:rsid w:val="00716542"/>
    <w:rsid w:val="00733CC0"/>
    <w:rsid w:val="00763D29"/>
    <w:rsid w:val="0076645C"/>
    <w:rsid w:val="00770572"/>
    <w:rsid w:val="0077382A"/>
    <w:rsid w:val="00783EEB"/>
    <w:rsid w:val="007C4FB8"/>
    <w:rsid w:val="00864EB8"/>
    <w:rsid w:val="00891894"/>
    <w:rsid w:val="00893EB7"/>
    <w:rsid w:val="008E2E7A"/>
    <w:rsid w:val="00921F63"/>
    <w:rsid w:val="00930EF8"/>
    <w:rsid w:val="00931949"/>
    <w:rsid w:val="009357AB"/>
    <w:rsid w:val="00940E01"/>
    <w:rsid w:val="00946AEB"/>
    <w:rsid w:val="00990E65"/>
    <w:rsid w:val="009A27C4"/>
    <w:rsid w:val="009B4F0F"/>
    <w:rsid w:val="009D63D5"/>
    <w:rsid w:val="009F2FBC"/>
    <w:rsid w:val="009F4955"/>
    <w:rsid w:val="009F7C4E"/>
    <w:rsid w:val="00A044B2"/>
    <w:rsid w:val="00A05F79"/>
    <w:rsid w:val="00A14D6B"/>
    <w:rsid w:val="00A2054A"/>
    <w:rsid w:val="00A236C4"/>
    <w:rsid w:val="00A478F5"/>
    <w:rsid w:val="00AA427C"/>
    <w:rsid w:val="00AC1148"/>
    <w:rsid w:val="00AC70C1"/>
    <w:rsid w:val="00B4204B"/>
    <w:rsid w:val="00B4619B"/>
    <w:rsid w:val="00BA235F"/>
    <w:rsid w:val="00BE68C2"/>
    <w:rsid w:val="00C072CE"/>
    <w:rsid w:val="00C76505"/>
    <w:rsid w:val="00C80342"/>
    <w:rsid w:val="00C9042C"/>
    <w:rsid w:val="00CA09B2"/>
    <w:rsid w:val="00CB2BD7"/>
    <w:rsid w:val="00D04FA5"/>
    <w:rsid w:val="00D326E4"/>
    <w:rsid w:val="00D33996"/>
    <w:rsid w:val="00D910FB"/>
    <w:rsid w:val="00DA1C60"/>
    <w:rsid w:val="00DA7A69"/>
    <w:rsid w:val="00DC5A7B"/>
    <w:rsid w:val="00DD3288"/>
    <w:rsid w:val="00DD3C74"/>
    <w:rsid w:val="00DD3E47"/>
    <w:rsid w:val="00DE595E"/>
    <w:rsid w:val="00E02834"/>
    <w:rsid w:val="00EC5CEB"/>
    <w:rsid w:val="00ED78A2"/>
    <w:rsid w:val="00F23CB0"/>
    <w:rsid w:val="00F732CF"/>
    <w:rsid w:val="00F9435C"/>
    <w:rsid w:val="00F95436"/>
    <w:rsid w:val="00F95DEB"/>
    <w:rsid w:val="00FC4623"/>
    <w:rsid w:val="00FD3693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rsid w:val="0014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ParBulleted">
    <w:name w:val="ECC Par Bulleted"/>
    <w:basedOn w:val="Normal"/>
    <w:uiPriority w:val="99"/>
    <w:rsid w:val="00617608"/>
    <w:pPr>
      <w:numPr>
        <w:numId w:val="2"/>
      </w:numPr>
      <w:spacing w:after="120"/>
      <w:jc w:val="both"/>
    </w:pPr>
    <w:rPr>
      <w:rFonts w:ascii="Arial" w:eastAsiaTheme="minorHAnsi" w:hAnsi="Arial" w:cs="Arial"/>
      <w:sz w:val="20"/>
      <w:lang w:val="en-US"/>
    </w:rPr>
  </w:style>
  <w:style w:type="paragraph" w:customStyle="1" w:styleId="ECCAnnex-heading1">
    <w:name w:val="ECC Annex - heading1"/>
    <w:basedOn w:val="Normal"/>
    <w:rsid w:val="00617608"/>
    <w:pPr>
      <w:keepNext/>
      <w:pageBreakBefore/>
      <w:numPr>
        <w:numId w:val="3"/>
      </w:numPr>
      <w:spacing w:before="400" w:after="240"/>
      <w:ind w:left="0" w:hanging="360"/>
    </w:pPr>
    <w:rPr>
      <w:rFonts w:ascii="Arial" w:eastAsiaTheme="minorHAnsi" w:hAnsi="Arial" w:cs="Arial"/>
      <w:b/>
      <w:bCs/>
      <w:caps/>
      <w:color w:val="D2232A"/>
      <w:sz w:val="20"/>
      <w:lang w:val="en-US"/>
    </w:rPr>
  </w:style>
  <w:style w:type="paragraph" w:customStyle="1" w:styleId="ECCAnnexheading2">
    <w:name w:val="ECC Annex heading2"/>
    <w:basedOn w:val="Normal"/>
    <w:rsid w:val="00617608"/>
    <w:pPr>
      <w:numPr>
        <w:ilvl w:val="1"/>
        <w:numId w:val="3"/>
      </w:numPr>
      <w:overflowPunct w:val="0"/>
      <w:autoSpaceDE w:val="0"/>
      <w:autoSpaceDN w:val="0"/>
      <w:spacing w:before="480" w:after="240"/>
    </w:pPr>
    <w:rPr>
      <w:rFonts w:ascii="Arial" w:eastAsiaTheme="minorHAnsi" w:hAnsi="Arial" w:cs="Arial"/>
      <w:b/>
      <w:bCs/>
      <w:caps/>
      <w:sz w:val="20"/>
      <w:lang w:val="en-US"/>
    </w:rPr>
  </w:style>
  <w:style w:type="paragraph" w:customStyle="1" w:styleId="ECCAnnexheading3">
    <w:name w:val="ECC Annex heading3"/>
    <w:basedOn w:val="Normal"/>
    <w:rsid w:val="00617608"/>
    <w:pPr>
      <w:numPr>
        <w:ilvl w:val="2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ECCAnnexheading4">
    <w:name w:val="ECC Annex heading4"/>
    <w:basedOn w:val="Normal"/>
    <w:rsid w:val="00617608"/>
    <w:pPr>
      <w:numPr>
        <w:ilvl w:val="3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i/>
      <w:iCs/>
      <w:color w:val="D2232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F3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rsid w:val="0014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ParBulleted">
    <w:name w:val="ECC Par Bulleted"/>
    <w:basedOn w:val="Normal"/>
    <w:uiPriority w:val="99"/>
    <w:rsid w:val="00617608"/>
    <w:pPr>
      <w:numPr>
        <w:numId w:val="2"/>
      </w:numPr>
      <w:spacing w:after="120"/>
      <w:jc w:val="both"/>
    </w:pPr>
    <w:rPr>
      <w:rFonts w:ascii="Arial" w:eastAsiaTheme="minorHAnsi" w:hAnsi="Arial" w:cs="Arial"/>
      <w:sz w:val="20"/>
      <w:lang w:val="en-US"/>
    </w:rPr>
  </w:style>
  <w:style w:type="paragraph" w:customStyle="1" w:styleId="ECCAnnex-heading1">
    <w:name w:val="ECC Annex - heading1"/>
    <w:basedOn w:val="Normal"/>
    <w:rsid w:val="00617608"/>
    <w:pPr>
      <w:keepNext/>
      <w:pageBreakBefore/>
      <w:numPr>
        <w:numId w:val="3"/>
      </w:numPr>
      <w:spacing w:before="400" w:after="240"/>
      <w:ind w:left="0" w:hanging="360"/>
    </w:pPr>
    <w:rPr>
      <w:rFonts w:ascii="Arial" w:eastAsiaTheme="minorHAnsi" w:hAnsi="Arial" w:cs="Arial"/>
      <w:b/>
      <w:bCs/>
      <w:caps/>
      <w:color w:val="D2232A"/>
      <w:sz w:val="20"/>
      <w:lang w:val="en-US"/>
    </w:rPr>
  </w:style>
  <w:style w:type="paragraph" w:customStyle="1" w:styleId="ECCAnnexheading2">
    <w:name w:val="ECC Annex heading2"/>
    <w:basedOn w:val="Normal"/>
    <w:rsid w:val="00617608"/>
    <w:pPr>
      <w:numPr>
        <w:ilvl w:val="1"/>
        <w:numId w:val="3"/>
      </w:numPr>
      <w:overflowPunct w:val="0"/>
      <w:autoSpaceDE w:val="0"/>
      <w:autoSpaceDN w:val="0"/>
      <w:spacing w:before="480" w:after="240"/>
    </w:pPr>
    <w:rPr>
      <w:rFonts w:ascii="Arial" w:eastAsiaTheme="minorHAnsi" w:hAnsi="Arial" w:cs="Arial"/>
      <w:b/>
      <w:bCs/>
      <w:caps/>
      <w:sz w:val="20"/>
      <w:lang w:val="en-US"/>
    </w:rPr>
  </w:style>
  <w:style w:type="paragraph" w:customStyle="1" w:styleId="ECCAnnexheading3">
    <w:name w:val="ECC Annex heading3"/>
    <w:basedOn w:val="Normal"/>
    <w:rsid w:val="00617608"/>
    <w:pPr>
      <w:numPr>
        <w:ilvl w:val="2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ECCAnnexheading4">
    <w:name w:val="ECC Annex heading4"/>
    <w:basedOn w:val="Normal"/>
    <w:rsid w:val="00617608"/>
    <w:pPr>
      <w:numPr>
        <w:ilvl w:val="3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i/>
      <w:iCs/>
      <w:color w:val="D2232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F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odocdb.dk/docs/doc98/official/pdf/ECCRep172.pdf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ept.org/ecc/tools-and-services/ecc-consult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cept.org/ecc/tools-and-services/ecc-consultation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ept.org/ecc/tools-and-services/ecc-consultatio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416E-CA3F-49ED-8E6E-14E4F14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802.11-14/0404r1</vt:lpstr>
    </vt:vector>
  </TitlesOfParts>
  <Company>Some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802.11-14/0404r1</dc:title>
  <dc:subject>Submission</dc:subject>
  <dc:creator>Peter Ecclesine</dc:creator>
  <cp:keywords>March 2014</cp:keywords>
  <dc:description>Peter Ecclesine, Cisco Systems</dc:description>
  <cp:lastModifiedBy>Peter Ecclesine (pecclesi)</cp:lastModifiedBy>
  <cp:revision>4</cp:revision>
  <cp:lastPrinted>2013-08-15T23:11:00Z</cp:lastPrinted>
  <dcterms:created xsi:type="dcterms:W3CDTF">2014-03-18T22:05:00Z</dcterms:created>
  <dcterms:modified xsi:type="dcterms:W3CDTF">2014-03-18T22:11:00Z</dcterms:modified>
</cp:coreProperties>
</file>