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350"/>
        <w:gridCol w:w="235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0E5D7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D36C35">
              <w:rPr>
                <w:rFonts w:hint="eastAsia"/>
                <w:lang w:eastAsia="ko-KR"/>
              </w:rPr>
              <w:t>cl</w:t>
            </w:r>
            <w:r w:rsidR="00320EA7">
              <w:rPr>
                <w:lang w:eastAsia="ko-KR"/>
              </w:rPr>
              <w:t>a</w:t>
            </w:r>
            <w:r w:rsidR="00D36C35">
              <w:rPr>
                <w:rFonts w:hint="eastAsia"/>
                <w:lang w:eastAsia="ko-KR"/>
              </w:rPr>
              <w:t xml:space="preserve">use </w:t>
            </w:r>
            <w:r w:rsidR="00674D1C">
              <w:rPr>
                <w:lang w:eastAsia="ko-KR"/>
              </w:rPr>
              <w:t>4</w:t>
            </w:r>
            <w:r w:rsidR="00BA1943">
              <w:rPr>
                <w:lang w:eastAsia="ko-KR"/>
              </w:rPr>
              <w:t>.</w:t>
            </w:r>
            <w:r w:rsidR="00674D1C">
              <w:rPr>
                <w:lang w:eastAsia="ko-KR"/>
              </w:rPr>
              <w:t>14 and 9.</w:t>
            </w:r>
            <w:r w:rsidR="00BA1943">
              <w:rPr>
                <w:lang w:eastAsia="ko-KR"/>
              </w:rPr>
              <w:t>47</w:t>
            </w:r>
            <w:r w:rsidR="00A46F2F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B476F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274C77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B476F5">
              <w:rPr>
                <w:b w:val="0"/>
                <w:sz w:val="20"/>
                <w:lang w:eastAsia="ko-KR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476F5">
              <w:rPr>
                <w:b w:val="0"/>
                <w:sz w:val="20"/>
                <w:lang w:eastAsia="ko-KR"/>
              </w:rPr>
              <w:t>17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335969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74D1C" w:rsidRPr="00183F4C" w:rsidTr="00335969">
        <w:trPr>
          <w:jc w:val="center"/>
        </w:trPr>
        <w:tc>
          <w:tcPr>
            <w:tcW w:w="1548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74D1C" w:rsidRPr="00183F4C" w:rsidRDefault="00674D1C" w:rsidP="00674D1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880" w:type="dxa"/>
            <w:vAlign w:val="center"/>
          </w:tcPr>
          <w:p w:rsidR="00674D1C" w:rsidRPr="00183F4C" w:rsidRDefault="00674D1C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74D1C" w:rsidRPr="00183F4C" w:rsidRDefault="00674D1C" w:rsidP="00F53F9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74D1C" w:rsidRPr="00183F4C" w:rsidRDefault="00674D1C" w:rsidP="00674D1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74D1C">
              <w:rPr>
                <w:b w:val="0"/>
                <w:sz w:val="18"/>
                <w:szCs w:val="18"/>
                <w:lang w:eastAsia="ko-KR"/>
              </w:rPr>
              <w:t>Jame</w:t>
            </w:r>
            <w:r>
              <w:rPr>
                <w:b w:val="0"/>
                <w:sz w:val="18"/>
                <w:szCs w:val="18"/>
                <w:lang w:eastAsia="ko-KR"/>
              </w:rPr>
              <w:t>s.wang@mediatek.com</w:t>
            </w:r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674D1C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</w:p>
        </w:tc>
        <w:tc>
          <w:tcPr>
            <w:tcW w:w="1440" w:type="dxa"/>
            <w:vAlign w:val="center"/>
          </w:tcPr>
          <w:p w:rsidR="00EE461A" w:rsidRPr="00183F4C" w:rsidRDefault="00674D1C" w:rsidP="00674D1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FA20B8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674D1C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George.Calcev@huawei.com</w:t>
              </w:r>
            </w:hyperlink>
          </w:p>
        </w:tc>
      </w:tr>
      <w:tr w:rsidR="00674D1C" w:rsidRPr="00183F4C" w:rsidTr="00B64495">
        <w:trPr>
          <w:jc w:val="center"/>
        </w:trPr>
        <w:tc>
          <w:tcPr>
            <w:tcW w:w="1548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 Cheong</w:t>
            </w:r>
          </w:p>
        </w:tc>
        <w:tc>
          <w:tcPr>
            <w:tcW w:w="1440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ETRI</w:t>
            </w:r>
          </w:p>
        </w:tc>
        <w:tc>
          <w:tcPr>
            <w:tcW w:w="2880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74D1C" w:rsidRPr="00183F4C" w:rsidRDefault="00FA20B8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674D1C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minho@etri.re.kr</w:t>
              </w:r>
            </w:hyperlink>
            <w:r w:rsidR="00674D1C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B54BCB" w:rsidRPr="00183F4C" w:rsidTr="00335969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EE461A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Younghoon Kwon</w:t>
            </w:r>
          </w:p>
        </w:tc>
        <w:tc>
          <w:tcPr>
            <w:tcW w:w="1440" w:type="dxa"/>
            <w:vAlign w:val="center"/>
          </w:tcPr>
          <w:p w:rsidR="00B54BCB" w:rsidRPr="00183F4C" w:rsidRDefault="00CC7311" w:rsidP="00FF7F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EE461A" w:rsidRDefault="00FA20B8" w:rsidP="00320E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0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younghoon.kwon@huawei.com</w:t>
              </w:r>
            </w:hyperlink>
          </w:p>
        </w:tc>
      </w:tr>
    </w:tbl>
    <w:p w:rsidR="005E768D" w:rsidRPr="004D2D75" w:rsidRDefault="00FA20B8">
      <w:pPr>
        <w:pStyle w:val="T1"/>
        <w:spacing w:after="120"/>
        <w:rPr>
          <w:sz w:val="22"/>
        </w:rPr>
      </w:pPr>
      <w:r w:rsidRPr="00FA20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F53F9C" w:rsidRDefault="00F53F9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53F9C" w:rsidRDefault="00F53F9C" w:rsidP="00CF028E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</w:t>
                  </w:r>
                  <w:r w:rsidR="00B8678D">
                    <w:rPr>
                      <w:lang w:eastAsia="ko-KR"/>
                    </w:rPr>
                    <w:t xml:space="preserve">following CIDs in </w:t>
                  </w:r>
                  <w:r>
                    <w:rPr>
                      <w:rFonts w:hint="eastAsia"/>
                      <w:lang w:eastAsia="ko-KR"/>
                    </w:rPr>
                    <w:t>clause</w:t>
                  </w:r>
                  <w:r w:rsidR="00B8678D">
                    <w:rPr>
                      <w:lang w:eastAsia="ko-KR"/>
                    </w:rPr>
                    <w:t>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CF028E">
                    <w:rPr>
                      <w:lang w:eastAsia="ko-KR"/>
                    </w:rPr>
                    <w:t xml:space="preserve">4.16 and </w:t>
                  </w:r>
                  <w:r w:rsidR="00BA1943">
                    <w:rPr>
                      <w:lang w:eastAsia="ko-KR"/>
                    </w:rPr>
                    <w:t>9.47</w:t>
                  </w:r>
                  <w:r w:rsidR="00FE75CD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from TGah Draft 1.</w:t>
                  </w:r>
                  <w:r w:rsidR="00836040">
                    <w:rPr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 w:rsidR="00155844">
                    <w:rPr>
                      <w:lang w:eastAsia="ko-KR"/>
                    </w:rPr>
                    <w:t xml:space="preserve"> </w:t>
                  </w:r>
                </w:p>
                <w:p w:rsidR="00CF028E" w:rsidRDefault="00CF028E" w:rsidP="00C6354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CIDs: 2155, 2615, 2616</w:t>
                  </w:r>
                </w:p>
                <w:p w:rsidR="00CF028E" w:rsidRDefault="00CF028E" w:rsidP="00CF028E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>
                    <w:rPr>
                      <w:lang w:eastAsia="ko-KR"/>
                    </w:rPr>
                    <w:t xml:space="preserve"> 2528 </w:t>
                  </w:r>
                </w:p>
                <w:p w:rsidR="00CF028E" w:rsidRDefault="00CF028E" w:rsidP="00CF028E">
                  <w:pPr>
                    <w:pStyle w:val="ListParagraph"/>
                    <w:ind w:leftChars="0" w:left="760"/>
                    <w:jc w:val="both"/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tbl>
      <w:tblPr>
        <w:tblW w:w="93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1106"/>
        <w:gridCol w:w="669"/>
        <w:gridCol w:w="3167"/>
        <w:gridCol w:w="2301"/>
        <w:gridCol w:w="1372"/>
      </w:tblGrid>
      <w:tr w:rsidR="004127BF" w:rsidRPr="004127BF" w:rsidTr="00E24644">
        <w:trPr>
          <w:trHeight w:val="765"/>
        </w:trPr>
        <w:tc>
          <w:tcPr>
            <w:tcW w:w="751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1106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669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3167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301" w:type="dxa"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372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605ACB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 w:rsidP="00CF028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13673D" w:rsidP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>
            <w:pPr>
              <w:rPr>
                <w:rFonts w:ascii="Calibri" w:hAnsi="Calibri"/>
                <w:color w:val="000000"/>
                <w:szCs w:val="22"/>
              </w:rPr>
            </w:pPr>
            <w:r w:rsidRPr="00CF028E">
              <w:rPr>
                <w:rFonts w:ascii="Calibri" w:hAnsi="Calibri"/>
                <w:color w:val="000000"/>
                <w:szCs w:val="22"/>
              </w:rPr>
              <w:t>The word "Type 0 Sectiorized BSS" appears suddenly.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B" w:rsidRDefault="00CF028E">
            <w:pPr>
              <w:rPr>
                <w:rFonts w:ascii="Calibri" w:hAnsi="Calibri"/>
                <w:color w:val="000000"/>
                <w:szCs w:val="22"/>
              </w:rPr>
            </w:pPr>
            <w:r w:rsidRPr="00CF028E">
              <w:rPr>
                <w:rFonts w:ascii="Calibri" w:hAnsi="Calibri"/>
                <w:color w:val="000000"/>
                <w:szCs w:val="22"/>
              </w:rPr>
              <w:t>Replace "Type 0" with "Group".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7A6B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</w:t>
            </w:r>
            <w:r w:rsidR="007A6BB8">
              <w:rPr>
                <w:rFonts w:ascii="Calibri" w:hAnsi="Calibri"/>
                <w:color w:val="000000"/>
                <w:szCs w:val="22"/>
              </w:rPr>
              <w:t>vised</w:t>
            </w:r>
            <w:r w:rsidR="00CF028E">
              <w:rPr>
                <w:rFonts w:ascii="Calibri" w:hAnsi="Calibri"/>
                <w:color w:val="000000"/>
                <w:szCs w:val="22"/>
              </w:rPr>
              <w:t>.</w:t>
            </w:r>
            <w:r>
              <w:rPr>
                <w:rFonts w:ascii="Calibri" w:hAnsi="Calibri"/>
                <w:color w:val="000000"/>
                <w:szCs w:val="22"/>
              </w:rPr>
              <w:t xml:space="preserve"> Resolved in CID 1021 IEEE Doc 11-14-0105</w:t>
            </w:r>
            <w:r w:rsidR="00112C6F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605ACB"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</w:tr>
      <w:tr w:rsidR="00605ACB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 w:rsidP="00CF028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13673D" w:rsidP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3624DF">
            <w:pPr>
              <w:rPr>
                <w:rFonts w:ascii="Calibri" w:hAnsi="Calibri"/>
                <w:color w:val="000000"/>
                <w:szCs w:val="22"/>
              </w:rPr>
            </w:pPr>
            <w:r w:rsidRPr="003624DF">
              <w:rPr>
                <w:rFonts w:ascii="Calibri" w:hAnsi="Calibri"/>
                <w:color w:val="000000"/>
                <w:szCs w:val="22"/>
              </w:rPr>
              <w:t>what is Type 0 Sectorized BSS?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B" w:rsidRDefault="003624DF" w:rsidP="003624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Clarify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7A6B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</w:t>
            </w:r>
            <w:r w:rsidR="007A6BB8">
              <w:rPr>
                <w:rFonts w:ascii="Calibri" w:hAnsi="Calibri"/>
                <w:color w:val="000000"/>
                <w:szCs w:val="22"/>
              </w:rPr>
              <w:t>vised</w:t>
            </w:r>
            <w:r>
              <w:rPr>
                <w:rFonts w:ascii="Calibri" w:hAnsi="Calibri"/>
                <w:color w:val="000000"/>
                <w:szCs w:val="22"/>
              </w:rPr>
              <w:t xml:space="preserve">. Resolved in CID 1021 IEEE Doc 11-14-0105  </w:t>
            </w:r>
          </w:p>
        </w:tc>
      </w:tr>
      <w:tr w:rsidR="00605ACB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3624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13673D" w:rsidP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>
            <w:pPr>
              <w:rPr>
                <w:rFonts w:ascii="Calibri" w:hAnsi="Calibri"/>
                <w:color w:val="000000"/>
                <w:szCs w:val="22"/>
              </w:rPr>
            </w:pPr>
            <w:r w:rsidRPr="003624DF">
              <w:rPr>
                <w:rFonts w:ascii="Calibri" w:hAnsi="Calibri"/>
                <w:color w:val="000000"/>
                <w:szCs w:val="22"/>
              </w:rPr>
              <w:t>It is not clear which STAs setup the NAV protection. Those that support TXOP based sectorization, or those who don't, or all of them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B" w:rsidRDefault="003624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</w:t>
            </w:r>
            <w:r w:rsidR="00605ACB">
              <w:rPr>
                <w:rFonts w:ascii="Calibri" w:hAnsi="Calibri"/>
                <w:color w:val="000000"/>
                <w:szCs w:val="22"/>
              </w:rPr>
              <w:t>larify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2276A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Reject.</w:t>
            </w:r>
            <w:r w:rsidR="00605ACB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B16E1E">
              <w:rPr>
                <w:rFonts w:ascii="Calibri" w:hAnsi="Calibri"/>
                <w:color w:val="000000"/>
                <w:szCs w:val="22"/>
              </w:rPr>
              <w:t xml:space="preserve"> The statement already</w:t>
            </w:r>
            <w:r w:rsidR="00DD745E">
              <w:rPr>
                <w:rFonts w:ascii="Calibri" w:hAnsi="Calibri"/>
                <w:color w:val="000000"/>
                <w:szCs w:val="22"/>
              </w:rPr>
              <w:t xml:space="preserve"> indicates which STA set up </w:t>
            </w:r>
            <w:r w:rsidR="00B16E1E">
              <w:rPr>
                <w:rFonts w:ascii="Calibri" w:hAnsi="Calibri"/>
                <w:color w:val="000000"/>
                <w:szCs w:val="22"/>
              </w:rPr>
              <w:t xml:space="preserve">the </w:t>
            </w:r>
            <w:r w:rsidR="00DD745E">
              <w:rPr>
                <w:rFonts w:ascii="Calibri" w:hAnsi="Calibri"/>
                <w:color w:val="000000"/>
                <w:szCs w:val="22"/>
              </w:rPr>
              <w:t>NAV protection.</w:t>
            </w:r>
          </w:p>
        </w:tc>
      </w:tr>
      <w:tr w:rsidR="00732C63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732C63" w:rsidP="0013673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  <w:r w:rsidR="0013673D">
              <w:rPr>
                <w:rFonts w:ascii="Calibri" w:hAnsi="Calibri"/>
                <w:color w:val="000000"/>
                <w:szCs w:val="22"/>
              </w:rPr>
              <w:t>528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13673D">
            <w:pPr>
              <w:rPr>
                <w:rFonts w:ascii="Calibri" w:hAnsi="Calibri"/>
                <w:color w:val="000000"/>
                <w:szCs w:val="22"/>
              </w:rPr>
            </w:pPr>
            <w:r w:rsidRPr="0013673D">
              <w:rPr>
                <w:rFonts w:ascii="Calibri" w:hAnsi="Calibri"/>
                <w:color w:val="000000"/>
                <w:szCs w:val="22"/>
              </w:rPr>
              <w:t>It is unclear how we can separate Type 0 and Type 1, whether it is possible to Type 0 and Type 1 at the same time if there is any need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3" w:rsidRDefault="0013673D">
            <w:pPr>
              <w:rPr>
                <w:rFonts w:ascii="Calibri" w:hAnsi="Calibri"/>
                <w:color w:val="000000"/>
                <w:szCs w:val="22"/>
              </w:rPr>
            </w:pPr>
            <w:r w:rsidRPr="0013673D">
              <w:rPr>
                <w:rFonts w:ascii="Calibri" w:hAnsi="Calibri"/>
                <w:color w:val="000000"/>
                <w:szCs w:val="22"/>
              </w:rPr>
              <w:t>Describe how to operate sectored transmission of Type 1 and Type 0 at the same time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E34AB1" w:rsidP="002276A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Revised.</w:t>
            </w:r>
          </w:p>
        </w:tc>
      </w:tr>
    </w:tbl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>
        <w:rPr>
          <w:b/>
          <w:szCs w:val="22"/>
          <w:lang w:val="en-US" w:eastAsia="ko-KR"/>
        </w:rPr>
        <w:t>CID 2155 and 2616</w:t>
      </w: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D03524" w:rsidRP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 w:eastAsia="ko-KR"/>
        </w:rPr>
      </w:pPr>
      <w:r w:rsidRPr="00D03524">
        <w:rPr>
          <w:b/>
          <w:szCs w:val="22"/>
          <w:u w:val="single"/>
          <w:lang w:val="en-US" w:eastAsia="ko-KR"/>
        </w:rPr>
        <w:t>Propose</w:t>
      </w: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>
        <w:rPr>
          <w:b/>
          <w:szCs w:val="22"/>
          <w:lang w:val="en-US" w:eastAsia="ko-KR"/>
        </w:rPr>
        <w:t>Re</w:t>
      </w:r>
      <w:r w:rsidR="007A6BB8">
        <w:rPr>
          <w:b/>
          <w:szCs w:val="22"/>
          <w:lang w:val="en-US" w:eastAsia="ko-KR"/>
        </w:rPr>
        <w:t>vised</w:t>
      </w:r>
      <w:r>
        <w:rPr>
          <w:b/>
          <w:szCs w:val="22"/>
          <w:lang w:val="en-US" w:eastAsia="ko-KR"/>
        </w:rPr>
        <w:t xml:space="preserve">. </w:t>
      </w:r>
    </w:p>
    <w:p w:rsidR="007A6BB8" w:rsidRDefault="007A6BB8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>
        <w:rPr>
          <w:b/>
          <w:szCs w:val="22"/>
          <w:lang w:val="en-US" w:eastAsia="ko-KR"/>
        </w:rPr>
        <w:t xml:space="preserve">Two CIDs </w:t>
      </w:r>
      <w:r w:rsidR="007A6BB8">
        <w:rPr>
          <w:b/>
          <w:szCs w:val="22"/>
          <w:lang w:val="en-US" w:eastAsia="ko-KR"/>
        </w:rPr>
        <w:t xml:space="preserve">are identical to CID 2021. It is </w:t>
      </w:r>
      <w:r>
        <w:rPr>
          <w:b/>
          <w:szCs w:val="22"/>
          <w:lang w:val="en-US" w:eastAsia="ko-KR"/>
        </w:rPr>
        <w:t>already resolved in</w:t>
      </w:r>
      <w:r w:rsidRPr="00D03524">
        <w:rPr>
          <w:b/>
          <w:szCs w:val="22"/>
          <w:lang w:val="en-US" w:eastAsia="ko-KR"/>
        </w:rPr>
        <w:t xml:space="preserve"> IEEE Doc 11-14-0105</w:t>
      </w:r>
      <w:r>
        <w:rPr>
          <w:b/>
          <w:szCs w:val="22"/>
          <w:lang w:val="en-US" w:eastAsia="ko-KR"/>
        </w:rPr>
        <w:t>.</w:t>
      </w:r>
      <w:r w:rsidRPr="00D03524">
        <w:rPr>
          <w:b/>
          <w:szCs w:val="22"/>
          <w:lang w:val="en-US" w:eastAsia="ko-KR"/>
        </w:rPr>
        <w:t xml:space="preserve"> </w:t>
      </w:r>
      <w:r w:rsidR="007A6BB8">
        <w:rPr>
          <w:b/>
          <w:szCs w:val="22"/>
          <w:lang w:val="en-US" w:eastAsia="ko-KR"/>
        </w:rPr>
        <w:t>No change needed here.</w:t>
      </w: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D25F96" w:rsidRDefault="00236DDA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D25F96">
        <w:rPr>
          <w:b/>
          <w:szCs w:val="22"/>
          <w:lang w:val="en-US" w:eastAsia="ko-KR"/>
        </w:rPr>
        <w:t>CID</w:t>
      </w:r>
      <w:r w:rsidR="003624DF">
        <w:rPr>
          <w:b/>
          <w:szCs w:val="22"/>
          <w:lang w:val="en-US" w:eastAsia="ko-KR"/>
        </w:rPr>
        <w:t>2615</w:t>
      </w:r>
    </w:p>
    <w:p w:rsidR="00236DDA" w:rsidRDefault="00236DDA" w:rsidP="00236DDA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Pr="00F0664C" w:rsidRDefault="00236DDA" w:rsidP="00236DDA">
      <w:pPr>
        <w:rPr>
          <w:b/>
          <w:u w:val="single"/>
          <w:lang w:eastAsia="ko-KR"/>
        </w:rPr>
      </w:pPr>
      <w:r w:rsidRPr="00F0664C">
        <w:rPr>
          <w:b/>
          <w:u w:val="single"/>
        </w:rPr>
        <w:lastRenderedPageBreak/>
        <w:t>Discussion: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236DDA" w:rsidRDefault="00236DDA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 w:rsidRPr="00236DDA">
        <w:rPr>
          <w:szCs w:val="22"/>
          <w:lang w:val="en-US" w:eastAsia="ko-KR"/>
        </w:rPr>
        <w:t xml:space="preserve">Commenter </w:t>
      </w:r>
      <w:r w:rsidR="0089347A">
        <w:rPr>
          <w:szCs w:val="22"/>
          <w:lang w:val="en-US" w:eastAsia="ko-KR"/>
        </w:rPr>
        <w:t xml:space="preserve">asks for more clarifications regarding </w:t>
      </w:r>
      <w:r w:rsidR="003624DF" w:rsidRPr="003624DF">
        <w:rPr>
          <w:szCs w:val="22"/>
          <w:lang w:val="en-US" w:eastAsia="ko-KR"/>
        </w:rPr>
        <w:t>which STAs setup the NAV protection</w:t>
      </w:r>
      <w:r w:rsidR="00E24644">
        <w:rPr>
          <w:szCs w:val="22"/>
          <w:lang w:val="en-US" w:eastAsia="ko-KR"/>
        </w:rPr>
        <w:t>.</w:t>
      </w:r>
      <w:r w:rsidR="003624DF">
        <w:rPr>
          <w:szCs w:val="22"/>
          <w:lang w:val="en-US" w:eastAsia="ko-KR"/>
        </w:rPr>
        <w:t xml:space="preserve"> Note that the text clearly indicates that </w:t>
      </w:r>
      <w:r w:rsidR="00836040">
        <w:rPr>
          <w:szCs w:val="22"/>
          <w:lang w:val="en-US" w:eastAsia="ko-KR"/>
        </w:rPr>
        <w:t xml:space="preserve">it is the </w:t>
      </w:r>
      <w:r w:rsidR="003624DF" w:rsidRPr="003624DF">
        <w:rPr>
          <w:szCs w:val="22"/>
          <w:lang w:val="en-US" w:eastAsia="ko-KR"/>
        </w:rPr>
        <w:t xml:space="preserve">AP </w:t>
      </w:r>
      <w:r w:rsidR="00836040">
        <w:rPr>
          <w:szCs w:val="22"/>
          <w:lang w:val="en-US" w:eastAsia="ko-KR"/>
        </w:rPr>
        <w:t xml:space="preserve">which </w:t>
      </w:r>
      <w:r w:rsidR="003624DF">
        <w:rPr>
          <w:szCs w:val="22"/>
          <w:lang w:val="en-US" w:eastAsia="ko-KR"/>
        </w:rPr>
        <w:t xml:space="preserve">sets up the NAV protection “AP </w:t>
      </w:r>
      <w:r w:rsidR="003624DF" w:rsidRPr="003624DF">
        <w:rPr>
          <w:szCs w:val="22"/>
          <w:lang w:val="en-US" w:eastAsia="ko-KR"/>
        </w:rPr>
        <w:t xml:space="preserve">starts a TXOP with omni-beam transmission </w:t>
      </w:r>
      <w:r w:rsidR="003624DF">
        <w:rPr>
          <w:szCs w:val="22"/>
          <w:lang w:val="en-US" w:eastAsia="ko-KR"/>
        </w:rPr>
        <w:t>…</w:t>
      </w:r>
      <w:r w:rsidR="003624DF" w:rsidRPr="003624DF">
        <w:rPr>
          <w:szCs w:val="22"/>
          <w:lang w:val="en-US" w:eastAsia="ko-KR"/>
        </w:rPr>
        <w:t xml:space="preserve"> in order to set up the NAV</w:t>
      </w:r>
      <w:r w:rsidR="003624DF">
        <w:rPr>
          <w:szCs w:val="22"/>
          <w:lang w:val="en-US" w:eastAsia="ko-KR"/>
        </w:rPr>
        <w:t xml:space="preserve"> protection”</w:t>
      </w:r>
      <w:r w:rsidR="003624DF" w:rsidRPr="003624DF">
        <w:rPr>
          <w:szCs w:val="22"/>
          <w:lang w:val="en-US" w:eastAsia="ko-KR"/>
        </w:rPr>
        <w:t>.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F0664C" w:rsidRDefault="00236DDA" w:rsidP="00236DDA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236DDA" w:rsidRDefault="003624DF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>
        <w:rPr>
          <w:szCs w:val="22"/>
          <w:lang w:val="en-US" w:eastAsia="ko-KR"/>
        </w:rPr>
        <w:t>Reject</w:t>
      </w:r>
      <w:r w:rsidR="00236DDA" w:rsidRPr="00236DDA">
        <w:rPr>
          <w:szCs w:val="22"/>
          <w:lang w:val="en-US" w:eastAsia="ko-KR"/>
        </w:rPr>
        <w:t>.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3624DF" w:rsidRPr="00D25F96" w:rsidRDefault="003624DF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D25F96">
        <w:rPr>
          <w:b/>
          <w:szCs w:val="22"/>
          <w:lang w:val="en-US" w:eastAsia="ko-KR"/>
        </w:rPr>
        <w:t>CID</w:t>
      </w:r>
      <w:r>
        <w:rPr>
          <w:b/>
          <w:szCs w:val="22"/>
          <w:lang w:val="en-US" w:eastAsia="ko-KR"/>
        </w:rPr>
        <w:t>2</w:t>
      </w:r>
      <w:r w:rsidR="0013673D">
        <w:rPr>
          <w:b/>
          <w:szCs w:val="22"/>
          <w:lang w:val="en-US" w:eastAsia="ko-KR"/>
        </w:rPr>
        <w:t>528</w:t>
      </w:r>
    </w:p>
    <w:p w:rsidR="003624DF" w:rsidRDefault="003624DF" w:rsidP="003624DF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3624DF" w:rsidRPr="00F0664C" w:rsidRDefault="003624DF" w:rsidP="003624DF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3624DF" w:rsidRDefault="003624DF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13673D" w:rsidRDefault="003624DF" w:rsidP="003624DF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 w:rsidRPr="00236DDA">
        <w:rPr>
          <w:szCs w:val="22"/>
          <w:lang w:val="en-US" w:eastAsia="ko-KR"/>
        </w:rPr>
        <w:t xml:space="preserve">Commenter </w:t>
      </w:r>
      <w:r>
        <w:rPr>
          <w:szCs w:val="22"/>
          <w:lang w:val="en-US" w:eastAsia="ko-KR"/>
        </w:rPr>
        <w:t xml:space="preserve">asks for more clarifications regarding </w:t>
      </w:r>
      <w:r w:rsidR="0013673D" w:rsidRPr="0013673D">
        <w:rPr>
          <w:szCs w:val="22"/>
          <w:lang w:val="en-US" w:eastAsia="ko-KR"/>
        </w:rPr>
        <w:t xml:space="preserve">how to operate </w:t>
      </w:r>
      <w:r w:rsidR="0013673D">
        <w:rPr>
          <w:szCs w:val="22"/>
          <w:lang w:val="en-US" w:eastAsia="ko-KR"/>
        </w:rPr>
        <w:t xml:space="preserve">group and TXOP-based </w:t>
      </w:r>
      <w:r w:rsidR="0013673D" w:rsidRPr="0013673D">
        <w:rPr>
          <w:szCs w:val="22"/>
          <w:lang w:val="en-US" w:eastAsia="ko-KR"/>
        </w:rPr>
        <w:t>sectored t</w:t>
      </w:r>
      <w:r w:rsidR="0013673D">
        <w:rPr>
          <w:szCs w:val="22"/>
          <w:lang w:val="en-US" w:eastAsia="ko-KR"/>
        </w:rPr>
        <w:t>ransmission at the same time</w:t>
      </w:r>
      <w:r>
        <w:rPr>
          <w:szCs w:val="22"/>
          <w:lang w:val="en-US" w:eastAsia="ko-KR"/>
        </w:rPr>
        <w:t xml:space="preserve">. </w:t>
      </w:r>
    </w:p>
    <w:p w:rsidR="003624DF" w:rsidRDefault="003624DF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85076A" w:rsidRDefault="0085076A" w:rsidP="0085076A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Note that in a group sectorizaation operation, the AP transmits a sectorized beam beacon to activate a certain groups of STAs (and effectively disallow sectorized beam-capable STAs belonging to other Group IDs from transmission.) Thus, the only additional restriction for TXOP-based STAs is not </w:t>
      </w:r>
      <w:r w:rsidR="002A50A6">
        <w:rPr>
          <w:szCs w:val="22"/>
          <w:lang w:val="en-US" w:eastAsia="ko-KR"/>
        </w:rPr>
        <w:t xml:space="preserve">allowed </w:t>
      </w:r>
      <w:r>
        <w:rPr>
          <w:szCs w:val="22"/>
          <w:lang w:val="en-US" w:eastAsia="ko-KR"/>
        </w:rPr>
        <w:t>to transmi</w:t>
      </w:r>
      <w:r w:rsidR="002A50A6">
        <w:rPr>
          <w:szCs w:val="22"/>
          <w:lang w:val="en-US" w:eastAsia="ko-KR"/>
        </w:rPr>
        <w:t>t</w:t>
      </w:r>
      <w:r>
        <w:rPr>
          <w:szCs w:val="22"/>
          <w:lang w:val="en-US" w:eastAsia="ko-KR"/>
        </w:rPr>
        <w:t xml:space="preserve"> during that beacon interval if its Group IDs are not included in the Sector Operation </w:t>
      </w:r>
      <w:r w:rsidR="002A50A6">
        <w:rPr>
          <w:szCs w:val="22"/>
          <w:lang w:val="en-US" w:eastAsia="ko-KR"/>
        </w:rPr>
        <w:t>element in the sectorized beacon</w:t>
      </w:r>
      <w:r>
        <w:rPr>
          <w:szCs w:val="22"/>
          <w:lang w:val="en-US" w:eastAsia="ko-KR"/>
        </w:rPr>
        <w:t>.</w:t>
      </w:r>
    </w:p>
    <w:p w:rsidR="0013673D" w:rsidRDefault="0013673D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13673D" w:rsidRDefault="0013673D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3624DF" w:rsidRPr="00F0664C" w:rsidRDefault="003624DF" w:rsidP="003624DF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312F4" w:rsidRDefault="00935C9F" w:rsidP="00A312F4">
      <w:pPr>
        <w:pStyle w:val="SP898342"/>
        <w:spacing w:before="480" w:after="240"/>
        <w:rPr>
          <w:color w:val="000000"/>
        </w:rPr>
      </w:pPr>
      <w:r>
        <w:rPr>
          <w:color w:val="000000"/>
        </w:rPr>
        <w:t>Revised.</w:t>
      </w:r>
    </w:p>
    <w:p w:rsidR="00A312F4" w:rsidRDefault="00E34AB1" w:rsidP="00A312F4">
      <w:pPr>
        <w:pStyle w:val="SP898343"/>
        <w:spacing w:before="360" w:after="240"/>
        <w:rPr>
          <w:color w:val="000000"/>
        </w:rPr>
      </w:pPr>
      <w:r>
        <w:rPr>
          <w:color w:val="000000"/>
        </w:rPr>
        <w:t>Instruct the editor to make the following modifications.</w:t>
      </w:r>
    </w:p>
    <w:p w:rsidR="00A312F4" w:rsidRPr="00E34AB1" w:rsidRDefault="00A312F4" w:rsidP="00A312F4">
      <w:pPr>
        <w:pStyle w:val="SP898314"/>
        <w:spacing w:before="240" w:after="240"/>
        <w:rPr>
          <w:color w:val="000000"/>
        </w:rPr>
      </w:pPr>
      <w:r w:rsidRPr="00E34AB1">
        <w:rPr>
          <w:color w:val="000000"/>
        </w:rPr>
        <w:t>P</w:t>
      </w:r>
      <w:r w:rsidR="00836040">
        <w:rPr>
          <w:color w:val="000000"/>
        </w:rPr>
        <w:t>230</w:t>
      </w:r>
      <w:r w:rsidRPr="00E34AB1">
        <w:rPr>
          <w:color w:val="000000"/>
        </w:rPr>
        <w:t>L</w:t>
      </w:r>
      <w:r w:rsidR="00836040">
        <w:rPr>
          <w:color w:val="000000"/>
        </w:rPr>
        <w:t>34</w:t>
      </w:r>
      <w:r w:rsidR="00935C9F" w:rsidRPr="00E34AB1">
        <w:rPr>
          <w:color w:val="000000"/>
        </w:rPr>
        <w:t xml:space="preserve"> (D1.1)</w:t>
      </w:r>
    </w:p>
    <w:p w:rsidR="00935C9F" w:rsidRPr="00101534" w:rsidRDefault="00A312F4" w:rsidP="00935C9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34AB1">
        <w:rPr>
          <w:rStyle w:val="SC8114704"/>
          <w:sz w:val="24"/>
          <w:szCs w:val="24"/>
        </w:rPr>
        <w:t>When the AP Sectorized Beam-Capable field is set to 3, group sectorization and TXOP-based sectorization may be optional</w:t>
      </w:r>
      <w:r w:rsidR="00935C9F" w:rsidRPr="00E34AB1">
        <w:rPr>
          <w:rStyle w:val="SC8114704"/>
          <w:sz w:val="24"/>
          <w:szCs w:val="24"/>
        </w:rPr>
        <w:t xml:space="preserve">ly used at the same time if the </w:t>
      </w:r>
      <w:r w:rsidR="00836040">
        <w:rPr>
          <w:rStyle w:val="SC8114704"/>
          <w:sz w:val="24"/>
          <w:szCs w:val="24"/>
        </w:rPr>
        <w:t xml:space="preserve">AP </w:t>
      </w:r>
      <w:r w:rsidR="00836040" w:rsidRPr="00836040">
        <w:rPr>
          <w:rStyle w:val="SC8114704"/>
          <w:sz w:val="24"/>
          <w:szCs w:val="24"/>
          <w:u w:val="single"/>
        </w:rPr>
        <w:t xml:space="preserve">or </w:t>
      </w:r>
      <w:r w:rsidR="00935C9F" w:rsidRPr="00836040">
        <w:rPr>
          <w:rStyle w:val="SC8114704"/>
          <w:sz w:val="24"/>
          <w:szCs w:val="24"/>
          <w:u w:val="single"/>
        </w:rPr>
        <w:t>non-AP</w:t>
      </w:r>
      <w:r w:rsidRPr="00836040">
        <w:rPr>
          <w:rStyle w:val="SC8114704"/>
          <w:sz w:val="24"/>
          <w:szCs w:val="24"/>
          <w:u w:val="single"/>
        </w:rPr>
        <w:t xml:space="preserve"> </w:t>
      </w:r>
      <w:r w:rsidR="00935C9F" w:rsidRPr="00836040">
        <w:rPr>
          <w:rStyle w:val="SC8114704"/>
          <w:sz w:val="24"/>
          <w:szCs w:val="24"/>
          <w:u w:val="single"/>
        </w:rPr>
        <w:t>STA</w:t>
      </w:r>
      <w:r w:rsidR="00836040">
        <w:rPr>
          <w:rStyle w:val="SC8114704"/>
          <w:sz w:val="24"/>
          <w:szCs w:val="24"/>
          <w:u w:val="single"/>
        </w:rPr>
        <w:t>,</w:t>
      </w:r>
      <w:r w:rsidR="00935C9F" w:rsidRPr="00E34AB1">
        <w:rPr>
          <w:rStyle w:val="SC8114704"/>
          <w:sz w:val="24"/>
          <w:szCs w:val="24"/>
        </w:rPr>
        <w:t xml:space="preserve"> </w:t>
      </w:r>
      <w:r w:rsidRPr="00E34AB1">
        <w:rPr>
          <w:rStyle w:val="SC8114704"/>
          <w:sz w:val="24"/>
          <w:szCs w:val="24"/>
        </w:rPr>
        <w:t>intend</w:t>
      </w:r>
      <w:r w:rsidR="00836040" w:rsidRPr="00836040">
        <w:rPr>
          <w:rStyle w:val="SC8114704"/>
          <w:sz w:val="24"/>
          <w:szCs w:val="24"/>
          <w:u w:val="single"/>
        </w:rPr>
        <w:t>ing</w:t>
      </w:r>
      <w:r w:rsidRPr="00836040">
        <w:rPr>
          <w:rStyle w:val="SC8114704"/>
          <w:strike/>
          <w:sz w:val="24"/>
          <w:szCs w:val="24"/>
        </w:rPr>
        <w:t>s</w:t>
      </w:r>
      <w:r w:rsidRPr="00E34AB1">
        <w:rPr>
          <w:rStyle w:val="SC8114704"/>
          <w:sz w:val="24"/>
          <w:szCs w:val="24"/>
        </w:rPr>
        <w:t xml:space="preserve"> to apply TXOP-based sectorization during the omni-beacon interval or the sectorized beacon interval </w:t>
      </w:r>
      <w:r w:rsidRPr="00836040">
        <w:rPr>
          <w:rStyle w:val="SC8114704"/>
          <w:strike/>
          <w:sz w:val="24"/>
          <w:szCs w:val="24"/>
        </w:rPr>
        <w:t xml:space="preserve">to </w:t>
      </w:r>
      <w:r w:rsidRPr="00E34AB1">
        <w:rPr>
          <w:rStyle w:val="SC8114704"/>
          <w:strike/>
          <w:sz w:val="24"/>
          <w:szCs w:val="24"/>
        </w:rPr>
        <w:t>STAs with the corresponding Sector ID</w:t>
      </w:r>
      <w:r w:rsidR="00836040" w:rsidRPr="00836040">
        <w:rPr>
          <w:rStyle w:val="SC8114704"/>
          <w:sz w:val="24"/>
          <w:szCs w:val="24"/>
          <w:u w:val="single"/>
        </w:rPr>
        <w:t xml:space="preserve">, </w:t>
      </w:r>
      <w:r w:rsidR="00836040">
        <w:rPr>
          <w:rStyle w:val="SC8114704"/>
          <w:sz w:val="24"/>
          <w:szCs w:val="24"/>
          <w:u w:val="single"/>
        </w:rPr>
        <w:t>follow</w:t>
      </w:r>
      <w:r w:rsidR="00B8678D">
        <w:rPr>
          <w:rStyle w:val="SC8114704"/>
          <w:sz w:val="24"/>
          <w:szCs w:val="24"/>
          <w:u w:val="single"/>
        </w:rPr>
        <w:t>s</w:t>
      </w:r>
      <w:r w:rsidR="00935C9F" w:rsidRPr="00E34AB1">
        <w:rPr>
          <w:rStyle w:val="SC8114704"/>
          <w:sz w:val="24"/>
          <w:szCs w:val="24"/>
          <w:u w:val="single"/>
        </w:rPr>
        <w:t xml:space="preserve"> </w:t>
      </w:r>
      <w:r w:rsidR="00101534">
        <w:rPr>
          <w:rStyle w:val="SC8114704"/>
          <w:sz w:val="24"/>
          <w:szCs w:val="24"/>
          <w:u w:val="single"/>
        </w:rPr>
        <w:t xml:space="preserve">the </w:t>
      </w:r>
      <w:r w:rsidR="00935C9F" w:rsidRPr="00E34AB1">
        <w:rPr>
          <w:rStyle w:val="SC8114704"/>
          <w:sz w:val="24"/>
          <w:szCs w:val="24"/>
          <w:u w:val="single"/>
        </w:rPr>
        <w:t xml:space="preserve">rule that </w:t>
      </w:r>
      <w:r w:rsidR="00334A3B">
        <w:rPr>
          <w:rStyle w:val="SC8114704"/>
          <w:sz w:val="24"/>
          <w:szCs w:val="24"/>
          <w:u w:val="single"/>
        </w:rPr>
        <w:t xml:space="preserve">a </w:t>
      </w:r>
      <w:r w:rsidR="00935C9F" w:rsidRPr="00E34AB1">
        <w:rPr>
          <w:rStyle w:val="SC8114704"/>
          <w:sz w:val="24"/>
          <w:szCs w:val="24"/>
          <w:u w:val="single"/>
        </w:rPr>
        <w:t xml:space="preserve">non-AP STA </w:t>
      </w:r>
      <w:r w:rsidR="002A50A6">
        <w:rPr>
          <w:rStyle w:val="SC8114704"/>
          <w:sz w:val="24"/>
          <w:szCs w:val="24"/>
          <w:u w:val="single"/>
        </w:rPr>
        <w:t xml:space="preserve">is not </w:t>
      </w:r>
      <w:r w:rsidR="00334A3B">
        <w:rPr>
          <w:rStyle w:val="SC8114704"/>
          <w:sz w:val="24"/>
          <w:szCs w:val="24"/>
          <w:u w:val="single"/>
        </w:rPr>
        <w:t xml:space="preserve">allowed to </w:t>
      </w:r>
      <w:r w:rsidR="00935C9F" w:rsidRPr="00E34AB1">
        <w:rPr>
          <w:rStyle w:val="SC8114704"/>
          <w:sz w:val="24"/>
          <w:szCs w:val="24"/>
          <w:u w:val="single"/>
        </w:rPr>
        <w:t>transmi</w:t>
      </w:r>
      <w:r w:rsidR="002A50A6">
        <w:rPr>
          <w:rStyle w:val="SC8114704"/>
          <w:sz w:val="24"/>
          <w:szCs w:val="24"/>
          <w:u w:val="single"/>
        </w:rPr>
        <w:t>t</w:t>
      </w:r>
      <w:r w:rsidR="00935C9F" w:rsidRPr="00E34AB1">
        <w:rPr>
          <w:rStyle w:val="SC8114704"/>
          <w:sz w:val="24"/>
          <w:szCs w:val="24"/>
          <w:u w:val="single"/>
        </w:rPr>
        <w:t xml:space="preserve"> in </w:t>
      </w:r>
      <w:r w:rsidR="002A50A6">
        <w:rPr>
          <w:rStyle w:val="SC8114704"/>
          <w:sz w:val="24"/>
          <w:szCs w:val="24"/>
          <w:u w:val="single"/>
        </w:rPr>
        <w:t xml:space="preserve">certain </w:t>
      </w:r>
      <w:r w:rsidR="00935C9F" w:rsidRPr="00E34AB1">
        <w:rPr>
          <w:rStyle w:val="SC8114704"/>
          <w:sz w:val="24"/>
          <w:szCs w:val="24"/>
          <w:u w:val="single"/>
        </w:rPr>
        <w:t>sectorized beacon interval</w:t>
      </w:r>
      <w:r w:rsidR="002A50A6">
        <w:rPr>
          <w:rStyle w:val="SC8114704"/>
          <w:sz w:val="24"/>
          <w:szCs w:val="24"/>
          <w:u w:val="single"/>
        </w:rPr>
        <w:t>s</w:t>
      </w:r>
      <w:r w:rsidR="00334A3B">
        <w:rPr>
          <w:rStyle w:val="SC8114704"/>
          <w:sz w:val="24"/>
          <w:szCs w:val="24"/>
          <w:u w:val="single"/>
        </w:rPr>
        <w:t xml:space="preserve"> as described in 9.47.3</w:t>
      </w:r>
      <w:r w:rsidRPr="00E34AB1">
        <w:rPr>
          <w:rStyle w:val="SC8114704"/>
          <w:sz w:val="24"/>
          <w:szCs w:val="24"/>
        </w:rPr>
        <w:t>.</w:t>
      </w:r>
    </w:p>
    <w:sectPr w:rsidR="00935C9F" w:rsidRPr="00101534" w:rsidSect="003D2773">
      <w:headerReference w:type="default" r:id="rId11"/>
      <w:footerReference w:type="default" r:id="rId12"/>
      <w:pgSz w:w="12240" w:h="15840" w:code="1"/>
      <w:pgMar w:top="1080" w:right="1080" w:bottom="1080" w:left="45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16" w:rsidRDefault="00575D16">
      <w:r>
        <w:separator/>
      </w:r>
    </w:p>
  </w:endnote>
  <w:endnote w:type="continuationSeparator" w:id="0">
    <w:p w:rsidR="00575D16" w:rsidRDefault="00575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FA20B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53F9C">
        <w:t>Submission</w:t>
      </w:r>
    </w:fldSimple>
    <w:r w:rsidR="00F53F9C">
      <w:tab/>
      <w:t xml:space="preserve">page </w:t>
    </w:r>
    <w:fldSimple w:instr="page ">
      <w:r w:rsidR="00B16E1E">
        <w:rPr>
          <w:noProof/>
        </w:rPr>
        <w:t>2</w:t>
      </w:r>
    </w:fldSimple>
    <w:r w:rsidR="00F53F9C">
      <w:tab/>
    </w:r>
    <w:r w:rsidR="00593450">
      <w:rPr>
        <w:lang w:eastAsia="ko-KR"/>
      </w:rPr>
      <w:t>Georg Calcev</w:t>
    </w:r>
    <w:r w:rsidR="00F53F9C">
      <w:t xml:space="preserve">, </w:t>
    </w:r>
    <w:r w:rsidR="00593450">
      <w:t>Huawei</w:t>
    </w:r>
  </w:p>
  <w:p w:rsidR="00F53F9C" w:rsidRDefault="00F53F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16" w:rsidRDefault="00575D16">
      <w:r>
        <w:separator/>
      </w:r>
    </w:p>
  </w:footnote>
  <w:footnote w:type="continuationSeparator" w:id="0">
    <w:p w:rsidR="00575D16" w:rsidRDefault="00575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B476F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F53F9C">
      <w:rPr>
        <w:rFonts w:hint="eastAsia"/>
        <w:lang w:eastAsia="ko-KR"/>
      </w:rPr>
      <w:t xml:space="preserve"> </w:t>
    </w:r>
    <w:r w:rsidR="00F53F9C">
      <w:t>201</w:t>
    </w:r>
    <w:r w:rsidR="00F53F9C">
      <w:rPr>
        <w:rFonts w:hint="eastAsia"/>
        <w:lang w:eastAsia="ko-KR"/>
      </w:rPr>
      <w:t>4</w:t>
    </w:r>
    <w:r w:rsidR="00F53F9C">
      <w:tab/>
    </w:r>
    <w:r w:rsidR="00F53F9C">
      <w:tab/>
    </w:r>
    <w:fldSimple w:instr=" TITLE  \* MERGEFORMAT ">
      <w:r w:rsidR="00F53F9C">
        <w:t>doc.: IEEE 802.11-1</w:t>
      </w:r>
      <w:r w:rsidR="00F53F9C">
        <w:rPr>
          <w:rFonts w:hint="eastAsia"/>
          <w:lang w:eastAsia="ko-KR"/>
        </w:rPr>
        <w:t>4</w:t>
      </w:r>
      <w:r w:rsidR="00F53F9C">
        <w:t>/</w:t>
      </w:r>
      <w:r w:rsidR="00FA233E" w:rsidRPr="00FA233E">
        <w:rPr>
          <w:lang w:eastAsia="ko-KR"/>
        </w:rPr>
        <w:t>0377</w:t>
      </w:r>
      <w:r w:rsidR="00F53F9C">
        <w:t>r</w:t>
      </w:r>
    </w:fldSimple>
    <w:r w:rsidR="00F53F9C"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79C0D31"/>
    <w:multiLevelType w:val="hybridMultilevel"/>
    <w:tmpl w:val="A9A009F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10421BA"/>
    <w:multiLevelType w:val="hybridMultilevel"/>
    <w:tmpl w:val="090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57E1151D"/>
    <w:multiLevelType w:val="hybridMultilevel"/>
    <w:tmpl w:val="703A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3022D"/>
    <w:multiLevelType w:val="hybridMultilevel"/>
    <w:tmpl w:val="419E9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B62599F"/>
    <w:multiLevelType w:val="hybridMultilevel"/>
    <w:tmpl w:val="EA6A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"/>
  </w:num>
  <w:num w:numId="29">
    <w:abstractNumId w:val="11"/>
  </w:num>
  <w:num w:numId="30">
    <w:abstractNumId w:val="1"/>
  </w:num>
  <w:num w:numId="31">
    <w:abstractNumId w:val="5"/>
  </w:num>
  <w:num w:numId="32">
    <w:abstractNumId w:val="13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649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C70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0FF4"/>
    <w:rsid w:val="00063E1C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2E23"/>
    <w:rsid w:val="0008302D"/>
    <w:rsid w:val="000865AA"/>
    <w:rsid w:val="00086780"/>
    <w:rsid w:val="00090640"/>
    <w:rsid w:val="0009392C"/>
    <w:rsid w:val="00094FFA"/>
    <w:rsid w:val="000B03AE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1DAE"/>
    <w:rsid w:val="000E4B82"/>
    <w:rsid w:val="000E5D71"/>
    <w:rsid w:val="000E720C"/>
    <w:rsid w:val="000F2023"/>
    <w:rsid w:val="000F451F"/>
    <w:rsid w:val="000F487D"/>
    <w:rsid w:val="000F4937"/>
    <w:rsid w:val="000F5088"/>
    <w:rsid w:val="000F5903"/>
    <w:rsid w:val="000F685B"/>
    <w:rsid w:val="0010027A"/>
    <w:rsid w:val="00101534"/>
    <w:rsid w:val="001015F8"/>
    <w:rsid w:val="00105918"/>
    <w:rsid w:val="001079B1"/>
    <w:rsid w:val="00107DD0"/>
    <w:rsid w:val="001109AA"/>
    <w:rsid w:val="00112C6A"/>
    <w:rsid w:val="00112C6F"/>
    <w:rsid w:val="001132A8"/>
    <w:rsid w:val="00113A56"/>
    <w:rsid w:val="00115A75"/>
    <w:rsid w:val="00120298"/>
    <w:rsid w:val="0012058F"/>
    <w:rsid w:val="001215C0"/>
    <w:rsid w:val="0012213C"/>
    <w:rsid w:val="00122D51"/>
    <w:rsid w:val="001275D7"/>
    <w:rsid w:val="00134114"/>
    <w:rsid w:val="0013673D"/>
    <w:rsid w:val="001448D8"/>
    <w:rsid w:val="001450BB"/>
    <w:rsid w:val="001459E7"/>
    <w:rsid w:val="001514EB"/>
    <w:rsid w:val="00151BBE"/>
    <w:rsid w:val="00154B26"/>
    <w:rsid w:val="00155844"/>
    <w:rsid w:val="001559BB"/>
    <w:rsid w:val="0015610D"/>
    <w:rsid w:val="00165BE6"/>
    <w:rsid w:val="00172DD9"/>
    <w:rsid w:val="001738FD"/>
    <w:rsid w:val="00173F8E"/>
    <w:rsid w:val="00175CDF"/>
    <w:rsid w:val="0017659B"/>
    <w:rsid w:val="001812B0"/>
    <w:rsid w:val="00181423"/>
    <w:rsid w:val="00183F4C"/>
    <w:rsid w:val="00187129"/>
    <w:rsid w:val="00190E5D"/>
    <w:rsid w:val="001911FF"/>
    <w:rsid w:val="0019164F"/>
    <w:rsid w:val="00192C6E"/>
    <w:rsid w:val="00193C39"/>
    <w:rsid w:val="001943F7"/>
    <w:rsid w:val="001A2240"/>
    <w:rsid w:val="001A7DFA"/>
    <w:rsid w:val="001B252D"/>
    <w:rsid w:val="001B2904"/>
    <w:rsid w:val="001B63BC"/>
    <w:rsid w:val="001C14F7"/>
    <w:rsid w:val="001C304F"/>
    <w:rsid w:val="001C7CCE"/>
    <w:rsid w:val="001D15ED"/>
    <w:rsid w:val="001D328B"/>
    <w:rsid w:val="001D4A93"/>
    <w:rsid w:val="001D5104"/>
    <w:rsid w:val="001D58DF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AD4"/>
    <w:rsid w:val="002239F2"/>
    <w:rsid w:val="00224BEE"/>
    <w:rsid w:val="00225508"/>
    <w:rsid w:val="00225570"/>
    <w:rsid w:val="00225682"/>
    <w:rsid w:val="002276AE"/>
    <w:rsid w:val="002323FE"/>
    <w:rsid w:val="00234C13"/>
    <w:rsid w:val="00235D61"/>
    <w:rsid w:val="002369FD"/>
    <w:rsid w:val="00236A7E"/>
    <w:rsid w:val="00236DDA"/>
    <w:rsid w:val="0023760F"/>
    <w:rsid w:val="00237985"/>
    <w:rsid w:val="00240E1C"/>
    <w:rsid w:val="00241AD7"/>
    <w:rsid w:val="002470AC"/>
    <w:rsid w:val="00252D47"/>
    <w:rsid w:val="00255A8B"/>
    <w:rsid w:val="002662A5"/>
    <w:rsid w:val="00273257"/>
    <w:rsid w:val="00274C77"/>
    <w:rsid w:val="00281A5D"/>
    <w:rsid w:val="00282053"/>
    <w:rsid w:val="00284C5E"/>
    <w:rsid w:val="00291A10"/>
    <w:rsid w:val="00294B37"/>
    <w:rsid w:val="00295DAE"/>
    <w:rsid w:val="00296A52"/>
    <w:rsid w:val="002A195C"/>
    <w:rsid w:val="002A2BFA"/>
    <w:rsid w:val="002A4A61"/>
    <w:rsid w:val="002A50A6"/>
    <w:rsid w:val="002C085F"/>
    <w:rsid w:val="002C239F"/>
    <w:rsid w:val="002C6B4F"/>
    <w:rsid w:val="002C6C28"/>
    <w:rsid w:val="002C72E1"/>
    <w:rsid w:val="002D1D40"/>
    <w:rsid w:val="002D3F13"/>
    <w:rsid w:val="002D518F"/>
    <w:rsid w:val="002D7ED5"/>
    <w:rsid w:val="002E08ED"/>
    <w:rsid w:val="002E1B18"/>
    <w:rsid w:val="002E4547"/>
    <w:rsid w:val="002E6FF6"/>
    <w:rsid w:val="002F25B2"/>
    <w:rsid w:val="002F2BC5"/>
    <w:rsid w:val="002F376B"/>
    <w:rsid w:val="002F5C8C"/>
    <w:rsid w:val="002F7199"/>
    <w:rsid w:val="002F7D11"/>
    <w:rsid w:val="0030359F"/>
    <w:rsid w:val="00305D6E"/>
    <w:rsid w:val="0030782E"/>
    <w:rsid w:val="00307F5F"/>
    <w:rsid w:val="00320EA7"/>
    <w:rsid w:val="003214E2"/>
    <w:rsid w:val="00325AB6"/>
    <w:rsid w:val="003308A8"/>
    <w:rsid w:val="00332CD6"/>
    <w:rsid w:val="00334A3B"/>
    <w:rsid w:val="00335969"/>
    <w:rsid w:val="003449F9"/>
    <w:rsid w:val="003479E4"/>
    <w:rsid w:val="00347C43"/>
    <w:rsid w:val="00360C87"/>
    <w:rsid w:val="003624DF"/>
    <w:rsid w:val="00366AF0"/>
    <w:rsid w:val="003713CA"/>
    <w:rsid w:val="003729FC"/>
    <w:rsid w:val="00372BC7"/>
    <w:rsid w:val="00372FCA"/>
    <w:rsid w:val="003766B9"/>
    <w:rsid w:val="00382C54"/>
    <w:rsid w:val="00384940"/>
    <w:rsid w:val="0038516A"/>
    <w:rsid w:val="00385654"/>
    <w:rsid w:val="0038601E"/>
    <w:rsid w:val="003906A1"/>
    <w:rsid w:val="003924F8"/>
    <w:rsid w:val="003945E3"/>
    <w:rsid w:val="003956E3"/>
    <w:rsid w:val="00395A50"/>
    <w:rsid w:val="0039787F"/>
    <w:rsid w:val="003A161F"/>
    <w:rsid w:val="003A1693"/>
    <w:rsid w:val="003A1CC7"/>
    <w:rsid w:val="003A3196"/>
    <w:rsid w:val="003A478D"/>
    <w:rsid w:val="003A5BFF"/>
    <w:rsid w:val="003B3E64"/>
    <w:rsid w:val="003B4DAD"/>
    <w:rsid w:val="003B52F2"/>
    <w:rsid w:val="003B76BD"/>
    <w:rsid w:val="003C47D1"/>
    <w:rsid w:val="003C7004"/>
    <w:rsid w:val="003C74FF"/>
    <w:rsid w:val="003D1024"/>
    <w:rsid w:val="003D1D90"/>
    <w:rsid w:val="003D26A5"/>
    <w:rsid w:val="003D2773"/>
    <w:rsid w:val="003D3623"/>
    <w:rsid w:val="003D5013"/>
    <w:rsid w:val="003D78F7"/>
    <w:rsid w:val="003E280B"/>
    <w:rsid w:val="003E5916"/>
    <w:rsid w:val="003E5CD9"/>
    <w:rsid w:val="003E667C"/>
    <w:rsid w:val="003E7414"/>
    <w:rsid w:val="003E7F99"/>
    <w:rsid w:val="003F2D6C"/>
    <w:rsid w:val="003F2FAF"/>
    <w:rsid w:val="004014AE"/>
    <w:rsid w:val="00403645"/>
    <w:rsid w:val="004051EE"/>
    <w:rsid w:val="00407C5B"/>
    <w:rsid w:val="004127BF"/>
    <w:rsid w:val="00420980"/>
    <w:rsid w:val="00421159"/>
    <w:rsid w:val="004215D0"/>
    <w:rsid w:val="0042229D"/>
    <w:rsid w:val="00424CDD"/>
    <w:rsid w:val="0043604F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3999"/>
    <w:rsid w:val="0048450B"/>
    <w:rsid w:val="0049468A"/>
    <w:rsid w:val="004A0AF4"/>
    <w:rsid w:val="004B1BE6"/>
    <w:rsid w:val="004B493F"/>
    <w:rsid w:val="004C0F0A"/>
    <w:rsid w:val="004C10FB"/>
    <w:rsid w:val="004C3C2A"/>
    <w:rsid w:val="004C7CE0"/>
    <w:rsid w:val="004D03A1"/>
    <w:rsid w:val="004D071D"/>
    <w:rsid w:val="004D2D75"/>
    <w:rsid w:val="004D6BE8"/>
    <w:rsid w:val="004D7188"/>
    <w:rsid w:val="004E0F2C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35BBB"/>
    <w:rsid w:val="0054235E"/>
    <w:rsid w:val="0054425D"/>
    <w:rsid w:val="00552D09"/>
    <w:rsid w:val="0055459B"/>
    <w:rsid w:val="005545A1"/>
    <w:rsid w:val="00554995"/>
    <w:rsid w:val="00554EEF"/>
    <w:rsid w:val="0055527D"/>
    <w:rsid w:val="00567934"/>
    <w:rsid w:val="0057025E"/>
    <w:rsid w:val="005702B6"/>
    <w:rsid w:val="005703A1"/>
    <w:rsid w:val="00571583"/>
    <w:rsid w:val="00572338"/>
    <w:rsid w:val="00572E7A"/>
    <w:rsid w:val="00575D16"/>
    <w:rsid w:val="00583212"/>
    <w:rsid w:val="00585B5F"/>
    <w:rsid w:val="00585D8F"/>
    <w:rsid w:val="00586072"/>
    <w:rsid w:val="00586310"/>
    <w:rsid w:val="0058644C"/>
    <w:rsid w:val="00587F10"/>
    <w:rsid w:val="00591351"/>
    <w:rsid w:val="00591EC7"/>
    <w:rsid w:val="00593450"/>
    <w:rsid w:val="00596413"/>
    <w:rsid w:val="00596B6A"/>
    <w:rsid w:val="005A16CF"/>
    <w:rsid w:val="005A26DC"/>
    <w:rsid w:val="005A2ECA"/>
    <w:rsid w:val="005A4504"/>
    <w:rsid w:val="005B151D"/>
    <w:rsid w:val="005B31EA"/>
    <w:rsid w:val="005B34A6"/>
    <w:rsid w:val="005B6C67"/>
    <w:rsid w:val="005C0CBC"/>
    <w:rsid w:val="005C284A"/>
    <w:rsid w:val="005C3D7C"/>
    <w:rsid w:val="005C4204"/>
    <w:rsid w:val="005C5C2A"/>
    <w:rsid w:val="005C6823"/>
    <w:rsid w:val="005D33B5"/>
    <w:rsid w:val="005D5C6E"/>
    <w:rsid w:val="005E3E49"/>
    <w:rsid w:val="005E768D"/>
    <w:rsid w:val="005F19DD"/>
    <w:rsid w:val="005F292F"/>
    <w:rsid w:val="005F4AD8"/>
    <w:rsid w:val="005F5ADA"/>
    <w:rsid w:val="005F695C"/>
    <w:rsid w:val="00600A10"/>
    <w:rsid w:val="0060320F"/>
    <w:rsid w:val="00605ACB"/>
    <w:rsid w:val="00611CD7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6A0A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F9C"/>
    <w:rsid w:val="0067305F"/>
    <w:rsid w:val="00674D1C"/>
    <w:rsid w:val="00680308"/>
    <w:rsid w:val="0068429C"/>
    <w:rsid w:val="00687476"/>
    <w:rsid w:val="0069038E"/>
    <w:rsid w:val="00693612"/>
    <w:rsid w:val="00694D80"/>
    <w:rsid w:val="006976B8"/>
    <w:rsid w:val="006A2589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332F"/>
    <w:rsid w:val="006C3C1D"/>
    <w:rsid w:val="006D3377"/>
    <w:rsid w:val="006D3E5E"/>
    <w:rsid w:val="006D5362"/>
    <w:rsid w:val="006E16EE"/>
    <w:rsid w:val="006E181A"/>
    <w:rsid w:val="006E2D44"/>
    <w:rsid w:val="006F0405"/>
    <w:rsid w:val="006F3DD4"/>
    <w:rsid w:val="00711E05"/>
    <w:rsid w:val="007220CF"/>
    <w:rsid w:val="00724942"/>
    <w:rsid w:val="00727341"/>
    <w:rsid w:val="00732C63"/>
    <w:rsid w:val="00734F1A"/>
    <w:rsid w:val="00736065"/>
    <w:rsid w:val="0074006F"/>
    <w:rsid w:val="00741D75"/>
    <w:rsid w:val="0074621F"/>
    <w:rsid w:val="007463FB"/>
    <w:rsid w:val="007513CD"/>
    <w:rsid w:val="0076063E"/>
    <w:rsid w:val="0076196C"/>
    <w:rsid w:val="00762653"/>
    <w:rsid w:val="00766589"/>
    <w:rsid w:val="00766B1A"/>
    <w:rsid w:val="00766DFE"/>
    <w:rsid w:val="00786A15"/>
    <w:rsid w:val="007914E4"/>
    <w:rsid w:val="007914F3"/>
    <w:rsid w:val="007926D8"/>
    <w:rsid w:val="00794BC4"/>
    <w:rsid w:val="00794F1E"/>
    <w:rsid w:val="007953C2"/>
    <w:rsid w:val="00795C50"/>
    <w:rsid w:val="007A098E"/>
    <w:rsid w:val="007A5765"/>
    <w:rsid w:val="007A5B89"/>
    <w:rsid w:val="007A6BB8"/>
    <w:rsid w:val="007B0A72"/>
    <w:rsid w:val="007B7D06"/>
    <w:rsid w:val="007C0795"/>
    <w:rsid w:val="007C14AD"/>
    <w:rsid w:val="007C6C61"/>
    <w:rsid w:val="007D2A02"/>
    <w:rsid w:val="007D3D37"/>
    <w:rsid w:val="007D4D44"/>
    <w:rsid w:val="007D50FF"/>
    <w:rsid w:val="007D6B5D"/>
    <w:rsid w:val="007D7EB7"/>
    <w:rsid w:val="007E21DF"/>
    <w:rsid w:val="007E5479"/>
    <w:rsid w:val="007F2366"/>
    <w:rsid w:val="007F5295"/>
    <w:rsid w:val="007F6EC7"/>
    <w:rsid w:val="007F75A8"/>
    <w:rsid w:val="00802FC5"/>
    <w:rsid w:val="0081078F"/>
    <w:rsid w:val="008138C1"/>
    <w:rsid w:val="00816B48"/>
    <w:rsid w:val="00817DFB"/>
    <w:rsid w:val="008204A2"/>
    <w:rsid w:val="008208CB"/>
    <w:rsid w:val="00820B60"/>
    <w:rsid w:val="00820ECE"/>
    <w:rsid w:val="00822142"/>
    <w:rsid w:val="00822EA3"/>
    <w:rsid w:val="0082437A"/>
    <w:rsid w:val="00830ACB"/>
    <w:rsid w:val="00831EDC"/>
    <w:rsid w:val="00832700"/>
    <w:rsid w:val="00832898"/>
    <w:rsid w:val="00835A0A"/>
    <w:rsid w:val="00836040"/>
    <w:rsid w:val="008377E3"/>
    <w:rsid w:val="008378E7"/>
    <w:rsid w:val="00840667"/>
    <w:rsid w:val="0085076A"/>
    <w:rsid w:val="00852B3C"/>
    <w:rsid w:val="00853048"/>
    <w:rsid w:val="008532E6"/>
    <w:rsid w:val="0085795D"/>
    <w:rsid w:val="00862177"/>
    <w:rsid w:val="00866075"/>
    <w:rsid w:val="00866701"/>
    <w:rsid w:val="0086745D"/>
    <w:rsid w:val="00872CEB"/>
    <w:rsid w:val="008776B0"/>
    <w:rsid w:val="0088012D"/>
    <w:rsid w:val="00881C47"/>
    <w:rsid w:val="00884237"/>
    <w:rsid w:val="00887583"/>
    <w:rsid w:val="00891445"/>
    <w:rsid w:val="0089347A"/>
    <w:rsid w:val="00894857"/>
    <w:rsid w:val="00897183"/>
    <w:rsid w:val="008A5AFD"/>
    <w:rsid w:val="008A6D8E"/>
    <w:rsid w:val="008B47B4"/>
    <w:rsid w:val="008B5396"/>
    <w:rsid w:val="008C41AF"/>
    <w:rsid w:val="008C4913"/>
    <w:rsid w:val="008C5478"/>
    <w:rsid w:val="008C57E5"/>
    <w:rsid w:val="008C5AD6"/>
    <w:rsid w:val="008C5D4E"/>
    <w:rsid w:val="008C7A4B"/>
    <w:rsid w:val="008D0C05"/>
    <w:rsid w:val="008D71CE"/>
    <w:rsid w:val="008E041E"/>
    <w:rsid w:val="008E0E94"/>
    <w:rsid w:val="008E444B"/>
    <w:rsid w:val="008E54E3"/>
    <w:rsid w:val="008E7322"/>
    <w:rsid w:val="008F039B"/>
    <w:rsid w:val="008F1C67"/>
    <w:rsid w:val="008F238D"/>
    <w:rsid w:val="00905A7F"/>
    <w:rsid w:val="00910F8F"/>
    <w:rsid w:val="0091118D"/>
    <w:rsid w:val="00914927"/>
    <w:rsid w:val="0092075E"/>
    <w:rsid w:val="009225A7"/>
    <w:rsid w:val="00925D7C"/>
    <w:rsid w:val="00927EB9"/>
    <w:rsid w:val="00927FEB"/>
    <w:rsid w:val="00935C9F"/>
    <w:rsid w:val="00936D66"/>
    <w:rsid w:val="0094091B"/>
    <w:rsid w:val="00944591"/>
    <w:rsid w:val="00944CAA"/>
    <w:rsid w:val="00951CE8"/>
    <w:rsid w:val="00953565"/>
    <w:rsid w:val="00954C90"/>
    <w:rsid w:val="00962886"/>
    <w:rsid w:val="009709A2"/>
    <w:rsid w:val="009723A1"/>
    <w:rsid w:val="00973614"/>
    <w:rsid w:val="00974DED"/>
    <w:rsid w:val="009763CA"/>
    <w:rsid w:val="0097724C"/>
    <w:rsid w:val="00980866"/>
    <w:rsid w:val="00980D24"/>
    <w:rsid w:val="009824DF"/>
    <w:rsid w:val="0098405A"/>
    <w:rsid w:val="00991A93"/>
    <w:rsid w:val="009A0E5E"/>
    <w:rsid w:val="009A2737"/>
    <w:rsid w:val="009B09CD"/>
    <w:rsid w:val="009B2383"/>
    <w:rsid w:val="009B4356"/>
    <w:rsid w:val="009C30AA"/>
    <w:rsid w:val="009C43D1"/>
    <w:rsid w:val="009C59A6"/>
    <w:rsid w:val="009C6A52"/>
    <w:rsid w:val="009C75D8"/>
    <w:rsid w:val="009D0AB2"/>
    <w:rsid w:val="009D3276"/>
    <w:rsid w:val="009D444C"/>
    <w:rsid w:val="009D4525"/>
    <w:rsid w:val="009D4D68"/>
    <w:rsid w:val="009E2785"/>
    <w:rsid w:val="009E7A43"/>
    <w:rsid w:val="009F08F6"/>
    <w:rsid w:val="009F3F07"/>
    <w:rsid w:val="00A00EE5"/>
    <w:rsid w:val="00A049E2"/>
    <w:rsid w:val="00A12431"/>
    <w:rsid w:val="00A1344B"/>
    <w:rsid w:val="00A1399B"/>
    <w:rsid w:val="00A219E7"/>
    <w:rsid w:val="00A2417A"/>
    <w:rsid w:val="00A26D8D"/>
    <w:rsid w:val="00A312F4"/>
    <w:rsid w:val="00A328C1"/>
    <w:rsid w:val="00A40884"/>
    <w:rsid w:val="00A43B6B"/>
    <w:rsid w:val="00A45C7E"/>
    <w:rsid w:val="00A46F2F"/>
    <w:rsid w:val="00A477E6"/>
    <w:rsid w:val="00A47C1B"/>
    <w:rsid w:val="00A5337D"/>
    <w:rsid w:val="00A57CE8"/>
    <w:rsid w:val="00A66CBC"/>
    <w:rsid w:val="00A70990"/>
    <w:rsid w:val="00A77009"/>
    <w:rsid w:val="00A828D3"/>
    <w:rsid w:val="00A844CE"/>
    <w:rsid w:val="00A90385"/>
    <w:rsid w:val="00A91EAA"/>
    <w:rsid w:val="00A9264B"/>
    <w:rsid w:val="00A96DCC"/>
    <w:rsid w:val="00AA188F"/>
    <w:rsid w:val="00AA3C3D"/>
    <w:rsid w:val="00AA5C69"/>
    <w:rsid w:val="00AA63A9"/>
    <w:rsid w:val="00AA64F8"/>
    <w:rsid w:val="00AA6F19"/>
    <w:rsid w:val="00AA7E07"/>
    <w:rsid w:val="00AB17F6"/>
    <w:rsid w:val="00AB25B7"/>
    <w:rsid w:val="00AC0A90"/>
    <w:rsid w:val="00AC76C6"/>
    <w:rsid w:val="00AD268D"/>
    <w:rsid w:val="00AD3749"/>
    <w:rsid w:val="00AD6723"/>
    <w:rsid w:val="00AD6AE6"/>
    <w:rsid w:val="00AE3024"/>
    <w:rsid w:val="00AE531C"/>
    <w:rsid w:val="00AF1E59"/>
    <w:rsid w:val="00AF7A26"/>
    <w:rsid w:val="00B0051A"/>
    <w:rsid w:val="00B03DB7"/>
    <w:rsid w:val="00B04957"/>
    <w:rsid w:val="00B04CB8"/>
    <w:rsid w:val="00B11981"/>
    <w:rsid w:val="00B16515"/>
    <w:rsid w:val="00B16E1E"/>
    <w:rsid w:val="00B40CA4"/>
    <w:rsid w:val="00B447D8"/>
    <w:rsid w:val="00B45A5E"/>
    <w:rsid w:val="00B476F5"/>
    <w:rsid w:val="00B51194"/>
    <w:rsid w:val="00B52374"/>
    <w:rsid w:val="00B54777"/>
    <w:rsid w:val="00B5499F"/>
    <w:rsid w:val="00B54BCB"/>
    <w:rsid w:val="00B56B13"/>
    <w:rsid w:val="00B60DD2"/>
    <w:rsid w:val="00B63F1C"/>
    <w:rsid w:val="00B7006B"/>
    <w:rsid w:val="00B7099B"/>
    <w:rsid w:val="00B73C63"/>
    <w:rsid w:val="00B74A35"/>
    <w:rsid w:val="00B74E3D"/>
    <w:rsid w:val="00B753D1"/>
    <w:rsid w:val="00B772F2"/>
    <w:rsid w:val="00B77BB8"/>
    <w:rsid w:val="00B83455"/>
    <w:rsid w:val="00B83960"/>
    <w:rsid w:val="00B844E8"/>
    <w:rsid w:val="00B8678D"/>
    <w:rsid w:val="00B94B98"/>
    <w:rsid w:val="00B94CAC"/>
    <w:rsid w:val="00BA1943"/>
    <w:rsid w:val="00BA489F"/>
    <w:rsid w:val="00BA787B"/>
    <w:rsid w:val="00BB20F2"/>
    <w:rsid w:val="00BB67AE"/>
    <w:rsid w:val="00BC392F"/>
    <w:rsid w:val="00BC5869"/>
    <w:rsid w:val="00BD003A"/>
    <w:rsid w:val="00BD1D45"/>
    <w:rsid w:val="00BD2653"/>
    <w:rsid w:val="00BD3E62"/>
    <w:rsid w:val="00BD459E"/>
    <w:rsid w:val="00BF321B"/>
    <w:rsid w:val="00BF3773"/>
    <w:rsid w:val="00BF3E14"/>
    <w:rsid w:val="00BF4644"/>
    <w:rsid w:val="00C00D18"/>
    <w:rsid w:val="00C01709"/>
    <w:rsid w:val="00C03B8D"/>
    <w:rsid w:val="00C04532"/>
    <w:rsid w:val="00C06D1A"/>
    <w:rsid w:val="00C078F3"/>
    <w:rsid w:val="00C1178F"/>
    <w:rsid w:val="00C1356B"/>
    <w:rsid w:val="00C151D0"/>
    <w:rsid w:val="00C15580"/>
    <w:rsid w:val="00C237F5"/>
    <w:rsid w:val="00C24241"/>
    <w:rsid w:val="00C24A70"/>
    <w:rsid w:val="00C317AA"/>
    <w:rsid w:val="00C325C5"/>
    <w:rsid w:val="00C34B1A"/>
    <w:rsid w:val="00C36247"/>
    <w:rsid w:val="00C45A69"/>
    <w:rsid w:val="00C45A93"/>
    <w:rsid w:val="00C46AA2"/>
    <w:rsid w:val="00C53D55"/>
    <w:rsid w:val="00C542F0"/>
    <w:rsid w:val="00C55F0E"/>
    <w:rsid w:val="00C57CDB"/>
    <w:rsid w:val="00C60A9B"/>
    <w:rsid w:val="00C6108B"/>
    <w:rsid w:val="00C6354A"/>
    <w:rsid w:val="00C72BC1"/>
    <w:rsid w:val="00C80D03"/>
    <w:rsid w:val="00C80D37"/>
    <w:rsid w:val="00C8151A"/>
    <w:rsid w:val="00C81770"/>
    <w:rsid w:val="00C82355"/>
    <w:rsid w:val="00C82609"/>
    <w:rsid w:val="00C85C0F"/>
    <w:rsid w:val="00C8795F"/>
    <w:rsid w:val="00C901B5"/>
    <w:rsid w:val="00C90617"/>
    <w:rsid w:val="00C95FF7"/>
    <w:rsid w:val="00C975ED"/>
    <w:rsid w:val="00C97719"/>
    <w:rsid w:val="00CA2591"/>
    <w:rsid w:val="00CA3F9D"/>
    <w:rsid w:val="00CA6934"/>
    <w:rsid w:val="00CA69FC"/>
    <w:rsid w:val="00CB285C"/>
    <w:rsid w:val="00CB7A46"/>
    <w:rsid w:val="00CB7AC4"/>
    <w:rsid w:val="00CC35D4"/>
    <w:rsid w:val="00CC3806"/>
    <w:rsid w:val="00CC7311"/>
    <w:rsid w:val="00CD0ABD"/>
    <w:rsid w:val="00CD259C"/>
    <w:rsid w:val="00CE3DDC"/>
    <w:rsid w:val="00CE5EE2"/>
    <w:rsid w:val="00CE63EE"/>
    <w:rsid w:val="00CF028E"/>
    <w:rsid w:val="00CF16FB"/>
    <w:rsid w:val="00CF1D76"/>
    <w:rsid w:val="00CF2295"/>
    <w:rsid w:val="00CF3BDE"/>
    <w:rsid w:val="00D03506"/>
    <w:rsid w:val="00D03524"/>
    <w:rsid w:val="00D03F8F"/>
    <w:rsid w:val="00D0639A"/>
    <w:rsid w:val="00D07ABE"/>
    <w:rsid w:val="00D133E6"/>
    <w:rsid w:val="00D25F96"/>
    <w:rsid w:val="00D307A6"/>
    <w:rsid w:val="00D36C35"/>
    <w:rsid w:val="00D42073"/>
    <w:rsid w:val="00D527A6"/>
    <w:rsid w:val="00D5432B"/>
    <w:rsid w:val="00D5494D"/>
    <w:rsid w:val="00D55513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96975"/>
    <w:rsid w:val="00DA3D06"/>
    <w:rsid w:val="00DB4B77"/>
    <w:rsid w:val="00DB6B0C"/>
    <w:rsid w:val="00DB7D1B"/>
    <w:rsid w:val="00DC176F"/>
    <w:rsid w:val="00DC2B1D"/>
    <w:rsid w:val="00DC5F4D"/>
    <w:rsid w:val="00DC77AA"/>
    <w:rsid w:val="00DD3BD5"/>
    <w:rsid w:val="00DD6EB7"/>
    <w:rsid w:val="00DD745E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E4A"/>
    <w:rsid w:val="00E101F5"/>
    <w:rsid w:val="00E22FC8"/>
    <w:rsid w:val="00E24644"/>
    <w:rsid w:val="00E26067"/>
    <w:rsid w:val="00E32B08"/>
    <w:rsid w:val="00E33B8F"/>
    <w:rsid w:val="00E34AB1"/>
    <w:rsid w:val="00E40A39"/>
    <w:rsid w:val="00E53C1B"/>
    <w:rsid w:val="00E54D26"/>
    <w:rsid w:val="00E5708C"/>
    <w:rsid w:val="00E610D6"/>
    <w:rsid w:val="00E61A15"/>
    <w:rsid w:val="00E65013"/>
    <w:rsid w:val="00E71C91"/>
    <w:rsid w:val="00E74E87"/>
    <w:rsid w:val="00E772DB"/>
    <w:rsid w:val="00E80182"/>
    <w:rsid w:val="00E8027B"/>
    <w:rsid w:val="00E81353"/>
    <w:rsid w:val="00E81437"/>
    <w:rsid w:val="00E839F1"/>
    <w:rsid w:val="00E85235"/>
    <w:rsid w:val="00E873C2"/>
    <w:rsid w:val="00E94322"/>
    <w:rsid w:val="00E9535F"/>
    <w:rsid w:val="00EA2CE4"/>
    <w:rsid w:val="00EA48D0"/>
    <w:rsid w:val="00EA6DCB"/>
    <w:rsid w:val="00EB5ADB"/>
    <w:rsid w:val="00ED6FC5"/>
    <w:rsid w:val="00EE2AF3"/>
    <w:rsid w:val="00EE461A"/>
    <w:rsid w:val="00EE55B2"/>
    <w:rsid w:val="00EE61C3"/>
    <w:rsid w:val="00EE7DA9"/>
    <w:rsid w:val="00EF34D3"/>
    <w:rsid w:val="00EF6B9E"/>
    <w:rsid w:val="00F0401B"/>
    <w:rsid w:val="00F04FF6"/>
    <w:rsid w:val="00F109FC"/>
    <w:rsid w:val="00F17905"/>
    <w:rsid w:val="00F2561F"/>
    <w:rsid w:val="00F2637D"/>
    <w:rsid w:val="00F30AB8"/>
    <w:rsid w:val="00F342FD"/>
    <w:rsid w:val="00F34E9E"/>
    <w:rsid w:val="00F41666"/>
    <w:rsid w:val="00F41684"/>
    <w:rsid w:val="00F44755"/>
    <w:rsid w:val="00F455E0"/>
    <w:rsid w:val="00F45E7C"/>
    <w:rsid w:val="00F53F9C"/>
    <w:rsid w:val="00F5458D"/>
    <w:rsid w:val="00F54F3A"/>
    <w:rsid w:val="00F659E1"/>
    <w:rsid w:val="00F739C0"/>
    <w:rsid w:val="00F80366"/>
    <w:rsid w:val="00F808C5"/>
    <w:rsid w:val="00F832E1"/>
    <w:rsid w:val="00F85369"/>
    <w:rsid w:val="00F93DC9"/>
    <w:rsid w:val="00F94872"/>
    <w:rsid w:val="00F967E0"/>
    <w:rsid w:val="00F96A6A"/>
    <w:rsid w:val="00FA20B8"/>
    <w:rsid w:val="00FA233E"/>
    <w:rsid w:val="00FA2EB4"/>
    <w:rsid w:val="00FA5D88"/>
    <w:rsid w:val="00FA6D0A"/>
    <w:rsid w:val="00FA751A"/>
    <w:rsid w:val="00FB0152"/>
    <w:rsid w:val="00FB1482"/>
    <w:rsid w:val="00FB1A63"/>
    <w:rsid w:val="00FB33E4"/>
    <w:rsid w:val="00FB41A3"/>
    <w:rsid w:val="00FB7AC8"/>
    <w:rsid w:val="00FC18E0"/>
    <w:rsid w:val="00FC20C3"/>
    <w:rsid w:val="00FC29BA"/>
    <w:rsid w:val="00FC2BFD"/>
    <w:rsid w:val="00FC64E4"/>
    <w:rsid w:val="00FD217E"/>
    <w:rsid w:val="00FD554D"/>
    <w:rsid w:val="00FD5B24"/>
    <w:rsid w:val="00FE117C"/>
    <w:rsid w:val="00FE31E9"/>
    <w:rsid w:val="00FE362B"/>
    <w:rsid w:val="00FE37EF"/>
    <w:rsid w:val="00FE5C16"/>
    <w:rsid w:val="00FE75CD"/>
    <w:rsid w:val="00FF373C"/>
    <w:rsid w:val="00FF7E7B"/>
    <w:rsid w:val="00FF7EE7"/>
    <w:rsid w:val="00FF7FA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898342">
    <w:name w:val="SP.8.98342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05">
    <w:name w:val="SP.8.98305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D03F8F"/>
    <w:rPr>
      <w:color w:val="000000"/>
      <w:sz w:val="20"/>
      <w:szCs w:val="20"/>
    </w:rPr>
  </w:style>
  <w:style w:type="paragraph" w:customStyle="1" w:styleId="SP7299046">
    <w:name w:val="SP.7.299046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D25F96"/>
    <w:rPr>
      <w:color w:val="000000"/>
      <w:sz w:val="20"/>
      <w:szCs w:val="20"/>
    </w:rPr>
  </w:style>
  <w:style w:type="paragraph" w:customStyle="1" w:styleId="SP7299020">
    <w:name w:val="SP.7.299020"/>
    <w:basedOn w:val="Normal"/>
    <w:next w:val="Normal"/>
    <w:uiPriority w:val="99"/>
    <w:rsid w:val="002D3F13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Calcev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ounghoon.kwon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ho@etri.re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E333-C1DE-41A2-9D07-5645384D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3508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mtk30123</cp:lastModifiedBy>
  <cp:revision>3</cp:revision>
  <cp:lastPrinted>2010-05-04T03:47:00Z</cp:lastPrinted>
  <dcterms:created xsi:type="dcterms:W3CDTF">2014-03-19T06:35:00Z</dcterms:created>
  <dcterms:modified xsi:type="dcterms:W3CDTF">2014-03-19T06:41:00Z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flag">
    <vt:lpwstr>1387552049</vt:lpwstr>
  </property>
</Properties>
</file>