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BD459E">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D64BEA">
              <w:rPr>
                <w:lang w:eastAsia="ko-KR"/>
              </w:rPr>
              <w:t>9.49</w:t>
            </w:r>
            <w:r w:rsidR="00A46F2F">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45EE1">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D45EE1">
              <w:rPr>
                <w:rFonts w:hint="eastAsia"/>
                <w:b w:val="0"/>
                <w:sz w:val="20"/>
                <w:lang w:eastAsia="ko-KR"/>
              </w:rPr>
              <w:t>3-</w:t>
            </w:r>
            <w:r w:rsidR="00D45EE1">
              <w:rPr>
                <w:b w:val="0"/>
                <w:sz w:val="20"/>
                <w:lang w:eastAsia="ko-KR"/>
              </w:rPr>
              <w:t>16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383AF4" w:rsidP="003C7004">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George.Calcev@huawei.com</w:t>
              </w:r>
            </w:hyperlink>
          </w:p>
        </w:tc>
      </w:tr>
      <w:tr w:rsidR="00D7117A" w:rsidRPr="00183F4C" w:rsidTr="00B64495">
        <w:trPr>
          <w:jc w:val="center"/>
        </w:trPr>
        <w:tc>
          <w:tcPr>
            <w:tcW w:w="1548" w:type="dxa"/>
            <w:vAlign w:val="center"/>
          </w:tcPr>
          <w:p w:rsidR="00D7117A" w:rsidRPr="00183F4C" w:rsidRDefault="00D7117A" w:rsidP="00C23FB9">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D7117A" w:rsidRPr="00183F4C" w:rsidRDefault="00D7117A" w:rsidP="00C23FB9">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880" w:type="dxa"/>
            <w:vAlign w:val="center"/>
          </w:tcPr>
          <w:p w:rsidR="00D7117A" w:rsidRPr="00183F4C" w:rsidRDefault="00D7117A" w:rsidP="00C23FB9">
            <w:pPr>
              <w:pStyle w:val="T2"/>
              <w:spacing w:after="0"/>
              <w:ind w:left="0" w:right="0"/>
              <w:jc w:val="left"/>
              <w:rPr>
                <w:b w:val="0"/>
                <w:sz w:val="18"/>
                <w:szCs w:val="18"/>
              </w:rPr>
            </w:pPr>
          </w:p>
        </w:tc>
        <w:tc>
          <w:tcPr>
            <w:tcW w:w="1350" w:type="dxa"/>
            <w:vAlign w:val="center"/>
          </w:tcPr>
          <w:p w:rsidR="00D7117A" w:rsidRPr="00183F4C" w:rsidRDefault="00D7117A" w:rsidP="00C23FB9">
            <w:pPr>
              <w:pStyle w:val="T2"/>
              <w:spacing w:after="0"/>
              <w:ind w:left="0" w:right="0"/>
              <w:rPr>
                <w:b w:val="0"/>
                <w:sz w:val="18"/>
                <w:szCs w:val="18"/>
                <w:lang w:eastAsia="ko-KR"/>
              </w:rPr>
            </w:pPr>
          </w:p>
        </w:tc>
        <w:tc>
          <w:tcPr>
            <w:tcW w:w="2358" w:type="dxa"/>
            <w:vAlign w:val="center"/>
          </w:tcPr>
          <w:p w:rsidR="00D7117A" w:rsidRPr="00183F4C" w:rsidRDefault="00383AF4" w:rsidP="00C23FB9">
            <w:pPr>
              <w:pStyle w:val="T2"/>
              <w:spacing w:after="0"/>
              <w:ind w:left="0" w:right="0"/>
              <w:jc w:val="left"/>
              <w:rPr>
                <w:b w:val="0"/>
                <w:sz w:val="18"/>
                <w:szCs w:val="18"/>
                <w:lang w:eastAsia="ko-KR"/>
              </w:rPr>
            </w:pPr>
            <w:hyperlink r:id="rId9" w:history="1">
              <w:r w:rsidR="00D7117A" w:rsidRPr="008E686A">
                <w:rPr>
                  <w:rStyle w:val="Hyperlink"/>
                  <w:b w:val="0"/>
                  <w:sz w:val="18"/>
                  <w:szCs w:val="18"/>
                  <w:lang w:eastAsia="ko-KR"/>
                </w:rPr>
                <w:t>james</w:t>
              </w:r>
              <w:r w:rsidR="00D7117A" w:rsidRPr="008E686A">
                <w:rPr>
                  <w:rStyle w:val="Hyperlink"/>
                  <w:rFonts w:hint="eastAsia"/>
                  <w:b w:val="0"/>
                  <w:sz w:val="18"/>
                  <w:szCs w:val="18"/>
                  <w:lang w:eastAsia="ko-KR"/>
                </w:rPr>
                <w:t>.</w:t>
              </w:r>
              <w:r w:rsidR="00D7117A" w:rsidRPr="008E686A">
                <w:rPr>
                  <w:rStyle w:val="Hyperlink"/>
                  <w:b w:val="0"/>
                  <w:sz w:val="18"/>
                  <w:szCs w:val="18"/>
                  <w:lang w:eastAsia="ko-KR"/>
                </w:rPr>
                <w:t>wang</w:t>
              </w:r>
              <w:r w:rsidR="00D7117A" w:rsidRPr="008E686A">
                <w:rPr>
                  <w:rStyle w:val="Hyperlink"/>
                  <w:rFonts w:hint="eastAsia"/>
                  <w:b w:val="0"/>
                  <w:sz w:val="18"/>
                  <w:szCs w:val="18"/>
                  <w:lang w:eastAsia="ko-KR"/>
                </w:rPr>
                <w:t>@</w:t>
              </w:r>
              <w:r w:rsidR="00D7117A" w:rsidRPr="008E686A">
                <w:rPr>
                  <w:rStyle w:val="Hyperlink"/>
                  <w:b w:val="0"/>
                  <w:sz w:val="18"/>
                  <w:szCs w:val="18"/>
                  <w:lang w:eastAsia="ko-KR"/>
                </w:rPr>
                <w:t>meddiatek</w:t>
              </w:r>
              <w:r w:rsidR="00D7117A" w:rsidRPr="008E686A">
                <w:rPr>
                  <w:rStyle w:val="Hyperlink"/>
                  <w:rFonts w:hint="eastAsia"/>
                  <w:b w:val="0"/>
                  <w:sz w:val="18"/>
                  <w:szCs w:val="18"/>
                  <w:lang w:eastAsia="ko-KR"/>
                </w:rPr>
                <w:t>.com</w:t>
              </w:r>
            </w:hyperlink>
            <w:r w:rsidR="00D7117A">
              <w:rPr>
                <w:rFonts w:hint="eastAsia"/>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383AF4" w:rsidP="00B64495">
            <w:pPr>
              <w:pStyle w:val="T2"/>
              <w:spacing w:after="0"/>
              <w:ind w:left="0" w:right="0"/>
              <w:jc w:val="left"/>
              <w:rPr>
                <w:b w:val="0"/>
                <w:sz w:val="18"/>
                <w:szCs w:val="18"/>
                <w:lang w:eastAsia="ko-KR"/>
              </w:rPr>
            </w:pPr>
            <w:hyperlink r:id="rId10"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383AF4"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CC7311"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383AF4"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383AF4">
      <w:pPr>
        <w:pStyle w:val="T1"/>
        <w:spacing w:after="120"/>
        <w:rPr>
          <w:sz w:val="22"/>
        </w:rPr>
      </w:pPr>
      <w:r w:rsidRPr="00383AF4">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3D5B67">
                    <w:rPr>
                      <w:lang w:eastAsia="ko-KR"/>
                    </w:rPr>
                    <w:t>9.49</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F53F9C" w:rsidRDefault="00F53F9C" w:rsidP="00C6354A">
                  <w:pPr>
                    <w:pStyle w:val="ListParagraph"/>
                    <w:numPr>
                      <w:ilvl w:val="0"/>
                      <w:numId w:val="28"/>
                    </w:numPr>
                    <w:ind w:leftChars="0"/>
                    <w:jc w:val="both"/>
                  </w:pPr>
                  <w:r>
                    <w:rPr>
                      <w:rFonts w:hint="eastAsia"/>
                      <w:lang w:eastAsia="ko-KR"/>
                    </w:rPr>
                    <w:t>CIDs:</w:t>
                  </w:r>
                  <w:r w:rsidR="00005259">
                    <w:rPr>
                      <w:lang w:eastAsia="ko-KR"/>
                    </w:rPr>
                    <w:t>1268,</w:t>
                  </w:r>
                  <w:r w:rsidR="00EA7579">
                    <w:rPr>
                      <w:lang w:eastAsia="ko-KR"/>
                    </w:rPr>
                    <w:t>1358.1388,</w:t>
                  </w:r>
                  <w:r w:rsidR="00005259">
                    <w:rPr>
                      <w:lang w:eastAsia="ko-KR"/>
                    </w:rPr>
                    <w:t>1630,1932,1933,2052,2090,2463,2464</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1250"/>
        <w:gridCol w:w="972"/>
        <w:gridCol w:w="2457"/>
        <w:gridCol w:w="2089"/>
        <w:gridCol w:w="2835"/>
      </w:tblGrid>
      <w:tr w:rsidR="00005259" w:rsidTr="00932362">
        <w:trPr>
          <w:trHeight w:val="765"/>
        </w:trPr>
        <w:tc>
          <w:tcPr>
            <w:tcW w:w="927" w:type="dxa"/>
            <w:shd w:val="clear" w:color="auto" w:fill="auto"/>
            <w:hideMark/>
          </w:tcPr>
          <w:p w:rsidR="00005259" w:rsidRDefault="00005259">
            <w:pPr>
              <w:rPr>
                <w:rFonts w:ascii="Arial" w:hAnsi="Arial" w:cs="Arial"/>
                <w:b/>
                <w:bCs/>
                <w:sz w:val="20"/>
              </w:rPr>
            </w:pPr>
            <w:r>
              <w:rPr>
                <w:rFonts w:ascii="Arial" w:hAnsi="Arial" w:cs="Arial"/>
                <w:b/>
                <w:bCs/>
                <w:sz w:val="20"/>
              </w:rPr>
              <w:t>CID</w:t>
            </w:r>
          </w:p>
        </w:tc>
        <w:tc>
          <w:tcPr>
            <w:tcW w:w="1250" w:type="dxa"/>
            <w:shd w:val="clear" w:color="auto" w:fill="auto"/>
            <w:hideMark/>
          </w:tcPr>
          <w:p w:rsidR="00005259" w:rsidRDefault="00005259">
            <w:pPr>
              <w:rPr>
                <w:rFonts w:ascii="Arial" w:hAnsi="Arial" w:cs="Arial"/>
                <w:b/>
                <w:bCs/>
                <w:sz w:val="20"/>
              </w:rPr>
            </w:pPr>
            <w:r>
              <w:rPr>
                <w:rFonts w:ascii="Arial" w:hAnsi="Arial" w:cs="Arial"/>
                <w:b/>
                <w:bCs/>
                <w:sz w:val="20"/>
              </w:rPr>
              <w:t>Clause Number(C)</w:t>
            </w:r>
          </w:p>
        </w:tc>
        <w:tc>
          <w:tcPr>
            <w:tcW w:w="972" w:type="dxa"/>
            <w:shd w:val="clear" w:color="auto" w:fill="auto"/>
            <w:hideMark/>
          </w:tcPr>
          <w:p w:rsidR="00005259" w:rsidRDefault="00005259">
            <w:pPr>
              <w:rPr>
                <w:rFonts w:ascii="Arial" w:hAnsi="Arial" w:cs="Arial"/>
                <w:b/>
                <w:bCs/>
                <w:sz w:val="20"/>
              </w:rPr>
            </w:pPr>
            <w:r>
              <w:rPr>
                <w:rFonts w:ascii="Arial" w:hAnsi="Arial" w:cs="Arial"/>
                <w:b/>
                <w:bCs/>
                <w:sz w:val="20"/>
              </w:rPr>
              <w:t>Page(C)</w:t>
            </w:r>
          </w:p>
        </w:tc>
        <w:tc>
          <w:tcPr>
            <w:tcW w:w="2457" w:type="dxa"/>
            <w:shd w:val="clear" w:color="auto" w:fill="auto"/>
            <w:hideMark/>
          </w:tcPr>
          <w:p w:rsidR="00005259" w:rsidRDefault="00005259">
            <w:pPr>
              <w:rPr>
                <w:rFonts w:ascii="Arial" w:hAnsi="Arial" w:cs="Arial"/>
                <w:b/>
                <w:bCs/>
                <w:sz w:val="20"/>
              </w:rPr>
            </w:pPr>
            <w:r>
              <w:rPr>
                <w:rFonts w:ascii="Arial" w:hAnsi="Arial" w:cs="Arial"/>
                <w:b/>
                <w:bCs/>
                <w:sz w:val="20"/>
              </w:rPr>
              <w:t>Comment</w:t>
            </w:r>
          </w:p>
        </w:tc>
        <w:tc>
          <w:tcPr>
            <w:tcW w:w="2089" w:type="dxa"/>
            <w:shd w:val="clear" w:color="auto" w:fill="auto"/>
            <w:hideMark/>
          </w:tcPr>
          <w:p w:rsidR="00005259" w:rsidRDefault="00005259">
            <w:pPr>
              <w:rPr>
                <w:rFonts w:ascii="Arial" w:hAnsi="Arial" w:cs="Arial"/>
                <w:b/>
                <w:bCs/>
                <w:sz w:val="20"/>
              </w:rPr>
            </w:pPr>
            <w:r>
              <w:rPr>
                <w:rFonts w:ascii="Arial" w:hAnsi="Arial" w:cs="Arial"/>
                <w:b/>
                <w:bCs/>
                <w:sz w:val="20"/>
              </w:rPr>
              <w:t>Proposed Change</w:t>
            </w:r>
          </w:p>
        </w:tc>
        <w:tc>
          <w:tcPr>
            <w:tcW w:w="2835" w:type="dxa"/>
            <w:shd w:val="clear" w:color="auto" w:fill="auto"/>
            <w:hideMark/>
          </w:tcPr>
          <w:p w:rsidR="00005259" w:rsidRDefault="00005259">
            <w:pPr>
              <w:rPr>
                <w:rFonts w:ascii="Arial" w:hAnsi="Arial" w:cs="Arial"/>
                <w:b/>
                <w:bCs/>
                <w:sz w:val="20"/>
              </w:rPr>
            </w:pPr>
            <w:r>
              <w:rPr>
                <w:rFonts w:ascii="Arial" w:hAnsi="Arial" w:cs="Arial"/>
                <w:b/>
                <w:bCs/>
                <w:sz w:val="20"/>
              </w:rPr>
              <w:t>Resolution</w:t>
            </w:r>
          </w:p>
        </w:tc>
      </w:tr>
      <w:tr w:rsidR="00005259" w:rsidTr="00932362">
        <w:trPr>
          <w:trHeight w:val="153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1268</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"STA Type Support subfield is set to 2</w:t>
            </w:r>
            <w:proofErr w:type="gramStart"/>
            <w:r>
              <w:rPr>
                <w:rFonts w:ascii="Calibri" w:hAnsi="Calibri"/>
                <w:color w:val="000000"/>
                <w:szCs w:val="22"/>
              </w:rPr>
              <w:t>"  ---</w:t>
            </w:r>
            <w:proofErr w:type="gramEnd"/>
            <w:r>
              <w:rPr>
                <w:rFonts w:ascii="Calibri" w:hAnsi="Calibri"/>
                <w:color w:val="000000"/>
                <w:szCs w:val="22"/>
              </w:rPr>
              <w:t xml:space="preserve"> don't embed magic numbers.   Quite often these numbers are wrong, or they end up wrong if they started off right.</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Find a way of abstracting the value</w:t>
            </w:r>
            <w:r w:rsidR="00932362">
              <w:rPr>
                <w:rFonts w:ascii="Calibri" w:hAnsi="Calibri"/>
                <w:color w:val="000000"/>
                <w:szCs w:val="22"/>
              </w:rPr>
              <w:t>, such</w:t>
            </w:r>
            <w:r>
              <w:rPr>
                <w:rFonts w:ascii="Calibri" w:hAnsi="Calibri"/>
                <w:color w:val="000000"/>
                <w:szCs w:val="22"/>
              </w:rPr>
              <w:t xml:space="preserve"> as defining a name for it.   Likewise throughout this </w:t>
            </w:r>
            <w:proofErr w:type="spellStart"/>
            <w:r>
              <w:rPr>
                <w:rFonts w:ascii="Calibri" w:hAnsi="Calibri"/>
                <w:color w:val="000000"/>
                <w:szCs w:val="22"/>
              </w:rPr>
              <w:t>subclause</w:t>
            </w:r>
            <w:proofErr w:type="spellEnd"/>
            <w:r>
              <w:rPr>
                <w:rFonts w:ascii="Calibri" w:hAnsi="Calibri"/>
                <w:color w:val="000000"/>
                <w:szCs w:val="22"/>
              </w:rPr>
              <w:t>.</w:t>
            </w:r>
          </w:p>
        </w:tc>
        <w:tc>
          <w:tcPr>
            <w:tcW w:w="2835" w:type="dxa"/>
            <w:shd w:val="clear" w:color="auto" w:fill="auto"/>
            <w:hideMark/>
          </w:tcPr>
          <w:p w:rsidR="00005259" w:rsidRDefault="009F7755" w:rsidP="009F7755">
            <w:pPr>
              <w:rPr>
                <w:rFonts w:ascii="Calibri" w:hAnsi="Calibri"/>
                <w:color w:val="000000"/>
                <w:szCs w:val="22"/>
              </w:rPr>
            </w:pPr>
            <w:r>
              <w:rPr>
                <w:rFonts w:ascii="Calibri" w:hAnsi="Calibri"/>
                <w:color w:val="000000"/>
                <w:szCs w:val="22"/>
              </w:rPr>
              <w:t>Revise. Change the text to “STA Type Support field value indicates non-sensor STA”</w:t>
            </w:r>
          </w:p>
        </w:tc>
      </w:tr>
      <w:tr w:rsidR="00005259" w:rsidTr="00932362">
        <w:trPr>
          <w:trHeight w:val="357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1358</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It'd be a </w:t>
            </w:r>
            <w:proofErr w:type="spellStart"/>
            <w:r>
              <w:rPr>
                <w:rFonts w:ascii="Calibri" w:hAnsi="Calibri"/>
                <w:color w:val="000000"/>
                <w:szCs w:val="22"/>
              </w:rPr>
              <w:t>distruption</w:t>
            </w:r>
            <w:proofErr w:type="spellEnd"/>
            <w:r>
              <w:rPr>
                <w:rFonts w:ascii="Calibri" w:hAnsi="Calibri"/>
                <w:color w:val="000000"/>
                <w:szCs w:val="22"/>
              </w:rPr>
              <w:t xml:space="preserve"> if the AP changes its </w:t>
            </w:r>
            <w:proofErr w:type="spellStart"/>
            <w:r>
              <w:rPr>
                <w:rFonts w:ascii="Calibri" w:hAnsi="Calibri"/>
                <w:color w:val="000000"/>
                <w:szCs w:val="22"/>
              </w:rPr>
              <w:t>suport</w:t>
            </w:r>
            <w:proofErr w:type="spellEnd"/>
            <w:r>
              <w:rPr>
                <w:rFonts w:ascii="Calibri" w:hAnsi="Calibri"/>
                <w:color w:val="000000"/>
                <w:szCs w:val="22"/>
              </w:rPr>
              <w:t xml:space="preserve"> from sensor type to non-sensor type or the other way. What happens if the associated sensors are in sleep mode and later wake up to find out the BSS is changed to non-sensor </w:t>
            </w:r>
            <w:proofErr w:type="gramStart"/>
            <w:r>
              <w:rPr>
                <w:rFonts w:ascii="Calibri" w:hAnsi="Calibri"/>
                <w:color w:val="000000"/>
                <w:szCs w:val="22"/>
              </w:rPr>
              <w:t>type.</w:t>
            </w:r>
            <w:proofErr w:type="gramEnd"/>
            <w:r>
              <w:rPr>
                <w:rFonts w:ascii="Calibri" w:hAnsi="Calibri"/>
                <w:color w:val="000000"/>
                <w:szCs w:val="22"/>
              </w:rPr>
              <w:t xml:space="preserve"> There are more scenarios similar to this that would cause a </w:t>
            </w:r>
            <w:proofErr w:type="spellStart"/>
            <w:r>
              <w:rPr>
                <w:rFonts w:ascii="Calibri" w:hAnsi="Calibri"/>
                <w:color w:val="000000"/>
                <w:szCs w:val="22"/>
              </w:rPr>
              <w:t>distruption</w:t>
            </w:r>
            <w:proofErr w:type="spellEnd"/>
            <w:r>
              <w:rPr>
                <w:rFonts w:ascii="Calibri" w:hAnsi="Calibri"/>
                <w:color w:val="000000"/>
                <w:szCs w:val="22"/>
              </w:rPr>
              <w:t xml:space="preserve"> of the operation of the STAs.</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Provide a more graceful procedure that AP should go through in changing its support from </w:t>
            </w:r>
            <w:proofErr w:type="spellStart"/>
            <w:r>
              <w:rPr>
                <w:rFonts w:ascii="Calibri" w:hAnsi="Calibri"/>
                <w:color w:val="000000"/>
                <w:szCs w:val="22"/>
              </w:rPr>
              <w:t>from</w:t>
            </w:r>
            <w:proofErr w:type="spellEnd"/>
            <w:r>
              <w:rPr>
                <w:rFonts w:ascii="Calibri" w:hAnsi="Calibri"/>
                <w:color w:val="000000"/>
                <w:szCs w:val="22"/>
              </w:rPr>
              <w:t xml:space="preserve"> type to another. Should AP </w:t>
            </w:r>
            <w:proofErr w:type="gramStart"/>
            <w:r>
              <w:rPr>
                <w:rFonts w:ascii="Calibri" w:hAnsi="Calibri"/>
                <w:color w:val="000000"/>
                <w:szCs w:val="22"/>
              </w:rPr>
              <w:t>disassociates</w:t>
            </w:r>
            <w:proofErr w:type="gramEnd"/>
            <w:r>
              <w:rPr>
                <w:rFonts w:ascii="Calibri" w:hAnsi="Calibri"/>
                <w:color w:val="000000"/>
                <w:szCs w:val="22"/>
              </w:rPr>
              <w:t xml:space="preserve"> with all STAs before changing its support type?</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Reject. The text provides an explanation on how this work. The station needs to </w:t>
            </w:r>
            <w:proofErr w:type="spellStart"/>
            <w:r>
              <w:rPr>
                <w:rFonts w:ascii="Calibri" w:hAnsi="Calibri"/>
                <w:color w:val="000000"/>
                <w:szCs w:val="22"/>
              </w:rPr>
              <w:t>dis</w:t>
            </w:r>
            <w:proofErr w:type="spellEnd"/>
            <w:r>
              <w:rPr>
                <w:rFonts w:ascii="Calibri" w:hAnsi="Calibri"/>
                <w:color w:val="000000"/>
                <w:szCs w:val="22"/>
              </w:rPr>
              <w:t xml:space="preserve">-associate when becomes aware about the change. This allows the stations that sleep to disassociate when the wake up and learn about the change in status. An alternative would be to </w:t>
            </w:r>
            <w:proofErr w:type="spellStart"/>
            <w:r>
              <w:rPr>
                <w:rFonts w:ascii="Calibri" w:hAnsi="Calibri"/>
                <w:color w:val="000000"/>
                <w:szCs w:val="22"/>
              </w:rPr>
              <w:t>disassocaite</w:t>
            </w:r>
            <w:proofErr w:type="spellEnd"/>
            <w:r>
              <w:rPr>
                <w:rFonts w:ascii="Calibri" w:hAnsi="Calibri"/>
                <w:color w:val="000000"/>
                <w:szCs w:val="22"/>
              </w:rPr>
              <w:t xml:space="preserve"> first and providing the reason for </w:t>
            </w:r>
            <w:proofErr w:type="spellStart"/>
            <w:r>
              <w:rPr>
                <w:rFonts w:ascii="Calibri" w:hAnsi="Calibri"/>
                <w:color w:val="000000"/>
                <w:szCs w:val="22"/>
              </w:rPr>
              <w:t>dissassociation</w:t>
            </w:r>
            <w:proofErr w:type="spellEnd"/>
            <w:r>
              <w:rPr>
                <w:rFonts w:ascii="Calibri" w:hAnsi="Calibri"/>
                <w:color w:val="000000"/>
                <w:szCs w:val="22"/>
              </w:rPr>
              <w:t xml:space="preserve"> and then change the support type.</w:t>
            </w:r>
          </w:p>
        </w:tc>
      </w:tr>
      <w:tr w:rsidR="00005259" w:rsidTr="00932362">
        <w:trPr>
          <w:trHeight w:val="3825"/>
        </w:trPr>
        <w:tc>
          <w:tcPr>
            <w:tcW w:w="927" w:type="dxa"/>
            <w:shd w:val="clear" w:color="auto" w:fill="auto"/>
            <w:hideMark/>
          </w:tcPr>
          <w:p w:rsidR="00005259" w:rsidRDefault="00005259" w:rsidP="00247D61">
            <w:pPr>
              <w:ind w:left="-994" w:firstLine="994"/>
              <w:jc w:val="right"/>
              <w:rPr>
                <w:rFonts w:ascii="Calibri" w:hAnsi="Calibri"/>
                <w:color w:val="000000"/>
                <w:szCs w:val="22"/>
              </w:rPr>
            </w:pPr>
            <w:r>
              <w:rPr>
                <w:rFonts w:ascii="Calibri" w:hAnsi="Calibri"/>
                <w:color w:val="000000"/>
                <w:szCs w:val="22"/>
              </w:rPr>
              <w:lastRenderedPageBreak/>
              <w:t>1388</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The first </w:t>
            </w:r>
            <w:proofErr w:type="gramStart"/>
            <w:r>
              <w:rPr>
                <w:rFonts w:ascii="Calibri" w:hAnsi="Calibri"/>
                <w:color w:val="000000"/>
                <w:szCs w:val="22"/>
              </w:rPr>
              <w:t xml:space="preserve">sentence of each of the first three paragraphs of the </w:t>
            </w:r>
            <w:proofErr w:type="spellStart"/>
            <w:r>
              <w:rPr>
                <w:rFonts w:ascii="Calibri" w:hAnsi="Calibri"/>
                <w:color w:val="000000"/>
                <w:szCs w:val="22"/>
              </w:rPr>
              <w:t>subclause</w:t>
            </w:r>
            <w:proofErr w:type="spellEnd"/>
            <w:r>
              <w:rPr>
                <w:rFonts w:ascii="Calibri" w:hAnsi="Calibri"/>
                <w:color w:val="000000"/>
                <w:szCs w:val="22"/>
              </w:rPr>
              <w:t xml:space="preserve"> have</w:t>
            </w:r>
            <w:proofErr w:type="gramEnd"/>
            <w:r>
              <w:rPr>
                <w:rFonts w:ascii="Calibri" w:hAnsi="Calibri"/>
                <w:color w:val="000000"/>
                <w:szCs w:val="22"/>
              </w:rPr>
              <w:t xml:space="preserve"> some </w:t>
            </w:r>
            <w:proofErr w:type="spellStart"/>
            <w:r>
              <w:rPr>
                <w:rFonts w:ascii="Calibri" w:hAnsi="Calibri"/>
                <w:color w:val="000000"/>
                <w:szCs w:val="22"/>
              </w:rPr>
              <w:t>unneccessary</w:t>
            </w:r>
            <w:proofErr w:type="spellEnd"/>
            <w:r>
              <w:rPr>
                <w:rFonts w:ascii="Calibri" w:hAnsi="Calibri"/>
                <w:color w:val="000000"/>
                <w:szCs w:val="22"/>
              </w:rPr>
              <w:t xml:space="preserve"> redundancy and can be re-phrased to be clearer. For example the first sentence: " An AP may indicate that the AP only supports a Sensor type STA by transmitting the S1g Capabilities element in Beacon or Probe Response frames in which the STA Type Support subfield is set to 1."</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Replace the first sentences of each of the first three paragraphs taking as a basis the following editorial change for the sentence in the first paragraph: "An AP may indicate that it supports only Sensor type STAs by setting the STA Type Support subfield in the S1G Capabilities element to 1."</w:t>
            </w:r>
          </w:p>
        </w:tc>
        <w:tc>
          <w:tcPr>
            <w:tcW w:w="2835" w:type="dxa"/>
            <w:shd w:val="clear" w:color="auto" w:fill="auto"/>
            <w:hideMark/>
          </w:tcPr>
          <w:p w:rsidR="00005259" w:rsidRDefault="00AF7A3E">
            <w:pPr>
              <w:rPr>
                <w:rFonts w:ascii="Calibri" w:hAnsi="Calibri"/>
                <w:color w:val="000000"/>
                <w:szCs w:val="22"/>
              </w:rPr>
            </w:pPr>
            <w:r>
              <w:rPr>
                <w:rFonts w:ascii="Calibri" w:hAnsi="Calibri"/>
                <w:color w:val="000000"/>
                <w:szCs w:val="22"/>
              </w:rPr>
              <w:t>Revised, for the editor please see the text resolution for CID 1268</w:t>
            </w:r>
          </w:p>
        </w:tc>
      </w:tr>
      <w:tr w:rsidR="00005259" w:rsidTr="00932362">
        <w:trPr>
          <w:trHeight w:val="2295"/>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1630</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Why do we need a capability for an AP to dynamically support and not support sensor only STAs?  Why is it the STAs responsibility to determine when the AP has changed support?  Seems like a waste of resources for the sensor STA.</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Remove the requirement for sensor type STAs to monitor AP support.</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Reject. There is no additional resources involved for monitoring, whenever the stations wake up or re-synchronize with the AP they have the opportunity to find if anything change, only in that case they should </w:t>
            </w:r>
            <w:proofErr w:type="spellStart"/>
            <w:r>
              <w:rPr>
                <w:rFonts w:ascii="Calibri" w:hAnsi="Calibri"/>
                <w:color w:val="000000"/>
                <w:szCs w:val="22"/>
              </w:rPr>
              <w:t>dis</w:t>
            </w:r>
            <w:proofErr w:type="spellEnd"/>
            <w:r>
              <w:rPr>
                <w:rFonts w:ascii="Calibri" w:hAnsi="Calibri"/>
                <w:color w:val="000000"/>
                <w:szCs w:val="22"/>
              </w:rPr>
              <w:t>-associate from AP.</w:t>
            </w:r>
          </w:p>
        </w:tc>
      </w:tr>
      <w:tr w:rsidR="00005259" w:rsidTr="00932362">
        <w:trPr>
          <w:trHeight w:val="51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1932</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232</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I think 9.49 should be in Clause 10</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Move to Clause 10 if appropriate</w:t>
            </w:r>
          </w:p>
        </w:tc>
        <w:tc>
          <w:tcPr>
            <w:tcW w:w="2835" w:type="dxa"/>
            <w:shd w:val="clear" w:color="auto" w:fill="auto"/>
            <w:hideMark/>
          </w:tcPr>
          <w:p w:rsidR="00005259" w:rsidRDefault="0051183D">
            <w:pPr>
              <w:rPr>
                <w:rFonts w:ascii="Calibri" w:hAnsi="Calibri"/>
                <w:color w:val="000000"/>
                <w:szCs w:val="22"/>
              </w:rPr>
            </w:pPr>
            <w:r>
              <w:rPr>
                <w:rFonts w:ascii="Calibri" w:hAnsi="Calibri"/>
                <w:color w:val="000000"/>
                <w:szCs w:val="22"/>
              </w:rPr>
              <w:t>Accept</w:t>
            </w:r>
            <w:r w:rsidR="00005259">
              <w:rPr>
                <w:rFonts w:ascii="Calibri" w:hAnsi="Calibri"/>
                <w:color w:val="000000"/>
                <w:szCs w:val="22"/>
              </w:rPr>
              <w:t>.</w:t>
            </w:r>
            <w:r w:rsidR="001C5238">
              <w:rPr>
                <w:rFonts w:ascii="Calibri" w:hAnsi="Calibri"/>
                <w:color w:val="000000"/>
                <w:szCs w:val="22"/>
              </w:rPr>
              <w:t xml:space="preserve"> For the editor: please add Clause 9.49 to the end of Clause 10.47</w:t>
            </w:r>
          </w:p>
        </w:tc>
      </w:tr>
      <w:tr w:rsidR="00005259" w:rsidTr="00932362">
        <w:trPr>
          <w:trHeight w:val="3825"/>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1933</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232</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Where is 'Sensor type STA defined?  I can't find it.</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Define what a "Sensor type STA" is</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Reject. This document does not define the characteristics of Sensor </w:t>
            </w:r>
            <w:proofErr w:type="gramStart"/>
            <w:r>
              <w:rPr>
                <w:rFonts w:ascii="Calibri" w:hAnsi="Calibri"/>
                <w:color w:val="000000"/>
                <w:szCs w:val="22"/>
              </w:rPr>
              <w:t>STA,</w:t>
            </w:r>
            <w:proofErr w:type="gramEnd"/>
            <w:r>
              <w:rPr>
                <w:rFonts w:ascii="Calibri" w:hAnsi="Calibri"/>
                <w:color w:val="000000"/>
                <w:szCs w:val="22"/>
              </w:rPr>
              <w:t xml:space="preserve"> just offer the </w:t>
            </w:r>
            <w:proofErr w:type="spellStart"/>
            <w:r>
              <w:rPr>
                <w:rFonts w:ascii="Calibri" w:hAnsi="Calibri"/>
                <w:color w:val="000000"/>
                <w:szCs w:val="22"/>
              </w:rPr>
              <w:t>signaling</w:t>
            </w:r>
            <w:proofErr w:type="spellEnd"/>
            <w:r>
              <w:rPr>
                <w:rFonts w:ascii="Calibri" w:hAnsi="Calibri"/>
                <w:color w:val="000000"/>
                <w:szCs w:val="22"/>
              </w:rPr>
              <w:t xml:space="preserve"> support for such class. The class of sensor STA is mentioned in several places in this document including the PAR. Sensor STA is just a label used for a type stations and for the </w:t>
            </w:r>
            <w:proofErr w:type="spellStart"/>
            <w:r>
              <w:rPr>
                <w:rFonts w:ascii="Calibri" w:hAnsi="Calibri"/>
                <w:color w:val="000000"/>
                <w:szCs w:val="22"/>
              </w:rPr>
              <w:t>signaling</w:t>
            </w:r>
            <w:proofErr w:type="spellEnd"/>
            <w:r>
              <w:rPr>
                <w:rFonts w:ascii="Calibri" w:hAnsi="Calibri"/>
                <w:color w:val="000000"/>
                <w:szCs w:val="22"/>
              </w:rPr>
              <w:t xml:space="preserve"> associated with those. What stations belong to this category is left for the operator and deployment decision.</w:t>
            </w:r>
          </w:p>
        </w:tc>
      </w:tr>
      <w:tr w:rsidR="00005259" w:rsidTr="00932362">
        <w:trPr>
          <w:trHeight w:val="1275"/>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lastRenderedPageBreak/>
              <w:t>2052</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short beacon and short probe response frame can also include S1G Capabilities element</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Change "Beacon frames or Probe Response frames" to "(short) Beacon frames or (short) Probe Response frames" in the clause</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Accept.</w:t>
            </w:r>
          </w:p>
        </w:tc>
      </w:tr>
      <w:tr w:rsidR="00005259" w:rsidTr="00932362">
        <w:trPr>
          <w:trHeight w:val="153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2090</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232</w:t>
            </w:r>
          </w:p>
        </w:tc>
        <w:tc>
          <w:tcPr>
            <w:tcW w:w="2457" w:type="dxa"/>
            <w:shd w:val="clear" w:color="auto" w:fill="auto"/>
            <w:hideMark/>
          </w:tcPr>
          <w:p w:rsidR="00005259" w:rsidRDefault="00005259">
            <w:pPr>
              <w:rPr>
                <w:rFonts w:ascii="Calibri" w:hAnsi="Calibri"/>
                <w:color w:val="000000"/>
                <w:szCs w:val="22"/>
              </w:rPr>
            </w:pPr>
            <w:proofErr w:type="gramStart"/>
            <w:r>
              <w:rPr>
                <w:rFonts w:ascii="Calibri" w:hAnsi="Calibri"/>
                <w:color w:val="000000"/>
                <w:szCs w:val="22"/>
              </w:rPr>
              <w:t>how</w:t>
            </w:r>
            <w:proofErr w:type="gramEnd"/>
            <w:r>
              <w:rPr>
                <w:rFonts w:ascii="Calibri" w:hAnsi="Calibri"/>
                <w:color w:val="000000"/>
                <w:szCs w:val="22"/>
              </w:rPr>
              <w:t xml:space="preserve"> does a root AP express that it only accepts sensors and relays? </w:t>
            </w:r>
            <w:proofErr w:type="gramStart"/>
            <w:r>
              <w:rPr>
                <w:rFonts w:ascii="Calibri" w:hAnsi="Calibri"/>
                <w:color w:val="000000"/>
                <w:szCs w:val="22"/>
              </w:rPr>
              <w:t>how</w:t>
            </w:r>
            <w:proofErr w:type="gramEnd"/>
            <w:r>
              <w:rPr>
                <w:rFonts w:ascii="Calibri" w:hAnsi="Calibri"/>
                <w:color w:val="000000"/>
                <w:szCs w:val="22"/>
              </w:rPr>
              <w:t xml:space="preserve"> does it know that there needs to be a relay to get to the sensors?</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 xml:space="preserve">Use option 3 in Type support subfield to indicate </w:t>
            </w:r>
            <w:proofErr w:type="gramStart"/>
            <w:r>
              <w:rPr>
                <w:rFonts w:ascii="Calibri" w:hAnsi="Calibri"/>
                <w:color w:val="000000"/>
                <w:szCs w:val="22"/>
              </w:rPr>
              <w:t>sensor  and</w:t>
            </w:r>
            <w:proofErr w:type="gramEnd"/>
            <w:r>
              <w:rPr>
                <w:rFonts w:ascii="Calibri" w:hAnsi="Calibri"/>
                <w:color w:val="000000"/>
                <w:szCs w:val="22"/>
              </w:rPr>
              <w:t xml:space="preserve"> relays only. Add that in that case, the relay would accept only sensors (option 1 in type support subfield)</w:t>
            </w:r>
          </w:p>
        </w:tc>
        <w:tc>
          <w:tcPr>
            <w:tcW w:w="2835" w:type="dxa"/>
            <w:shd w:val="clear" w:color="auto" w:fill="auto"/>
            <w:hideMark/>
          </w:tcPr>
          <w:p w:rsidR="00005259" w:rsidRDefault="008D55B6" w:rsidP="008D55B6">
            <w:pPr>
              <w:rPr>
                <w:rFonts w:ascii="Calibri" w:hAnsi="Calibri"/>
                <w:color w:val="000000"/>
                <w:szCs w:val="22"/>
              </w:rPr>
            </w:pPr>
            <w:r>
              <w:rPr>
                <w:rFonts w:ascii="Calibri" w:hAnsi="Calibri"/>
                <w:color w:val="000000"/>
                <w:szCs w:val="22"/>
              </w:rPr>
              <w:t xml:space="preserve">Reject. There is no restriction on the relay </w:t>
            </w:r>
            <w:proofErr w:type="spellStart"/>
            <w:r>
              <w:rPr>
                <w:rFonts w:ascii="Calibri" w:hAnsi="Calibri"/>
                <w:color w:val="000000"/>
                <w:szCs w:val="22"/>
              </w:rPr>
              <w:t>conectivity</w:t>
            </w:r>
            <w:proofErr w:type="spellEnd"/>
            <w:r>
              <w:rPr>
                <w:rFonts w:ascii="Calibri" w:hAnsi="Calibri"/>
                <w:color w:val="000000"/>
                <w:szCs w:val="22"/>
              </w:rPr>
              <w:t>, only on the direct association of sensors or offloading (non-sensor) devices. The relay acceptance of the sensors should be addressed in the relay section.</w:t>
            </w:r>
          </w:p>
        </w:tc>
      </w:tr>
      <w:tr w:rsidR="00005259" w:rsidTr="00932362">
        <w:trPr>
          <w:trHeight w:val="51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2463</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"de-association"</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"disassociation"</w:t>
            </w:r>
          </w:p>
        </w:tc>
        <w:tc>
          <w:tcPr>
            <w:tcW w:w="2835" w:type="dxa"/>
            <w:shd w:val="clear" w:color="auto" w:fill="auto"/>
            <w:hideMark/>
          </w:tcPr>
          <w:p w:rsidR="00005259" w:rsidRDefault="00005259">
            <w:pPr>
              <w:rPr>
                <w:rFonts w:ascii="Calibri" w:hAnsi="Calibri"/>
                <w:color w:val="000000"/>
                <w:szCs w:val="22"/>
              </w:rPr>
            </w:pPr>
            <w:r>
              <w:rPr>
                <w:rFonts w:ascii="Calibri" w:hAnsi="Calibri"/>
                <w:color w:val="000000"/>
                <w:szCs w:val="22"/>
              </w:rPr>
              <w:t>Accept</w:t>
            </w:r>
          </w:p>
        </w:tc>
      </w:tr>
      <w:tr w:rsidR="00005259" w:rsidTr="00932362">
        <w:trPr>
          <w:trHeight w:val="1020"/>
        </w:trPr>
        <w:tc>
          <w:tcPr>
            <w:tcW w:w="927" w:type="dxa"/>
            <w:shd w:val="clear" w:color="auto" w:fill="auto"/>
            <w:hideMark/>
          </w:tcPr>
          <w:p w:rsidR="00005259" w:rsidRDefault="00005259">
            <w:pPr>
              <w:jc w:val="right"/>
              <w:rPr>
                <w:rFonts w:ascii="Calibri" w:hAnsi="Calibri"/>
                <w:color w:val="000000"/>
                <w:szCs w:val="22"/>
              </w:rPr>
            </w:pPr>
            <w:r>
              <w:rPr>
                <w:rFonts w:ascii="Calibri" w:hAnsi="Calibri"/>
                <w:color w:val="000000"/>
                <w:szCs w:val="22"/>
              </w:rPr>
              <w:t>2464</w:t>
            </w:r>
          </w:p>
        </w:tc>
        <w:tc>
          <w:tcPr>
            <w:tcW w:w="1250" w:type="dxa"/>
            <w:shd w:val="clear" w:color="auto" w:fill="auto"/>
            <w:hideMark/>
          </w:tcPr>
          <w:p w:rsidR="00005259" w:rsidRDefault="00005259">
            <w:pPr>
              <w:rPr>
                <w:rFonts w:ascii="Calibri" w:hAnsi="Calibri"/>
                <w:color w:val="000000"/>
                <w:szCs w:val="22"/>
              </w:rPr>
            </w:pPr>
            <w:r>
              <w:rPr>
                <w:rFonts w:ascii="Calibri" w:hAnsi="Calibri"/>
                <w:color w:val="000000"/>
                <w:szCs w:val="22"/>
              </w:rPr>
              <w:t>9.49</w:t>
            </w:r>
          </w:p>
        </w:tc>
        <w:tc>
          <w:tcPr>
            <w:tcW w:w="972" w:type="dxa"/>
            <w:shd w:val="clear" w:color="auto" w:fill="auto"/>
            <w:hideMark/>
          </w:tcPr>
          <w:p w:rsidR="00005259" w:rsidRDefault="00005259">
            <w:pPr>
              <w:rPr>
                <w:rFonts w:ascii="Calibri" w:hAnsi="Calibri"/>
                <w:color w:val="000000"/>
                <w:szCs w:val="22"/>
              </w:rPr>
            </w:pPr>
            <w:r>
              <w:rPr>
                <w:rFonts w:ascii="Calibri" w:hAnsi="Calibri"/>
                <w:color w:val="000000"/>
                <w:szCs w:val="22"/>
              </w:rPr>
              <w:t>210</w:t>
            </w:r>
          </w:p>
        </w:tc>
        <w:tc>
          <w:tcPr>
            <w:tcW w:w="2457" w:type="dxa"/>
            <w:shd w:val="clear" w:color="auto" w:fill="auto"/>
            <w:hideMark/>
          </w:tcPr>
          <w:p w:rsidR="00005259" w:rsidRDefault="00005259">
            <w:pPr>
              <w:rPr>
                <w:rFonts w:ascii="Calibri" w:hAnsi="Calibri"/>
                <w:color w:val="000000"/>
                <w:szCs w:val="22"/>
              </w:rPr>
            </w:pPr>
            <w:r>
              <w:rPr>
                <w:rFonts w:ascii="Calibri" w:hAnsi="Calibri"/>
                <w:color w:val="000000"/>
                <w:szCs w:val="22"/>
              </w:rPr>
              <w:t>Why doesn't the AP which has changed its mind just disassociate all the now-spurned STAs?</w:t>
            </w:r>
          </w:p>
        </w:tc>
        <w:tc>
          <w:tcPr>
            <w:tcW w:w="2089" w:type="dxa"/>
            <w:shd w:val="clear" w:color="auto" w:fill="auto"/>
            <w:hideMark/>
          </w:tcPr>
          <w:p w:rsidR="00005259" w:rsidRDefault="00005259">
            <w:pPr>
              <w:rPr>
                <w:rFonts w:ascii="Calibri" w:hAnsi="Calibri"/>
                <w:color w:val="000000"/>
                <w:szCs w:val="22"/>
              </w:rPr>
            </w:pPr>
            <w:r>
              <w:rPr>
                <w:rFonts w:ascii="Calibri" w:hAnsi="Calibri"/>
                <w:color w:val="000000"/>
                <w:szCs w:val="22"/>
              </w:rPr>
              <w:t>Change to "When an AP ceases to support a STA type, it shall disassociate STAs of that type"</w:t>
            </w:r>
          </w:p>
        </w:tc>
        <w:tc>
          <w:tcPr>
            <w:tcW w:w="2835" w:type="dxa"/>
            <w:shd w:val="clear" w:color="auto" w:fill="auto"/>
            <w:hideMark/>
          </w:tcPr>
          <w:p w:rsidR="00005259" w:rsidRDefault="008D55B6">
            <w:pPr>
              <w:rPr>
                <w:rFonts w:ascii="Calibri" w:hAnsi="Calibri"/>
                <w:color w:val="000000"/>
                <w:szCs w:val="22"/>
              </w:rPr>
            </w:pPr>
            <w:r>
              <w:rPr>
                <w:rFonts w:ascii="Calibri" w:hAnsi="Calibri"/>
                <w:color w:val="000000"/>
                <w:szCs w:val="22"/>
              </w:rPr>
              <w:t xml:space="preserve">Reject. The text already specifies the behaviour when the AP changes its restriction. The STA will disassociate when they get the information, as some of them are in deep sleep mode. What commenter proposes is a new behaviour. </w:t>
            </w:r>
          </w:p>
        </w:tc>
      </w:tr>
    </w:tbl>
    <w:p w:rsidR="00236DDA" w:rsidRDefault="00236DDA"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CID 1268</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Discussion</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b/>
          <w:szCs w:val="22"/>
          <w:lang w:val="en-US" w:eastAsia="ko-KR"/>
        </w:rPr>
      </w:pPr>
      <w:r>
        <w:rPr>
          <w:b/>
          <w:szCs w:val="22"/>
          <w:lang w:val="en-US" w:eastAsia="ko-KR"/>
        </w:rPr>
        <w:t xml:space="preserve">Resolution </w:t>
      </w:r>
    </w:p>
    <w:p w:rsidR="002B1B87" w:rsidRDefault="002B1B87" w:rsidP="009709A2">
      <w:pPr>
        <w:widowControl w:val="0"/>
        <w:autoSpaceDE w:val="0"/>
        <w:autoSpaceDN w:val="0"/>
        <w:adjustRightInd w:val="0"/>
        <w:rPr>
          <w:b/>
          <w:szCs w:val="22"/>
          <w:lang w:val="en-US" w:eastAsia="ko-KR"/>
        </w:rPr>
      </w:pPr>
    </w:p>
    <w:p w:rsidR="002B1B87" w:rsidRDefault="002B1B87" w:rsidP="009709A2">
      <w:pPr>
        <w:widowControl w:val="0"/>
        <w:autoSpaceDE w:val="0"/>
        <w:autoSpaceDN w:val="0"/>
        <w:adjustRightInd w:val="0"/>
        <w:rPr>
          <w:i/>
          <w:szCs w:val="22"/>
          <w:lang w:val="en-US" w:eastAsia="ko-KR"/>
        </w:rPr>
      </w:pPr>
      <w:r w:rsidRPr="002B1B87">
        <w:rPr>
          <w:i/>
          <w:szCs w:val="22"/>
          <w:lang w:val="en-US" w:eastAsia="ko-KR"/>
        </w:rPr>
        <w:t xml:space="preserve">Instruct the editor </w:t>
      </w:r>
      <w:r>
        <w:rPr>
          <w:i/>
          <w:szCs w:val="22"/>
          <w:lang w:val="en-US" w:eastAsia="ko-KR"/>
        </w:rPr>
        <w:t xml:space="preserve">to change the text in 9.49 p 210 by removing reference to absolute values such 1 and 2 and replace it </w:t>
      </w:r>
      <w:proofErr w:type="gramStart"/>
      <w:r>
        <w:rPr>
          <w:i/>
          <w:szCs w:val="22"/>
          <w:lang w:val="en-US" w:eastAsia="ko-KR"/>
        </w:rPr>
        <w:t xml:space="preserve">with </w:t>
      </w:r>
      <w:r w:rsidR="00F9329D">
        <w:rPr>
          <w:i/>
          <w:szCs w:val="22"/>
          <w:lang w:val="en-US" w:eastAsia="ko-KR"/>
        </w:rPr>
        <w:t xml:space="preserve">an </w:t>
      </w:r>
      <w:r>
        <w:rPr>
          <w:i/>
          <w:szCs w:val="22"/>
          <w:lang w:val="en-US" w:eastAsia="ko-KR"/>
        </w:rPr>
        <w:t>abstract indications</w:t>
      </w:r>
      <w:proofErr w:type="gramEnd"/>
      <w:r>
        <w:rPr>
          <w:i/>
          <w:szCs w:val="22"/>
          <w:lang w:val="en-US" w:eastAsia="ko-KR"/>
        </w:rPr>
        <w:t xml:space="preserve"> as follows:</w:t>
      </w:r>
    </w:p>
    <w:p w:rsidR="002B1B87" w:rsidRDefault="002B1B87" w:rsidP="009709A2">
      <w:pPr>
        <w:widowControl w:val="0"/>
        <w:autoSpaceDE w:val="0"/>
        <w:autoSpaceDN w:val="0"/>
        <w:adjustRightInd w:val="0"/>
        <w:rPr>
          <w:i/>
          <w:szCs w:val="22"/>
          <w:lang w:val="en-US" w:eastAsia="ko-KR"/>
        </w:rPr>
      </w:pPr>
    </w:p>
    <w:p w:rsidR="002B1B87" w:rsidRDefault="002B1B87" w:rsidP="002B1B8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may indicate that the AP only supports a Sensor type STA by transmitting the S1G Capabilities element in Beacon frames or Probe Response frames in which the STA Type Support subfield value indicates that only Sensor type STAs are allowed to associate and operate with that AP.</w:t>
      </w:r>
    </w:p>
    <w:p w:rsidR="002B1B87" w:rsidRDefault="002B1B87" w:rsidP="002B1B8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may indicate that the AP only supports non-Sensor type STAs by transmitting the S1G Capabilities</w:t>
      </w:r>
      <w:r w:rsidR="00AF7A3E">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element in Beacon frames or Probe Response frames in which the STA Type Support subfield value indicates that only non-sensor STA are allowed to associate and operate.</w:t>
      </w:r>
    </w:p>
    <w:p w:rsidR="002B1B87" w:rsidRDefault="002B1B87" w:rsidP="002B1B8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may indicate that the AP supports both Sensor type and non-Sensor type STAs by transmitting the</w:t>
      </w:r>
    </w:p>
    <w:p w:rsidR="002B1B87" w:rsidRDefault="002B1B87" w:rsidP="002B1B8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S1G Capabilities element in a Beacon or a Probe Response frame, in which the STA Type Support subfield</w:t>
      </w:r>
    </w:p>
    <w:p w:rsidR="002B1B87" w:rsidRPr="002B1B87" w:rsidRDefault="002B1B87" w:rsidP="002B1B87">
      <w:pPr>
        <w:widowControl w:val="0"/>
        <w:autoSpaceDE w:val="0"/>
        <w:autoSpaceDN w:val="0"/>
        <w:adjustRightInd w:val="0"/>
        <w:rPr>
          <w:i/>
          <w:szCs w:val="22"/>
          <w:lang w:val="en-US" w:eastAsia="ko-KR"/>
        </w:rPr>
      </w:pPr>
      <w:r>
        <w:rPr>
          <w:rFonts w:ascii="TimesNewRomanPSMT" w:hAnsi="TimesNewRomanPSMT" w:cs="TimesNewRomanPSMT"/>
          <w:sz w:val="20"/>
          <w:lang w:val="en-US" w:eastAsia="ko-KR"/>
        </w:rPr>
        <w:t>Value indicates that any type of STA is allowed to associate and operate with the AP.”</w:t>
      </w:r>
      <w:r>
        <w:rPr>
          <w:i/>
          <w:szCs w:val="22"/>
          <w:lang w:val="en-US" w:eastAsia="ko-KR"/>
        </w:rPr>
        <w:t xml:space="preserve"> </w:t>
      </w:r>
    </w:p>
    <w:sectPr w:rsidR="002B1B87" w:rsidRPr="002B1B87" w:rsidSect="00654B3B">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A2F" w:rsidRDefault="00982A2F">
      <w:r>
        <w:separator/>
      </w:r>
    </w:p>
  </w:endnote>
  <w:endnote w:type="continuationSeparator" w:id="0">
    <w:p w:rsidR="00982A2F" w:rsidRDefault="00982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383AF4">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7344AB">
        <w:rPr>
          <w:noProof/>
        </w:rPr>
        <w:t>3</w:t>
      </w:r>
    </w:fldSimple>
    <w:r w:rsidR="00F53F9C">
      <w:tab/>
    </w:r>
    <w:r w:rsidR="00B7428A">
      <w:rPr>
        <w:lang w:eastAsia="ko-KR"/>
      </w:rPr>
      <w:t>George Calcev</w:t>
    </w:r>
    <w:r w:rsidR="00F53F9C">
      <w:t xml:space="preserve">, </w:t>
    </w:r>
    <w:r w:rsidR="00B7428A">
      <w:t>Huawei</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A2F" w:rsidRDefault="00982A2F">
      <w:r>
        <w:separator/>
      </w:r>
    </w:p>
  </w:footnote>
  <w:footnote w:type="continuationSeparator" w:id="0">
    <w:p w:rsidR="00982A2F" w:rsidRDefault="00982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D45EE1">
    <w:pPr>
      <w:pStyle w:val="Header"/>
      <w:tabs>
        <w:tab w:val="clear" w:pos="6480"/>
        <w:tab w:val="center" w:pos="4680"/>
        <w:tab w:val="right" w:pos="9360"/>
      </w:tabs>
    </w:pPr>
    <w:r>
      <w:rPr>
        <w:lang w:eastAsia="ko-KR"/>
      </w:rPr>
      <w:t>March</w:t>
    </w:r>
    <w:r w:rsidR="00F53F9C">
      <w:rPr>
        <w:rFonts w:hint="eastAsia"/>
        <w:lang w:eastAsia="ko-KR"/>
      </w:rPr>
      <w:t xml:space="preserve"> </w:t>
    </w:r>
    <w:r w:rsidR="00F53F9C">
      <w:t>201</w:t>
    </w:r>
    <w:r w:rsidR="00F53F9C">
      <w:rPr>
        <w:rFonts w:hint="eastAsia"/>
        <w:lang w:eastAsia="ko-KR"/>
      </w:rPr>
      <w:t>4</w:t>
    </w:r>
    <w:r w:rsidR="00F53F9C">
      <w:tab/>
    </w:r>
    <w:r w:rsidR="00F53F9C">
      <w:tab/>
    </w:r>
    <w:fldSimple w:instr=" TITLE  \* MERGEFORMAT ">
      <w:r w:rsidR="00F53F9C">
        <w:t>doc.: IEEE 802.11-1</w:t>
      </w:r>
      <w:r w:rsidR="00F53F9C">
        <w:rPr>
          <w:rFonts w:hint="eastAsia"/>
          <w:lang w:eastAsia="ko-KR"/>
        </w:rPr>
        <w:t>4</w:t>
      </w:r>
      <w:r w:rsidR="00F53F9C">
        <w:t>/</w:t>
      </w:r>
      <w:r w:rsidR="008B0B96" w:rsidRPr="008B0B96">
        <w:rPr>
          <w:lang w:eastAsia="ko-KR"/>
        </w:rPr>
        <w:t>1</w:t>
      </w:r>
      <w:r w:rsidR="00A217CD">
        <w:rPr>
          <w:bCs/>
          <w:lang w:eastAsia="ko-KR"/>
        </w:rPr>
        <w:t>1-14-0375</w:t>
      </w:r>
      <w:r w:rsidR="007344AB">
        <w:rPr>
          <w:bCs/>
          <w:lang w:eastAsia="ko-KR"/>
        </w:rPr>
        <w:t>-01</w:t>
      </w:r>
      <w:r w:rsidR="008B0B96" w:rsidRPr="008B0B96">
        <w:rPr>
          <w:bCs/>
          <w:lang w:eastAsia="ko-KR"/>
        </w:rPr>
        <w:t>-00ah</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2"/>
  </w:num>
  <w:num w:numId="29">
    <w:abstractNumId w:val="11"/>
  </w:num>
  <w:num w:numId="30">
    <w:abstractNumId w:val="1"/>
  </w:num>
  <w:num w:numId="31">
    <w:abstractNumId w:val="5"/>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7282">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5259"/>
    <w:rsid w:val="00006DBB"/>
    <w:rsid w:val="0000743C"/>
    <w:rsid w:val="00013F87"/>
    <w:rsid w:val="00014C70"/>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A716F"/>
    <w:rsid w:val="000B03AE"/>
    <w:rsid w:val="000D0219"/>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D51"/>
    <w:rsid w:val="001275D7"/>
    <w:rsid w:val="00134114"/>
    <w:rsid w:val="001448D8"/>
    <w:rsid w:val="001450BB"/>
    <w:rsid w:val="001459E7"/>
    <w:rsid w:val="001514EB"/>
    <w:rsid w:val="00151BBE"/>
    <w:rsid w:val="00154B26"/>
    <w:rsid w:val="001559BB"/>
    <w:rsid w:val="0015610D"/>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14F2"/>
    <w:rsid w:val="001B252D"/>
    <w:rsid w:val="001B2904"/>
    <w:rsid w:val="001B63BC"/>
    <w:rsid w:val="001C304F"/>
    <w:rsid w:val="001C5238"/>
    <w:rsid w:val="001C7CCE"/>
    <w:rsid w:val="001D15ED"/>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6DDA"/>
    <w:rsid w:val="0023760F"/>
    <w:rsid w:val="00237985"/>
    <w:rsid w:val="00241AD7"/>
    <w:rsid w:val="002470AC"/>
    <w:rsid w:val="00247D61"/>
    <w:rsid w:val="00252D47"/>
    <w:rsid w:val="00255A8B"/>
    <w:rsid w:val="002662A5"/>
    <w:rsid w:val="00273257"/>
    <w:rsid w:val="00274C77"/>
    <w:rsid w:val="00281A5D"/>
    <w:rsid w:val="00282053"/>
    <w:rsid w:val="00284C5E"/>
    <w:rsid w:val="002902C1"/>
    <w:rsid w:val="00291A10"/>
    <w:rsid w:val="00294B37"/>
    <w:rsid w:val="00295DAE"/>
    <w:rsid w:val="002A195C"/>
    <w:rsid w:val="002A2BFA"/>
    <w:rsid w:val="002A4A61"/>
    <w:rsid w:val="002B1997"/>
    <w:rsid w:val="002B1B87"/>
    <w:rsid w:val="002C085F"/>
    <w:rsid w:val="002C239F"/>
    <w:rsid w:val="002C6B4F"/>
    <w:rsid w:val="002C6C28"/>
    <w:rsid w:val="002C72E1"/>
    <w:rsid w:val="002D1D40"/>
    <w:rsid w:val="002D3F13"/>
    <w:rsid w:val="002D518F"/>
    <w:rsid w:val="002D7ED5"/>
    <w:rsid w:val="002E08ED"/>
    <w:rsid w:val="002E1B18"/>
    <w:rsid w:val="002E4547"/>
    <w:rsid w:val="002E6FF6"/>
    <w:rsid w:val="002F25B2"/>
    <w:rsid w:val="002F2BC5"/>
    <w:rsid w:val="002F376B"/>
    <w:rsid w:val="002F5C8C"/>
    <w:rsid w:val="002F7199"/>
    <w:rsid w:val="002F7D11"/>
    <w:rsid w:val="0030359F"/>
    <w:rsid w:val="00305D6E"/>
    <w:rsid w:val="0030782E"/>
    <w:rsid w:val="00307F5F"/>
    <w:rsid w:val="003170AC"/>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3AF4"/>
    <w:rsid w:val="00384940"/>
    <w:rsid w:val="0038516A"/>
    <w:rsid w:val="00385654"/>
    <w:rsid w:val="0038601E"/>
    <w:rsid w:val="003906A1"/>
    <w:rsid w:val="003924F8"/>
    <w:rsid w:val="003945E3"/>
    <w:rsid w:val="003956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5013"/>
    <w:rsid w:val="003D5B67"/>
    <w:rsid w:val="003D78F7"/>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1935"/>
    <w:rsid w:val="00462172"/>
    <w:rsid w:val="0047267B"/>
    <w:rsid w:val="00475A71"/>
    <w:rsid w:val="00482AD0"/>
    <w:rsid w:val="00483999"/>
    <w:rsid w:val="0048450B"/>
    <w:rsid w:val="0049468A"/>
    <w:rsid w:val="004A0AF4"/>
    <w:rsid w:val="004B1BE6"/>
    <w:rsid w:val="004B493F"/>
    <w:rsid w:val="004C0F0A"/>
    <w:rsid w:val="004C10FB"/>
    <w:rsid w:val="004C3C2A"/>
    <w:rsid w:val="004C7CE0"/>
    <w:rsid w:val="004D03A1"/>
    <w:rsid w:val="004D071D"/>
    <w:rsid w:val="004D2D75"/>
    <w:rsid w:val="004D6BE8"/>
    <w:rsid w:val="004D7188"/>
    <w:rsid w:val="004E0F2C"/>
    <w:rsid w:val="004F0CB7"/>
    <w:rsid w:val="004F4564"/>
    <w:rsid w:val="0050128F"/>
    <w:rsid w:val="00501E52"/>
    <w:rsid w:val="00503770"/>
    <w:rsid w:val="00504958"/>
    <w:rsid w:val="00504AA2"/>
    <w:rsid w:val="005065EB"/>
    <w:rsid w:val="0051183D"/>
    <w:rsid w:val="00517ED6"/>
    <w:rsid w:val="00520B8C"/>
    <w:rsid w:val="0052151C"/>
    <w:rsid w:val="005243B4"/>
    <w:rsid w:val="0052574F"/>
    <w:rsid w:val="00527489"/>
    <w:rsid w:val="00527BB3"/>
    <w:rsid w:val="00531734"/>
    <w:rsid w:val="0053254A"/>
    <w:rsid w:val="00535BBB"/>
    <w:rsid w:val="0054235E"/>
    <w:rsid w:val="0054425D"/>
    <w:rsid w:val="00552D09"/>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2CBE"/>
    <w:rsid w:val="005C3D7C"/>
    <w:rsid w:val="005C4204"/>
    <w:rsid w:val="005C6823"/>
    <w:rsid w:val="005D33B5"/>
    <w:rsid w:val="005D5C6E"/>
    <w:rsid w:val="005E3E49"/>
    <w:rsid w:val="005E768D"/>
    <w:rsid w:val="005F19DD"/>
    <w:rsid w:val="005F292F"/>
    <w:rsid w:val="005F4AD8"/>
    <w:rsid w:val="005F5ADA"/>
    <w:rsid w:val="005F695C"/>
    <w:rsid w:val="00600A10"/>
    <w:rsid w:val="0060320F"/>
    <w:rsid w:val="00615E8C"/>
    <w:rsid w:val="00620F3F"/>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1769"/>
    <w:rsid w:val="00662343"/>
    <w:rsid w:val="0066483B"/>
    <w:rsid w:val="0067069C"/>
    <w:rsid w:val="00671F29"/>
    <w:rsid w:val="00672F9C"/>
    <w:rsid w:val="0067305F"/>
    <w:rsid w:val="00680308"/>
    <w:rsid w:val="0068429C"/>
    <w:rsid w:val="00687476"/>
    <w:rsid w:val="0069038E"/>
    <w:rsid w:val="00693612"/>
    <w:rsid w:val="00694D80"/>
    <w:rsid w:val="006976B8"/>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81A"/>
    <w:rsid w:val="006E2D44"/>
    <w:rsid w:val="006F0405"/>
    <w:rsid w:val="006F3DD4"/>
    <w:rsid w:val="007033E0"/>
    <w:rsid w:val="00711E05"/>
    <w:rsid w:val="007220CF"/>
    <w:rsid w:val="00724942"/>
    <w:rsid w:val="00727341"/>
    <w:rsid w:val="007344AB"/>
    <w:rsid w:val="00734F1A"/>
    <w:rsid w:val="00736065"/>
    <w:rsid w:val="0074006F"/>
    <w:rsid w:val="00741D75"/>
    <w:rsid w:val="0074621F"/>
    <w:rsid w:val="007463FB"/>
    <w:rsid w:val="007513CD"/>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2177"/>
    <w:rsid w:val="00866075"/>
    <w:rsid w:val="00866701"/>
    <w:rsid w:val="0086745D"/>
    <w:rsid w:val="00872CEB"/>
    <w:rsid w:val="008776B0"/>
    <w:rsid w:val="0088012D"/>
    <w:rsid w:val="008801C4"/>
    <w:rsid w:val="00881C47"/>
    <w:rsid w:val="00884237"/>
    <w:rsid w:val="00887583"/>
    <w:rsid w:val="00891445"/>
    <w:rsid w:val="00897183"/>
    <w:rsid w:val="008A5AFD"/>
    <w:rsid w:val="008B0B96"/>
    <w:rsid w:val="008B47B4"/>
    <w:rsid w:val="008B5396"/>
    <w:rsid w:val="008C41AF"/>
    <w:rsid w:val="008C4913"/>
    <w:rsid w:val="008C5478"/>
    <w:rsid w:val="008C57E5"/>
    <w:rsid w:val="008C5AD6"/>
    <w:rsid w:val="008C5D4E"/>
    <w:rsid w:val="008C7A4B"/>
    <w:rsid w:val="008D0C05"/>
    <w:rsid w:val="008D55B6"/>
    <w:rsid w:val="008D71CE"/>
    <w:rsid w:val="008E041E"/>
    <w:rsid w:val="008E0E94"/>
    <w:rsid w:val="008E25CE"/>
    <w:rsid w:val="008E444B"/>
    <w:rsid w:val="008E54E3"/>
    <w:rsid w:val="008F039B"/>
    <w:rsid w:val="008F1C67"/>
    <w:rsid w:val="008F238D"/>
    <w:rsid w:val="00905A7F"/>
    <w:rsid w:val="00910F8F"/>
    <w:rsid w:val="0091118D"/>
    <w:rsid w:val="0092075E"/>
    <w:rsid w:val="009225A7"/>
    <w:rsid w:val="00927EB9"/>
    <w:rsid w:val="00927FEB"/>
    <w:rsid w:val="00932362"/>
    <w:rsid w:val="00936D66"/>
    <w:rsid w:val="0094091B"/>
    <w:rsid w:val="00944591"/>
    <w:rsid w:val="00944CAA"/>
    <w:rsid w:val="00951CE8"/>
    <w:rsid w:val="00953565"/>
    <w:rsid w:val="00954C90"/>
    <w:rsid w:val="00962886"/>
    <w:rsid w:val="009709A2"/>
    <w:rsid w:val="009723A1"/>
    <w:rsid w:val="00973614"/>
    <w:rsid w:val="00974DED"/>
    <w:rsid w:val="009763CA"/>
    <w:rsid w:val="0097724C"/>
    <w:rsid w:val="00980866"/>
    <w:rsid w:val="00980D24"/>
    <w:rsid w:val="009824DF"/>
    <w:rsid w:val="00982A2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E7A43"/>
    <w:rsid w:val="009F08F6"/>
    <w:rsid w:val="009F3F07"/>
    <w:rsid w:val="009F7755"/>
    <w:rsid w:val="00A00EE5"/>
    <w:rsid w:val="00A049E2"/>
    <w:rsid w:val="00A12431"/>
    <w:rsid w:val="00A1344B"/>
    <w:rsid w:val="00A217CD"/>
    <w:rsid w:val="00A219E7"/>
    <w:rsid w:val="00A2417A"/>
    <w:rsid w:val="00A26D8D"/>
    <w:rsid w:val="00A328C1"/>
    <w:rsid w:val="00A40884"/>
    <w:rsid w:val="00A43B6B"/>
    <w:rsid w:val="00A45C7E"/>
    <w:rsid w:val="00A46F2F"/>
    <w:rsid w:val="00A477E6"/>
    <w:rsid w:val="00A47C1B"/>
    <w:rsid w:val="00A5337D"/>
    <w:rsid w:val="00A57CE8"/>
    <w:rsid w:val="00A66CBC"/>
    <w:rsid w:val="00A70990"/>
    <w:rsid w:val="00A77009"/>
    <w:rsid w:val="00A8258D"/>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76C6"/>
    <w:rsid w:val="00AD268D"/>
    <w:rsid w:val="00AD3749"/>
    <w:rsid w:val="00AD6723"/>
    <w:rsid w:val="00AD6AE6"/>
    <w:rsid w:val="00AE3024"/>
    <w:rsid w:val="00AE747B"/>
    <w:rsid w:val="00AF1E59"/>
    <w:rsid w:val="00AF7A26"/>
    <w:rsid w:val="00AF7A3E"/>
    <w:rsid w:val="00B0051A"/>
    <w:rsid w:val="00B03DB7"/>
    <w:rsid w:val="00B04957"/>
    <w:rsid w:val="00B04CB8"/>
    <w:rsid w:val="00B11981"/>
    <w:rsid w:val="00B16515"/>
    <w:rsid w:val="00B20BC7"/>
    <w:rsid w:val="00B447D8"/>
    <w:rsid w:val="00B45A5E"/>
    <w:rsid w:val="00B51194"/>
    <w:rsid w:val="00B52374"/>
    <w:rsid w:val="00B54777"/>
    <w:rsid w:val="00B5499F"/>
    <w:rsid w:val="00B54BCB"/>
    <w:rsid w:val="00B56B13"/>
    <w:rsid w:val="00B60DD2"/>
    <w:rsid w:val="00B63F1C"/>
    <w:rsid w:val="00B7006B"/>
    <w:rsid w:val="00B73C63"/>
    <w:rsid w:val="00B7428A"/>
    <w:rsid w:val="00B74A35"/>
    <w:rsid w:val="00B74E3D"/>
    <w:rsid w:val="00B753D1"/>
    <w:rsid w:val="00B772F2"/>
    <w:rsid w:val="00B77BB8"/>
    <w:rsid w:val="00B83455"/>
    <w:rsid w:val="00B83960"/>
    <w:rsid w:val="00B844E8"/>
    <w:rsid w:val="00B94B98"/>
    <w:rsid w:val="00B94CAC"/>
    <w:rsid w:val="00BA787B"/>
    <w:rsid w:val="00BB20F2"/>
    <w:rsid w:val="00BB67AE"/>
    <w:rsid w:val="00BC5869"/>
    <w:rsid w:val="00BD003A"/>
    <w:rsid w:val="00BD1D45"/>
    <w:rsid w:val="00BD2653"/>
    <w:rsid w:val="00BD3E62"/>
    <w:rsid w:val="00BD459E"/>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A69FC"/>
    <w:rsid w:val="00CB285C"/>
    <w:rsid w:val="00CB7A46"/>
    <w:rsid w:val="00CB7AC4"/>
    <w:rsid w:val="00CC35D4"/>
    <w:rsid w:val="00CC3806"/>
    <w:rsid w:val="00CC7311"/>
    <w:rsid w:val="00CD0ABD"/>
    <w:rsid w:val="00CD259C"/>
    <w:rsid w:val="00CE3DDC"/>
    <w:rsid w:val="00CE5EE2"/>
    <w:rsid w:val="00CE63EE"/>
    <w:rsid w:val="00CF16FB"/>
    <w:rsid w:val="00CF2295"/>
    <w:rsid w:val="00CF3BDE"/>
    <w:rsid w:val="00D03F8F"/>
    <w:rsid w:val="00D0639A"/>
    <w:rsid w:val="00D07ABE"/>
    <w:rsid w:val="00D25F96"/>
    <w:rsid w:val="00D307A6"/>
    <w:rsid w:val="00D36C35"/>
    <w:rsid w:val="00D42073"/>
    <w:rsid w:val="00D45EE1"/>
    <w:rsid w:val="00D5432B"/>
    <w:rsid w:val="00D5494D"/>
    <w:rsid w:val="00D574CA"/>
    <w:rsid w:val="00D57819"/>
    <w:rsid w:val="00D6072C"/>
    <w:rsid w:val="00D618A3"/>
    <w:rsid w:val="00D64BEA"/>
    <w:rsid w:val="00D7117A"/>
    <w:rsid w:val="00D72906"/>
    <w:rsid w:val="00D72BC8"/>
    <w:rsid w:val="00D73E07"/>
    <w:rsid w:val="00D826B4"/>
    <w:rsid w:val="00D84566"/>
    <w:rsid w:val="00D92951"/>
    <w:rsid w:val="00D94B05"/>
    <w:rsid w:val="00D9667F"/>
    <w:rsid w:val="00D96975"/>
    <w:rsid w:val="00DA2B9A"/>
    <w:rsid w:val="00DA3D06"/>
    <w:rsid w:val="00DB4B77"/>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24644"/>
    <w:rsid w:val="00E32B08"/>
    <w:rsid w:val="00E33B8F"/>
    <w:rsid w:val="00E53C1B"/>
    <w:rsid w:val="00E54D26"/>
    <w:rsid w:val="00E5708C"/>
    <w:rsid w:val="00E610D6"/>
    <w:rsid w:val="00E65013"/>
    <w:rsid w:val="00E701F3"/>
    <w:rsid w:val="00E71C91"/>
    <w:rsid w:val="00E74E87"/>
    <w:rsid w:val="00E772DB"/>
    <w:rsid w:val="00E80182"/>
    <w:rsid w:val="00E8027B"/>
    <w:rsid w:val="00E81353"/>
    <w:rsid w:val="00E81437"/>
    <w:rsid w:val="00E839F1"/>
    <w:rsid w:val="00E873C2"/>
    <w:rsid w:val="00E9535F"/>
    <w:rsid w:val="00EA2CE4"/>
    <w:rsid w:val="00EA48D0"/>
    <w:rsid w:val="00EA6DCB"/>
    <w:rsid w:val="00EA7579"/>
    <w:rsid w:val="00EB5ADB"/>
    <w:rsid w:val="00ED6FC5"/>
    <w:rsid w:val="00EE2AF3"/>
    <w:rsid w:val="00EE461A"/>
    <w:rsid w:val="00EE55B2"/>
    <w:rsid w:val="00EE61C3"/>
    <w:rsid w:val="00EE7DA9"/>
    <w:rsid w:val="00EF34D3"/>
    <w:rsid w:val="00EF6B9E"/>
    <w:rsid w:val="00F0401B"/>
    <w:rsid w:val="00F04FF6"/>
    <w:rsid w:val="00F109FC"/>
    <w:rsid w:val="00F1365E"/>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29D"/>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21B5"/>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 w:type="paragraph" w:customStyle="1" w:styleId="SP7299046">
    <w:name w:val="SP.7.299046"/>
    <w:basedOn w:val="Normal"/>
    <w:next w:val="Normal"/>
    <w:uiPriority w:val="99"/>
    <w:rsid w:val="00D25F96"/>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D25F96"/>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D25F96"/>
    <w:pPr>
      <w:autoSpaceDE w:val="0"/>
      <w:autoSpaceDN w:val="0"/>
      <w:adjustRightInd w:val="0"/>
    </w:pPr>
    <w:rPr>
      <w:sz w:val="24"/>
      <w:szCs w:val="24"/>
      <w:lang w:val="en-US" w:eastAsia="ko-KR"/>
    </w:rPr>
  </w:style>
  <w:style w:type="character" w:customStyle="1" w:styleId="SC7200720">
    <w:name w:val="SC.7.200720"/>
    <w:uiPriority w:val="99"/>
    <w:rsid w:val="00D25F96"/>
    <w:rPr>
      <w:color w:val="000000"/>
      <w:sz w:val="20"/>
      <w:szCs w:val="20"/>
    </w:rPr>
  </w:style>
  <w:style w:type="paragraph" w:customStyle="1" w:styleId="SP7299020">
    <w:name w:val="SP.7.299020"/>
    <w:basedOn w:val="Normal"/>
    <w:next w:val="Normal"/>
    <w:uiPriority w:val="99"/>
    <w:rsid w:val="002D3F13"/>
    <w:pPr>
      <w:autoSpaceDE w:val="0"/>
      <w:autoSpaceDN w:val="0"/>
      <w:adjustRightInd w:val="0"/>
    </w:pPr>
    <w:rPr>
      <w:sz w:val="24"/>
      <w:szCs w:val="24"/>
      <w:lang w:val="en-US" w:eastAsia="ko-KR"/>
    </w:rPr>
  </w:style>
  <w:style w:type="character" w:customStyle="1" w:styleId="highlight1">
    <w:name w:val="highlight1"/>
    <w:basedOn w:val="DefaultParagraphFont"/>
    <w:rsid w:val="008B0B96"/>
    <w:rPr>
      <w:b/>
      <w:bCs/>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22848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alcev@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ho@etri.re.kr" TargetMode="External"/><Relationship Id="rId4" Type="http://schemas.openxmlformats.org/officeDocument/2006/relationships/settings" Target="settings.xml"/><Relationship Id="rId9" Type="http://schemas.openxmlformats.org/officeDocument/2006/relationships/hyperlink" Target="mailto:james.wang@meddiatek.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AFB6-7341-4DC6-B1FF-38B586DA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1024</Words>
  <Characters>5837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6848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G00725861</cp:lastModifiedBy>
  <cp:revision>3</cp:revision>
  <cp:lastPrinted>2010-05-04T03:47:00Z</cp:lastPrinted>
  <dcterms:created xsi:type="dcterms:W3CDTF">2014-03-19T06:09:00Z</dcterms:created>
  <dcterms:modified xsi:type="dcterms:W3CDTF">2014-03-19T06:09:00Z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-1103650397</vt:i4>
  </property>
  <property fmtid="{D5CDD505-2E9C-101B-9397-08002B2CF9AE}" pid="3" name="_NewReviewCycle">
    <vt:lpwstr/>
  </property>
  <property fmtid="{D5CDD505-2E9C-101B-9397-08002B2CF9AE}" pid="4" name="_EmailSubject">
    <vt:lpwstr>Resolution of CIDs in 9.47.4</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1395208244</vt:lpwstr>
  </property>
</Properties>
</file>