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5FC" w:rsidRDefault="00AE35FC">
      <w:pPr>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852"/>
        <w:gridCol w:w="2198"/>
        <w:gridCol w:w="1890"/>
        <w:gridCol w:w="2088"/>
      </w:tblGrid>
      <w:tr w:rsidR="00AE35FC" w:rsidRPr="007D72A8" w:rsidTr="003447DE">
        <w:trPr>
          <w:trHeight w:val="485"/>
          <w:jc w:val="center"/>
        </w:trPr>
        <w:tc>
          <w:tcPr>
            <w:tcW w:w="9576" w:type="dxa"/>
            <w:gridSpan w:val="5"/>
            <w:vAlign w:val="center"/>
          </w:tcPr>
          <w:p w:rsidR="00AE35FC" w:rsidRPr="007D72A8" w:rsidRDefault="00AE35FC" w:rsidP="00AE35FC">
            <w:pPr>
              <w:pStyle w:val="T2"/>
            </w:pPr>
            <w:r w:rsidRPr="007D72A8">
              <w:t>Proposed Resolution for Some Security CIDs</w:t>
            </w:r>
          </w:p>
        </w:tc>
      </w:tr>
      <w:tr w:rsidR="00AE35FC" w:rsidRPr="007D72A8" w:rsidTr="003447DE">
        <w:trPr>
          <w:trHeight w:val="359"/>
          <w:jc w:val="center"/>
        </w:trPr>
        <w:tc>
          <w:tcPr>
            <w:tcW w:w="9576" w:type="dxa"/>
            <w:gridSpan w:val="5"/>
            <w:vAlign w:val="center"/>
          </w:tcPr>
          <w:p w:rsidR="00AE35FC" w:rsidRPr="007D72A8" w:rsidRDefault="00AE35FC" w:rsidP="003447DE">
            <w:pPr>
              <w:pStyle w:val="T2"/>
              <w:ind w:left="0"/>
              <w:rPr>
                <w:sz w:val="20"/>
              </w:rPr>
            </w:pPr>
            <w:r w:rsidRPr="007D72A8">
              <w:rPr>
                <w:sz w:val="20"/>
              </w:rPr>
              <w:t>Date:</w:t>
            </w:r>
            <w:r w:rsidRPr="007D72A8">
              <w:rPr>
                <w:b w:val="0"/>
                <w:sz w:val="20"/>
              </w:rPr>
              <w:t xml:space="preserve">  201</w:t>
            </w:r>
            <w:r w:rsidR="00503FC3" w:rsidRPr="007D72A8">
              <w:rPr>
                <w:b w:val="0"/>
                <w:sz w:val="20"/>
              </w:rPr>
              <w:t>4-03</w:t>
            </w:r>
            <w:r w:rsidRPr="007D72A8">
              <w:rPr>
                <w:b w:val="0"/>
                <w:sz w:val="20"/>
              </w:rPr>
              <w:t>-</w:t>
            </w:r>
            <w:r w:rsidR="003F7FBC" w:rsidRPr="007D72A8">
              <w:rPr>
                <w:b w:val="0"/>
                <w:sz w:val="20"/>
              </w:rPr>
              <w:t>1</w:t>
            </w:r>
            <w:r w:rsidR="009E215D">
              <w:rPr>
                <w:b w:val="0"/>
                <w:sz w:val="20"/>
              </w:rPr>
              <w:t>9</w:t>
            </w:r>
          </w:p>
        </w:tc>
      </w:tr>
      <w:tr w:rsidR="00AE35FC" w:rsidRPr="007D72A8" w:rsidTr="003447DE">
        <w:trPr>
          <w:cantSplit/>
          <w:jc w:val="center"/>
        </w:trPr>
        <w:tc>
          <w:tcPr>
            <w:tcW w:w="9576" w:type="dxa"/>
            <w:gridSpan w:val="5"/>
            <w:vAlign w:val="center"/>
          </w:tcPr>
          <w:p w:rsidR="00AE35FC" w:rsidRPr="007D72A8" w:rsidRDefault="00AE35FC" w:rsidP="003447DE">
            <w:pPr>
              <w:pStyle w:val="T2"/>
              <w:spacing w:after="0"/>
              <w:ind w:left="0" w:right="0"/>
              <w:jc w:val="left"/>
              <w:rPr>
                <w:sz w:val="20"/>
              </w:rPr>
            </w:pPr>
            <w:r w:rsidRPr="007D72A8">
              <w:rPr>
                <w:sz w:val="20"/>
              </w:rPr>
              <w:t>Author(s):</w:t>
            </w:r>
          </w:p>
        </w:tc>
      </w:tr>
      <w:tr w:rsidR="00AE35FC" w:rsidRPr="007D72A8" w:rsidTr="003447DE">
        <w:trPr>
          <w:jc w:val="center"/>
        </w:trPr>
        <w:tc>
          <w:tcPr>
            <w:tcW w:w="1548" w:type="dxa"/>
            <w:vAlign w:val="center"/>
          </w:tcPr>
          <w:p w:rsidR="00AE35FC" w:rsidRPr="007D72A8" w:rsidRDefault="00AE35FC" w:rsidP="003447DE">
            <w:pPr>
              <w:pStyle w:val="T2"/>
              <w:spacing w:after="0"/>
              <w:ind w:left="0" w:right="0"/>
              <w:jc w:val="left"/>
              <w:rPr>
                <w:sz w:val="20"/>
              </w:rPr>
            </w:pPr>
            <w:r w:rsidRPr="007D72A8">
              <w:rPr>
                <w:sz w:val="20"/>
              </w:rPr>
              <w:t>Name</w:t>
            </w:r>
          </w:p>
        </w:tc>
        <w:tc>
          <w:tcPr>
            <w:tcW w:w="1852" w:type="dxa"/>
            <w:vAlign w:val="center"/>
          </w:tcPr>
          <w:p w:rsidR="00AE35FC" w:rsidRPr="007D72A8" w:rsidRDefault="00AE35FC" w:rsidP="003447DE">
            <w:pPr>
              <w:pStyle w:val="T2"/>
              <w:spacing w:after="0"/>
              <w:ind w:left="0" w:right="0"/>
              <w:jc w:val="left"/>
              <w:rPr>
                <w:sz w:val="20"/>
              </w:rPr>
            </w:pPr>
            <w:r w:rsidRPr="007D72A8">
              <w:rPr>
                <w:sz w:val="20"/>
              </w:rPr>
              <w:t>Affiliation</w:t>
            </w:r>
          </w:p>
        </w:tc>
        <w:tc>
          <w:tcPr>
            <w:tcW w:w="2198" w:type="dxa"/>
            <w:vAlign w:val="center"/>
          </w:tcPr>
          <w:p w:rsidR="00AE35FC" w:rsidRPr="007D72A8" w:rsidRDefault="00AE35FC" w:rsidP="003447DE">
            <w:pPr>
              <w:pStyle w:val="T2"/>
              <w:spacing w:after="0"/>
              <w:ind w:left="0" w:right="0"/>
              <w:jc w:val="left"/>
              <w:rPr>
                <w:sz w:val="20"/>
              </w:rPr>
            </w:pPr>
            <w:r w:rsidRPr="007D72A8">
              <w:rPr>
                <w:sz w:val="20"/>
              </w:rPr>
              <w:t>Address</w:t>
            </w:r>
          </w:p>
        </w:tc>
        <w:tc>
          <w:tcPr>
            <w:tcW w:w="1890" w:type="dxa"/>
            <w:vAlign w:val="center"/>
          </w:tcPr>
          <w:p w:rsidR="00AE35FC" w:rsidRPr="007D72A8" w:rsidRDefault="00AE35FC" w:rsidP="003447DE">
            <w:pPr>
              <w:pStyle w:val="T2"/>
              <w:spacing w:after="0"/>
              <w:ind w:left="0" w:right="0"/>
              <w:jc w:val="left"/>
              <w:rPr>
                <w:sz w:val="20"/>
              </w:rPr>
            </w:pPr>
            <w:r w:rsidRPr="007D72A8">
              <w:rPr>
                <w:sz w:val="20"/>
              </w:rPr>
              <w:t>Phone</w:t>
            </w:r>
          </w:p>
        </w:tc>
        <w:tc>
          <w:tcPr>
            <w:tcW w:w="2088" w:type="dxa"/>
            <w:vAlign w:val="center"/>
          </w:tcPr>
          <w:p w:rsidR="00AE35FC" w:rsidRPr="007D72A8" w:rsidRDefault="00AE35FC" w:rsidP="003447DE">
            <w:pPr>
              <w:pStyle w:val="T2"/>
              <w:spacing w:after="0"/>
              <w:ind w:left="0" w:right="0"/>
              <w:jc w:val="left"/>
              <w:rPr>
                <w:sz w:val="20"/>
              </w:rPr>
            </w:pPr>
            <w:r w:rsidRPr="007D72A8">
              <w:rPr>
                <w:sz w:val="20"/>
              </w:rPr>
              <w:t>email</w:t>
            </w:r>
          </w:p>
        </w:tc>
      </w:tr>
      <w:tr w:rsidR="00AE35FC" w:rsidRPr="007D72A8" w:rsidTr="003447DE">
        <w:trPr>
          <w:jc w:val="center"/>
        </w:trPr>
        <w:tc>
          <w:tcPr>
            <w:tcW w:w="1548" w:type="dxa"/>
            <w:vAlign w:val="center"/>
          </w:tcPr>
          <w:p w:rsidR="00AE35FC" w:rsidRPr="007D72A8" w:rsidRDefault="00AE35FC" w:rsidP="003447DE">
            <w:pPr>
              <w:pStyle w:val="T2"/>
              <w:spacing w:after="0"/>
              <w:ind w:left="0" w:right="0"/>
              <w:rPr>
                <w:b w:val="0"/>
                <w:sz w:val="20"/>
              </w:rPr>
            </w:pPr>
            <w:r w:rsidRPr="007D72A8">
              <w:rPr>
                <w:b w:val="0"/>
                <w:sz w:val="20"/>
              </w:rPr>
              <w:t>René Struik</w:t>
            </w:r>
          </w:p>
        </w:tc>
        <w:tc>
          <w:tcPr>
            <w:tcW w:w="1852" w:type="dxa"/>
            <w:vAlign w:val="center"/>
          </w:tcPr>
          <w:p w:rsidR="00AE35FC" w:rsidRPr="007D72A8" w:rsidRDefault="00AE35FC" w:rsidP="003447DE">
            <w:pPr>
              <w:pStyle w:val="T2"/>
              <w:spacing w:after="0"/>
              <w:ind w:left="0" w:right="0"/>
              <w:rPr>
                <w:b w:val="0"/>
                <w:sz w:val="20"/>
              </w:rPr>
            </w:pPr>
            <w:r w:rsidRPr="007D72A8">
              <w:rPr>
                <w:b w:val="0"/>
                <w:sz w:val="20"/>
              </w:rPr>
              <w:t>Struik Security Consultancy</w:t>
            </w:r>
          </w:p>
        </w:tc>
        <w:tc>
          <w:tcPr>
            <w:tcW w:w="2198" w:type="dxa"/>
            <w:vAlign w:val="center"/>
          </w:tcPr>
          <w:p w:rsidR="00AE35FC" w:rsidRPr="007D72A8" w:rsidRDefault="00AE35FC" w:rsidP="003447DE">
            <w:pPr>
              <w:pStyle w:val="T2"/>
              <w:spacing w:after="0"/>
              <w:ind w:left="0" w:right="0"/>
              <w:rPr>
                <w:b w:val="0"/>
                <w:sz w:val="20"/>
              </w:rPr>
            </w:pPr>
            <w:r w:rsidRPr="007D72A8">
              <w:rPr>
                <w:b w:val="0"/>
                <w:sz w:val="20"/>
              </w:rPr>
              <w:t>Toronto ON</w:t>
            </w:r>
          </w:p>
        </w:tc>
        <w:tc>
          <w:tcPr>
            <w:tcW w:w="1890" w:type="dxa"/>
            <w:vAlign w:val="center"/>
          </w:tcPr>
          <w:p w:rsidR="00AE35FC" w:rsidRPr="007D72A8" w:rsidRDefault="00AE35FC" w:rsidP="003447DE">
            <w:pPr>
              <w:pStyle w:val="T2"/>
              <w:spacing w:after="0"/>
              <w:ind w:left="0" w:right="0"/>
              <w:jc w:val="left"/>
              <w:rPr>
                <w:b w:val="0"/>
                <w:sz w:val="20"/>
              </w:rPr>
            </w:pPr>
            <w:r w:rsidRPr="007D72A8">
              <w:rPr>
                <w:b w:val="0"/>
                <w:sz w:val="20"/>
              </w:rPr>
              <w:t xml:space="preserve">+1 </w:t>
            </w:r>
            <w:r w:rsidR="0088535A" w:rsidRPr="007D72A8">
              <w:rPr>
                <w:b w:val="0"/>
                <w:sz w:val="20"/>
              </w:rPr>
              <w:t>(</w:t>
            </w:r>
            <w:r w:rsidRPr="007D72A8">
              <w:rPr>
                <w:b w:val="0"/>
                <w:sz w:val="20"/>
              </w:rPr>
              <w:t>415</w:t>
            </w:r>
            <w:r w:rsidR="0088535A" w:rsidRPr="007D72A8">
              <w:rPr>
                <w:b w:val="0"/>
                <w:sz w:val="20"/>
              </w:rPr>
              <w:t>)</w:t>
            </w:r>
            <w:r w:rsidRPr="007D72A8">
              <w:rPr>
                <w:b w:val="0"/>
                <w:sz w:val="20"/>
              </w:rPr>
              <w:t xml:space="preserve"> 690-7363</w:t>
            </w:r>
          </w:p>
          <w:p w:rsidR="00AE35FC" w:rsidRPr="007D72A8" w:rsidRDefault="00AE35FC" w:rsidP="003447DE">
            <w:pPr>
              <w:pStyle w:val="T2"/>
              <w:spacing w:after="0"/>
              <w:ind w:left="0" w:right="0"/>
              <w:jc w:val="left"/>
              <w:rPr>
                <w:b w:val="0"/>
                <w:sz w:val="20"/>
              </w:rPr>
            </w:pPr>
            <w:r w:rsidRPr="007D72A8">
              <w:rPr>
                <w:b w:val="0"/>
                <w:sz w:val="20"/>
              </w:rPr>
              <w:t xml:space="preserve">+1 </w:t>
            </w:r>
            <w:r w:rsidR="0088535A" w:rsidRPr="007D72A8">
              <w:rPr>
                <w:b w:val="0"/>
                <w:sz w:val="20"/>
              </w:rPr>
              <w:t>(</w:t>
            </w:r>
            <w:r w:rsidRPr="007D72A8">
              <w:rPr>
                <w:b w:val="0"/>
                <w:sz w:val="20"/>
              </w:rPr>
              <w:t>647</w:t>
            </w:r>
            <w:r w:rsidR="0088535A" w:rsidRPr="007D72A8">
              <w:rPr>
                <w:b w:val="0"/>
                <w:sz w:val="20"/>
              </w:rPr>
              <w:t>)</w:t>
            </w:r>
            <w:r w:rsidRPr="007D72A8">
              <w:rPr>
                <w:b w:val="0"/>
                <w:sz w:val="20"/>
              </w:rPr>
              <w:t xml:space="preserve"> 867-5658</w:t>
            </w:r>
          </w:p>
          <w:p w:rsidR="00AE35FC" w:rsidRPr="007D72A8" w:rsidRDefault="00AE35FC" w:rsidP="003447DE">
            <w:pPr>
              <w:pStyle w:val="T2"/>
              <w:spacing w:after="0"/>
              <w:ind w:left="0" w:right="0"/>
              <w:rPr>
                <w:b w:val="0"/>
                <w:sz w:val="20"/>
              </w:rPr>
            </w:pPr>
            <w:r w:rsidRPr="007D72A8">
              <w:rPr>
                <w:b w:val="0"/>
                <w:sz w:val="20"/>
              </w:rPr>
              <w:t xml:space="preserve">Skype: </w:t>
            </w:r>
            <w:proofErr w:type="spellStart"/>
            <w:r w:rsidRPr="007D72A8">
              <w:rPr>
                <w:b w:val="0"/>
                <w:sz w:val="20"/>
              </w:rPr>
              <w:t>rstruik</w:t>
            </w:r>
            <w:proofErr w:type="spellEnd"/>
          </w:p>
        </w:tc>
        <w:tc>
          <w:tcPr>
            <w:tcW w:w="2088" w:type="dxa"/>
            <w:vAlign w:val="center"/>
          </w:tcPr>
          <w:p w:rsidR="00AE35FC" w:rsidRPr="007D72A8" w:rsidRDefault="00AE35FC" w:rsidP="003447DE">
            <w:pPr>
              <w:pStyle w:val="T2"/>
              <w:spacing w:after="0"/>
              <w:ind w:left="0" w:right="0"/>
              <w:rPr>
                <w:b w:val="0"/>
                <w:sz w:val="16"/>
              </w:rPr>
            </w:pPr>
            <w:r w:rsidRPr="007D72A8">
              <w:rPr>
                <w:b w:val="0"/>
                <w:sz w:val="20"/>
              </w:rPr>
              <w:t>rstruik.ext@gmail.com</w:t>
            </w:r>
          </w:p>
        </w:tc>
      </w:tr>
    </w:tbl>
    <w:p w:rsidR="00AE35FC" w:rsidRPr="007D72A8" w:rsidRDefault="00AE35FC">
      <w:pPr>
        <w:rPr>
          <w:b/>
          <w:u w:val="single"/>
        </w:rPr>
      </w:pPr>
    </w:p>
    <w:p w:rsidR="00AE35FC" w:rsidRPr="007D72A8" w:rsidRDefault="00AE35FC" w:rsidP="00AE35FC">
      <w:pPr>
        <w:pStyle w:val="T1"/>
        <w:spacing w:after="120"/>
      </w:pPr>
      <w:r w:rsidRPr="007D72A8">
        <w:t>Abstract</w:t>
      </w:r>
    </w:p>
    <w:p w:rsidR="006C45EA" w:rsidRPr="007D72A8" w:rsidRDefault="00AE35FC" w:rsidP="00AF5B72">
      <w:pPr>
        <w:pStyle w:val="NoSpacing"/>
      </w:pPr>
      <w:r w:rsidRPr="007D72A8">
        <w:t xml:space="preserve">This document </w:t>
      </w:r>
      <w:r w:rsidR="00364DF0" w:rsidRPr="007D72A8">
        <w:t>discusses some security-</w:t>
      </w:r>
      <w:r w:rsidR="00AF5B72" w:rsidRPr="007D72A8">
        <w:t xml:space="preserve">related </w:t>
      </w:r>
      <w:r w:rsidR="0088535A" w:rsidRPr="007D72A8">
        <w:t xml:space="preserve">LB#198 </w:t>
      </w:r>
      <w:r w:rsidR="00AF5B72" w:rsidRPr="007D72A8">
        <w:t>comments related to D1.0</w:t>
      </w:r>
      <w:r w:rsidR="00364DF0" w:rsidRPr="007D72A8">
        <w:t xml:space="preserve"> of the </w:t>
      </w:r>
      <w:proofErr w:type="spellStart"/>
      <w:r w:rsidR="00364DF0" w:rsidRPr="007D72A8">
        <w:t>TGai</w:t>
      </w:r>
      <w:proofErr w:type="spellEnd"/>
      <w:r w:rsidR="00364DF0" w:rsidRPr="007D72A8">
        <w:t xml:space="preserve"> specification</w:t>
      </w:r>
      <w:r w:rsidR="00AF5B72" w:rsidRPr="007D72A8">
        <w:t>.</w:t>
      </w:r>
      <w:r w:rsidR="00364DF0" w:rsidRPr="007D72A8">
        <w:t xml:space="preserve"> </w:t>
      </w:r>
    </w:p>
    <w:p w:rsidR="006C45EA" w:rsidRPr="007D72A8" w:rsidRDefault="006C45EA" w:rsidP="00AF5B72">
      <w:pPr>
        <w:pStyle w:val="NoSpacing"/>
      </w:pPr>
    </w:p>
    <w:p w:rsidR="006C45EA" w:rsidRPr="007D72A8" w:rsidRDefault="006C45EA" w:rsidP="00750BCD">
      <w:pPr>
        <w:rPr>
          <w:b/>
          <w:u w:val="single"/>
        </w:rPr>
      </w:pPr>
      <w:r w:rsidRPr="007D72A8">
        <w:rPr>
          <w:b/>
          <w:u w:val="single"/>
        </w:rPr>
        <w:br w:type="page"/>
      </w:r>
    </w:p>
    <w:p w:rsidR="00A064B4" w:rsidRPr="007D72A8" w:rsidRDefault="00750BCD" w:rsidP="006C45EA">
      <w:pPr>
        <w:pStyle w:val="NoSpacing"/>
        <w:rPr>
          <w:b/>
          <w:u w:val="single"/>
        </w:rPr>
      </w:pPr>
      <w:r w:rsidRPr="007D72A8">
        <w:rPr>
          <w:b/>
          <w:u w:val="single"/>
        </w:rPr>
        <w:lastRenderedPageBreak/>
        <w:t>Summary sheet: Suggested resolution of a sele</w:t>
      </w:r>
      <w:r w:rsidR="00503FC3" w:rsidRPr="007D72A8">
        <w:rPr>
          <w:b/>
          <w:u w:val="single"/>
        </w:rPr>
        <w:t>ction of comments from 13/1076r30</w:t>
      </w:r>
      <w:r w:rsidRPr="007D72A8">
        <w:rPr>
          <w:b/>
          <w:u w:val="single"/>
        </w:rPr>
        <w:t>:</w:t>
      </w:r>
    </w:p>
    <w:p w:rsidR="00F32391" w:rsidRPr="007D72A8" w:rsidRDefault="00F32391" w:rsidP="00AF5B72">
      <w:pPr>
        <w:pStyle w:val="NoSpacing"/>
        <w:rPr>
          <w:b/>
          <w:u w:val="single"/>
        </w:rPr>
      </w:pPr>
    </w:p>
    <w:p w:rsidR="003447DE" w:rsidRPr="007D72A8" w:rsidRDefault="003447DE" w:rsidP="008F4A67">
      <w:pPr>
        <w:pStyle w:val="NoSpacing"/>
        <w:rPr>
          <w:b/>
          <w:u w:val="single"/>
        </w:rPr>
      </w:pPr>
    </w:p>
    <w:p w:rsidR="00E93D8C" w:rsidRPr="007D72A8" w:rsidRDefault="00750BCD" w:rsidP="007D72A8">
      <w:pPr>
        <w:rPr>
          <w:b/>
          <w:u w:val="single"/>
        </w:rPr>
      </w:pPr>
      <w:r w:rsidRPr="007D72A8">
        <w:rPr>
          <w:b/>
          <w:u w:val="single"/>
        </w:rPr>
        <w:t>DETAILS</w:t>
      </w:r>
      <w:r w:rsidR="008F4A67" w:rsidRPr="007D72A8">
        <w:rPr>
          <w:b/>
          <w:u w:val="single"/>
        </w:rPr>
        <w:t>: Suggested resoluti</w:t>
      </w:r>
      <w:r w:rsidR="00E93D8C" w:rsidRPr="007D72A8">
        <w:rPr>
          <w:b/>
          <w:u w:val="single"/>
        </w:rPr>
        <w:t xml:space="preserve">on of </w:t>
      </w:r>
      <w:r w:rsidR="006C45EA" w:rsidRPr="007D72A8">
        <w:rPr>
          <w:b/>
          <w:u w:val="single"/>
        </w:rPr>
        <w:t xml:space="preserve">a selection of </w:t>
      </w:r>
      <w:r w:rsidR="00E93D8C" w:rsidRPr="007D72A8">
        <w:rPr>
          <w:b/>
          <w:u w:val="single"/>
        </w:rPr>
        <w:t>comments</w:t>
      </w:r>
      <w:r w:rsidR="006C45EA" w:rsidRPr="007D72A8">
        <w:rPr>
          <w:b/>
          <w:u w:val="single"/>
        </w:rPr>
        <w:t xml:space="preserve"> from</w:t>
      </w:r>
      <w:r w:rsidR="00200C0D" w:rsidRPr="007D72A8">
        <w:rPr>
          <w:b/>
          <w:u w:val="single"/>
        </w:rPr>
        <w:t xml:space="preserve"> 13/</w:t>
      </w:r>
      <w:r w:rsidR="00503FC3" w:rsidRPr="007D72A8">
        <w:rPr>
          <w:b/>
          <w:u w:val="single"/>
        </w:rPr>
        <w:t>1076r30</w:t>
      </w:r>
      <w:r w:rsidR="00E93D8C" w:rsidRPr="007D72A8">
        <w:rPr>
          <w:b/>
          <w:u w:val="single"/>
        </w:rPr>
        <w:t>:</w:t>
      </w:r>
    </w:p>
    <w:p w:rsidR="00E93D8C" w:rsidRPr="007D72A8" w:rsidRDefault="00E93D8C" w:rsidP="00E93D8C">
      <w:pPr>
        <w:pStyle w:val="NoSpacing"/>
      </w:pPr>
      <w:r w:rsidRPr="007D72A8">
        <w:rPr>
          <w:b/>
          <w:u w:val="single"/>
        </w:rPr>
        <w:t>CID #2986:</w:t>
      </w:r>
      <w:r w:rsidRPr="007D72A8">
        <w:t xml:space="preserve"> (Michael </w:t>
      </w:r>
      <w:proofErr w:type="spellStart"/>
      <w:r w:rsidRPr="007D72A8">
        <w:t>Montemurro</w:t>
      </w:r>
      <w:proofErr w:type="spellEnd"/>
      <w:r w:rsidRPr="007D72A8">
        <w:t>) 11.11.2.3, p. 103, l. 31:</w:t>
      </w:r>
    </w:p>
    <w:p w:rsidR="00DB5696" w:rsidRPr="007D72A8" w:rsidRDefault="00E93D8C" w:rsidP="00E93D8C">
      <w:pPr>
        <w:pStyle w:val="NoSpacing"/>
      </w:pPr>
      <w:r w:rsidRPr="007D72A8">
        <w:t>Circular reference "...shall be used in exactly the same way as same-named keys of IEEE 802.11-2012 (but now derived as specified above)."</w:t>
      </w:r>
      <w:r w:rsidR="00DB5696" w:rsidRPr="007D72A8">
        <w:t xml:space="preserve"> </w:t>
      </w:r>
    </w:p>
    <w:p w:rsidR="00E93D8C" w:rsidRPr="007D72A8" w:rsidRDefault="00DB5696" w:rsidP="00E93D8C">
      <w:pPr>
        <w:pStyle w:val="NoSpacing"/>
      </w:pPr>
      <w:r w:rsidRPr="007D72A8">
        <w:t>Point to the specific clauses in IEEE 802.11-2012 that this sentence references.</w:t>
      </w:r>
    </w:p>
    <w:p w:rsidR="00DB5696" w:rsidRPr="007D72A8" w:rsidRDefault="00DB5696" w:rsidP="00E93D8C">
      <w:pPr>
        <w:pStyle w:val="NoSpacing"/>
      </w:pPr>
    </w:p>
    <w:p w:rsidR="00DB5696" w:rsidRPr="007D72A8" w:rsidRDefault="00DB5696" w:rsidP="00DB5696">
      <w:pPr>
        <w:pStyle w:val="NoSpacing"/>
      </w:pPr>
      <w:r w:rsidRPr="007D72A8">
        <w:rPr>
          <w:u w:val="single"/>
        </w:rPr>
        <w:t>Suggested resolution:</w:t>
      </w:r>
      <w:r w:rsidRPr="007D72A8">
        <w:t xml:space="preserve"> </w:t>
      </w:r>
      <w:r w:rsidR="00D40D69">
        <w:t>Revised</w:t>
      </w:r>
      <w:r w:rsidRPr="007D72A8">
        <w:t xml:space="preserve">. </w:t>
      </w:r>
    </w:p>
    <w:p w:rsidR="00E93D8C" w:rsidRPr="007D72A8" w:rsidRDefault="007D72A8" w:rsidP="000F37D5">
      <w:pPr>
        <w:pStyle w:val="NoSpacing"/>
      </w:pPr>
      <w:r w:rsidRPr="007D72A8">
        <w:t>Note: this has been addressed, pursuant to adoption of 14/341r5.</w:t>
      </w:r>
    </w:p>
    <w:p w:rsidR="007D72A8" w:rsidRPr="007D72A8" w:rsidRDefault="007D72A8" w:rsidP="000F37D5">
      <w:pPr>
        <w:pStyle w:val="NoSpacing"/>
        <w:rPr>
          <w:b/>
          <w:u w:val="single"/>
        </w:rPr>
      </w:pPr>
    </w:p>
    <w:p w:rsidR="001207C5" w:rsidRPr="007D72A8" w:rsidRDefault="001207C5" w:rsidP="001207C5">
      <w:pPr>
        <w:pStyle w:val="NoSpacing"/>
      </w:pPr>
      <w:r w:rsidRPr="007D72A8">
        <w:rPr>
          <w:b/>
          <w:u w:val="single"/>
        </w:rPr>
        <w:t>CID #3259:</w:t>
      </w:r>
      <w:r w:rsidRPr="007D72A8">
        <w:t xml:space="preserve"> (Rob Sun) 11.11.2.3, p. 103, l. 12:</w:t>
      </w:r>
    </w:p>
    <w:p w:rsidR="001207C5" w:rsidRPr="007D72A8" w:rsidRDefault="001207C5" w:rsidP="001207C5">
      <w:pPr>
        <w:pStyle w:val="NoSpacing"/>
      </w:pPr>
      <w:r w:rsidRPr="007D72A8">
        <w:t>How and where to store KCK2/KEK2 which should be transient and only for FILS key confirmation?  It needs to define when to destroy the KCK2/KEK2. The assumption is PMKSA which is lack of definition in elements for FILS would store the KCK2/KEK2 which may not be ideal</w:t>
      </w:r>
    </w:p>
    <w:p w:rsidR="001207C5" w:rsidRPr="007D72A8" w:rsidRDefault="001207C5" w:rsidP="001207C5">
      <w:pPr>
        <w:pStyle w:val="NoSpacing"/>
      </w:pPr>
      <w:r w:rsidRPr="007D72A8">
        <w:t>Please clarify</w:t>
      </w:r>
    </w:p>
    <w:p w:rsidR="001207C5" w:rsidRPr="007D72A8" w:rsidRDefault="001207C5" w:rsidP="001207C5">
      <w:pPr>
        <w:pStyle w:val="NoSpacing"/>
      </w:pPr>
    </w:p>
    <w:p w:rsidR="001207C5" w:rsidRPr="007D72A8" w:rsidRDefault="001207C5" w:rsidP="001207C5">
      <w:pPr>
        <w:pStyle w:val="NoSpacing"/>
      </w:pPr>
      <w:r w:rsidRPr="007D72A8">
        <w:rPr>
          <w:u w:val="single"/>
        </w:rPr>
        <w:t>Suggested resolution:</w:t>
      </w:r>
      <w:r w:rsidR="008B44C7" w:rsidRPr="007D72A8">
        <w:t xml:space="preserve"> </w:t>
      </w:r>
      <w:r w:rsidR="007D72A8" w:rsidRPr="007D72A8">
        <w:t>Revised</w:t>
      </w:r>
      <w:r w:rsidR="008B44C7" w:rsidRPr="007D72A8">
        <w:t>.</w:t>
      </w:r>
    </w:p>
    <w:p w:rsidR="004A3662" w:rsidRPr="007D72A8" w:rsidRDefault="007D72A8" w:rsidP="001207C5">
      <w:pPr>
        <w:pStyle w:val="NoSpacing"/>
        <w:rPr>
          <w:i/>
          <w:u w:val="single"/>
        </w:rPr>
      </w:pPr>
      <w:r w:rsidRPr="007D72A8">
        <w:t>Motivation: the keys KEK2/KCK2 have been removed, pursuant to adoption of 14/341r5.</w:t>
      </w:r>
    </w:p>
    <w:p w:rsidR="00DC62DF" w:rsidRPr="007D72A8" w:rsidRDefault="00DC62DF" w:rsidP="00DC62DF">
      <w:pPr>
        <w:pStyle w:val="NoSpacing"/>
      </w:pPr>
    </w:p>
    <w:p w:rsidR="00DC62DF" w:rsidRPr="007D72A8" w:rsidRDefault="00DC62DF" w:rsidP="00DC62DF">
      <w:pPr>
        <w:pStyle w:val="NoSpacing"/>
      </w:pPr>
      <w:r w:rsidRPr="007D72A8">
        <w:rPr>
          <w:b/>
          <w:u w:val="single"/>
        </w:rPr>
        <w:t>CID #3243:</w:t>
      </w:r>
      <w:r w:rsidRPr="007D72A8">
        <w:t xml:space="preserve"> (</w:t>
      </w:r>
      <w:proofErr w:type="spellStart"/>
      <w:r w:rsidRPr="007D72A8">
        <w:t>Santosh</w:t>
      </w:r>
      <w:proofErr w:type="spellEnd"/>
      <w:r w:rsidRPr="007D72A8">
        <w:t xml:space="preserve"> </w:t>
      </w:r>
      <w:proofErr w:type="spellStart"/>
      <w:r w:rsidRPr="007D72A8">
        <w:t>Ghanshyam</w:t>
      </w:r>
      <w:proofErr w:type="spellEnd"/>
      <w:r w:rsidRPr="007D72A8">
        <w:t xml:space="preserve"> </w:t>
      </w:r>
      <w:proofErr w:type="spellStart"/>
      <w:r w:rsidRPr="007D72A8">
        <w:t>Pandey</w:t>
      </w:r>
      <w:proofErr w:type="spellEnd"/>
      <w:r w:rsidRPr="007D72A8">
        <w:t>) 11.11.2.3, p. 103, l. 27:</w:t>
      </w:r>
    </w:p>
    <w:p w:rsidR="00DC62DF" w:rsidRPr="007D72A8" w:rsidRDefault="00DC62DF" w:rsidP="00DC62DF">
      <w:pPr>
        <w:pStyle w:val="NoSpacing"/>
      </w:pPr>
      <w:r w:rsidRPr="007D72A8">
        <w:t>The reference for encrypt-and-authentication should be 11.11.2.6, and decrypt-and-verify should be 11.11.2.7.</w:t>
      </w:r>
    </w:p>
    <w:p w:rsidR="00DC62DF" w:rsidRPr="007D72A8" w:rsidRDefault="00DC62DF" w:rsidP="00DC62DF">
      <w:pPr>
        <w:pStyle w:val="NoSpacing"/>
      </w:pPr>
      <w:r w:rsidRPr="007D72A8">
        <w:t>Change as per the comment</w:t>
      </w:r>
    </w:p>
    <w:p w:rsidR="00DC62DF" w:rsidRPr="007D72A8" w:rsidRDefault="00DC62DF" w:rsidP="00DC62DF">
      <w:pPr>
        <w:pStyle w:val="NoSpacing"/>
      </w:pPr>
    </w:p>
    <w:p w:rsidR="00DC62DF" w:rsidRPr="007D72A8" w:rsidRDefault="00DC62DF" w:rsidP="00DC62DF">
      <w:pPr>
        <w:pStyle w:val="NoSpacing"/>
      </w:pPr>
      <w:r w:rsidRPr="007D72A8">
        <w:rPr>
          <w:u w:val="single"/>
        </w:rPr>
        <w:t>Suggested resolution:</w:t>
      </w:r>
      <w:r w:rsidRPr="007D72A8">
        <w:t xml:space="preserve"> </w:t>
      </w:r>
      <w:r w:rsidR="007274CD">
        <w:t>Revised</w:t>
      </w:r>
      <w:r w:rsidRPr="007D72A8">
        <w:t>.</w:t>
      </w:r>
    </w:p>
    <w:p w:rsidR="00DC62DF" w:rsidRPr="007D72A8" w:rsidRDefault="00DC62DF" w:rsidP="00DC62DF">
      <w:pPr>
        <w:pStyle w:val="NoSpacing"/>
      </w:pPr>
      <w:r w:rsidRPr="007D72A8">
        <w:t>Motivation: Editorial glitch.</w:t>
      </w:r>
      <w:r w:rsidR="007D72A8" w:rsidRPr="007D72A8">
        <w:t xml:space="preserve"> BTW – these clauses have been removed, pursuant to adoption of 14/341r5.</w:t>
      </w:r>
    </w:p>
    <w:p w:rsidR="006D5B0C" w:rsidRPr="007D72A8" w:rsidRDefault="006D5B0C" w:rsidP="00DC62DF">
      <w:pPr>
        <w:pStyle w:val="NoSpacing"/>
      </w:pPr>
    </w:p>
    <w:p w:rsidR="006D5B0C" w:rsidRPr="007D72A8" w:rsidRDefault="006D5B0C" w:rsidP="006D5B0C">
      <w:pPr>
        <w:pStyle w:val="NoSpacing"/>
      </w:pPr>
      <w:r w:rsidRPr="007D72A8">
        <w:rPr>
          <w:b/>
          <w:u w:val="single"/>
        </w:rPr>
        <w:t>CID #2987:</w:t>
      </w:r>
      <w:r w:rsidRPr="007D72A8">
        <w:t xml:space="preserve"> (Michael </w:t>
      </w:r>
      <w:proofErr w:type="spellStart"/>
      <w:r w:rsidRPr="007D72A8">
        <w:t>Montemurro</w:t>
      </w:r>
      <w:proofErr w:type="spellEnd"/>
      <w:r w:rsidRPr="007D72A8">
        <w:t>) 11.11.2.3, p. 103, l. 13:</w:t>
      </w:r>
    </w:p>
    <w:p w:rsidR="006D5B0C" w:rsidRPr="007D72A8" w:rsidRDefault="006D5B0C" w:rsidP="006D5B0C">
      <w:pPr>
        <w:spacing w:after="0" w:line="240" w:lineRule="auto"/>
      </w:pPr>
      <w:r w:rsidRPr="007D72A8">
        <w:rPr>
          <w:rFonts w:eastAsia="Times New Roman" w:cs="Arial"/>
          <w:sz w:val="20"/>
          <w:szCs w:val="20"/>
        </w:rPr>
        <w:t xml:space="preserve">Where is the description of how the keys are derived from the KDF </w:t>
      </w:r>
      <w:proofErr w:type="gramStart"/>
      <w:r w:rsidRPr="007D72A8">
        <w:rPr>
          <w:rFonts w:eastAsia="Times New Roman" w:cs="Arial"/>
          <w:sz w:val="20"/>
          <w:szCs w:val="20"/>
        </w:rPr>
        <w:t>output.</w:t>
      </w:r>
      <w:proofErr w:type="gramEnd"/>
      <w:r w:rsidRPr="007D72A8">
        <w:t xml:space="preserve"> </w:t>
      </w:r>
    </w:p>
    <w:p w:rsidR="006D5B0C" w:rsidRPr="007D72A8" w:rsidRDefault="006D5B0C" w:rsidP="006D5B0C">
      <w:pPr>
        <w:spacing w:after="0" w:line="240" w:lineRule="auto"/>
        <w:rPr>
          <w:rFonts w:eastAsia="Times New Roman" w:cs="Arial"/>
          <w:sz w:val="20"/>
          <w:szCs w:val="20"/>
        </w:rPr>
      </w:pPr>
      <w:proofErr w:type="spellStart"/>
      <w:r w:rsidRPr="007D72A8">
        <w:rPr>
          <w:rFonts w:eastAsia="Times New Roman" w:cs="Arial"/>
          <w:sz w:val="20"/>
          <w:szCs w:val="20"/>
        </w:rPr>
        <w:t>Eiher</w:t>
      </w:r>
      <w:proofErr w:type="spellEnd"/>
      <w:r w:rsidRPr="007D72A8">
        <w:rPr>
          <w:rFonts w:eastAsia="Times New Roman" w:cs="Arial"/>
          <w:sz w:val="20"/>
          <w:szCs w:val="20"/>
        </w:rPr>
        <w:t xml:space="preserve"> </w:t>
      </w:r>
      <w:proofErr w:type="spellStart"/>
      <w:r w:rsidRPr="007D72A8">
        <w:rPr>
          <w:rFonts w:eastAsia="Times New Roman" w:cs="Arial"/>
          <w:sz w:val="20"/>
          <w:szCs w:val="20"/>
        </w:rPr>
        <w:t>explicity</w:t>
      </w:r>
      <w:proofErr w:type="spellEnd"/>
      <w:r w:rsidRPr="007D72A8">
        <w:rPr>
          <w:rFonts w:eastAsia="Times New Roman" w:cs="Arial"/>
          <w:sz w:val="20"/>
          <w:szCs w:val="20"/>
        </w:rPr>
        <w:t xml:space="preserve"> </w:t>
      </w:r>
      <w:proofErr w:type="gramStart"/>
      <w:r w:rsidRPr="007D72A8">
        <w:rPr>
          <w:rFonts w:eastAsia="Times New Roman" w:cs="Arial"/>
          <w:sz w:val="20"/>
          <w:szCs w:val="20"/>
        </w:rPr>
        <w:t>show</w:t>
      </w:r>
      <w:proofErr w:type="gramEnd"/>
      <w:r w:rsidRPr="007D72A8">
        <w:rPr>
          <w:rFonts w:eastAsia="Times New Roman" w:cs="Arial"/>
          <w:sz w:val="20"/>
          <w:szCs w:val="20"/>
        </w:rPr>
        <w:t xml:space="preserve"> the Key derivations from the KDF output or point </w:t>
      </w:r>
      <w:proofErr w:type="spellStart"/>
      <w:r w:rsidRPr="007D72A8">
        <w:rPr>
          <w:rFonts w:eastAsia="Times New Roman" w:cs="Arial"/>
          <w:sz w:val="20"/>
          <w:szCs w:val="20"/>
        </w:rPr>
        <w:t>ot</w:t>
      </w:r>
      <w:proofErr w:type="spellEnd"/>
      <w:r w:rsidRPr="007D72A8">
        <w:rPr>
          <w:rFonts w:eastAsia="Times New Roman" w:cs="Arial"/>
          <w:sz w:val="20"/>
          <w:szCs w:val="20"/>
        </w:rPr>
        <w:t xml:space="preserve"> the existing sub-clauses where these are defined.</w:t>
      </w:r>
    </w:p>
    <w:p w:rsidR="006D5B0C" w:rsidRPr="007D72A8" w:rsidRDefault="006D5B0C" w:rsidP="006D5B0C">
      <w:pPr>
        <w:spacing w:after="0" w:line="240" w:lineRule="auto"/>
        <w:rPr>
          <w:rFonts w:eastAsia="Times New Roman" w:cs="Arial"/>
          <w:sz w:val="20"/>
          <w:szCs w:val="20"/>
        </w:rPr>
      </w:pPr>
    </w:p>
    <w:p w:rsidR="006D5B0C" w:rsidRPr="007D72A8" w:rsidRDefault="006D5B0C" w:rsidP="006D5B0C">
      <w:pPr>
        <w:pStyle w:val="NoSpacing"/>
      </w:pPr>
      <w:r w:rsidRPr="007D72A8">
        <w:rPr>
          <w:u w:val="single"/>
        </w:rPr>
        <w:t>Suggested resolution:</w:t>
      </w:r>
      <w:r w:rsidRPr="007D72A8">
        <w:t xml:space="preserve"> Reject.</w:t>
      </w:r>
    </w:p>
    <w:p w:rsidR="006D5B0C" w:rsidRPr="007D72A8" w:rsidRDefault="006D5B0C" w:rsidP="006D5B0C">
      <w:pPr>
        <w:pStyle w:val="NoSpacing"/>
      </w:pPr>
      <w:r w:rsidRPr="007D72A8">
        <w:t xml:space="preserve">Motivation: The keys are specified as substrings, in order, of the corresponding </w:t>
      </w:r>
      <w:proofErr w:type="spellStart"/>
      <w:r w:rsidRPr="007D72A8">
        <w:t>kdf</w:t>
      </w:r>
      <w:proofErr w:type="spellEnd"/>
      <w:r w:rsidRPr="007D72A8">
        <w:t>-output and uniquely defined by their length.</w:t>
      </w:r>
    </w:p>
    <w:p w:rsidR="006D5B0C" w:rsidRPr="007D72A8" w:rsidRDefault="006D5B0C" w:rsidP="006D5B0C">
      <w:pPr>
        <w:pStyle w:val="NoSpacing"/>
      </w:pPr>
    </w:p>
    <w:p w:rsidR="003E3375" w:rsidRPr="007D72A8" w:rsidRDefault="003E3375" w:rsidP="003E3375">
      <w:pPr>
        <w:pStyle w:val="NoSpacing"/>
      </w:pPr>
      <w:r w:rsidRPr="007D72A8">
        <w:rPr>
          <w:b/>
          <w:u w:val="single"/>
        </w:rPr>
        <w:t>CID #2495:</w:t>
      </w:r>
      <w:r w:rsidRPr="007D72A8">
        <w:t xml:space="preserve"> (George </w:t>
      </w:r>
      <w:proofErr w:type="spellStart"/>
      <w:r w:rsidRPr="007D72A8">
        <w:t>Cherian</w:t>
      </w:r>
      <w:proofErr w:type="spellEnd"/>
      <w:r w:rsidRPr="007D72A8">
        <w:t>) 11.11.2.4, p. 103, l. 40:</w:t>
      </w:r>
    </w:p>
    <w:p w:rsidR="003E3375" w:rsidRPr="007D72A8" w:rsidRDefault="003E3375" w:rsidP="003E3375">
      <w:pPr>
        <w:pStyle w:val="NoSpacing"/>
      </w:pPr>
      <w:r w:rsidRPr="007D72A8">
        <w:t>Change sentence:  "Key confirmation for FILS authentication is carried in an Association Request followed by ...."</w:t>
      </w:r>
    </w:p>
    <w:p w:rsidR="003E3375" w:rsidRPr="007D72A8" w:rsidRDefault="003E3375" w:rsidP="003E3375">
      <w:pPr>
        <w:pStyle w:val="NoSpacing"/>
      </w:pPr>
      <w:proofErr w:type="gramStart"/>
      <w:r w:rsidRPr="007D72A8">
        <w:t>as</w:t>
      </w:r>
      <w:proofErr w:type="gramEnd"/>
      <w:r w:rsidRPr="007D72A8">
        <w:t xml:space="preserve"> in comment</w:t>
      </w:r>
    </w:p>
    <w:p w:rsidR="003E3375" w:rsidRPr="007D72A8" w:rsidRDefault="003E3375" w:rsidP="003E3375">
      <w:pPr>
        <w:pStyle w:val="NoSpacing"/>
      </w:pPr>
    </w:p>
    <w:p w:rsidR="003E3375" w:rsidRPr="007D72A8" w:rsidRDefault="003E3375" w:rsidP="003E3375">
      <w:pPr>
        <w:pStyle w:val="NoSpacing"/>
      </w:pPr>
      <w:r w:rsidRPr="007D72A8">
        <w:rPr>
          <w:u w:val="single"/>
        </w:rPr>
        <w:t>Suggested resolution:</w:t>
      </w:r>
      <w:r w:rsidRPr="007D72A8">
        <w:t xml:space="preserve"> </w:t>
      </w:r>
      <w:r w:rsidR="001F4843">
        <w:t>Revised</w:t>
      </w:r>
      <w:r w:rsidRPr="007D72A8">
        <w:t>.</w:t>
      </w:r>
    </w:p>
    <w:p w:rsidR="003E3375" w:rsidRPr="007D72A8" w:rsidRDefault="0055192C" w:rsidP="003E3375">
      <w:pPr>
        <w:pStyle w:val="NoSpacing"/>
      </w:pPr>
      <w:proofErr w:type="gramStart"/>
      <w:r w:rsidRPr="007D72A8">
        <w:t xml:space="preserve">Suggested to change this line to “Key confirmation for FILS Authentication is implemented </w:t>
      </w:r>
      <w:r w:rsidR="007274CD">
        <w:t>by</w:t>
      </w:r>
      <w:r w:rsidRPr="007D72A8">
        <w:t xml:space="preserve"> an Association Request followed by and Association Response.</w:t>
      </w:r>
      <w:proofErr w:type="gramEnd"/>
    </w:p>
    <w:p w:rsidR="007D72A8" w:rsidRPr="007D72A8" w:rsidRDefault="007D72A8" w:rsidP="003E3375">
      <w:pPr>
        <w:pStyle w:val="NoSpacing"/>
      </w:pPr>
      <w:r w:rsidRPr="007D72A8">
        <w:t>Note: this has not been addressed by adoption of 14/341r5.</w:t>
      </w:r>
    </w:p>
    <w:p w:rsidR="003E3375" w:rsidRPr="007D72A8" w:rsidRDefault="003E3375" w:rsidP="003E3375">
      <w:pPr>
        <w:pStyle w:val="NoSpacing"/>
      </w:pPr>
    </w:p>
    <w:p w:rsidR="0055192C" w:rsidRPr="007D72A8" w:rsidRDefault="0055192C" w:rsidP="0055192C">
      <w:pPr>
        <w:pStyle w:val="NoSpacing"/>
      </w:pPr>
      <w:r w:rsidRPr="007D72A8">
        <w:rPr>
          <w:b/>
          <w:u w:val="single"/>
        </w:rPr>
        <w:t>CID #2494:</w:t>
      </w:r>
      <w:r w:rsidRPr="007D72A8">
        <w:t xml:space="preserve"> (George </w:t>
      </w:r>
      <w:proofErr w:type="spellStart"/>
      <w:r w:rsidRPr="007D72A8">
        <w:t>Cherian</w:t>
      </w:r>
      <w:proofErr w:type="spellEnd"/>
      <w:r w:rsidRPr="007D72A8">
        <w:t>) 11.11.2.4</w:t>
      </w:r>
      <w:r w:rsidR="00B1013E" w:rsidRPr="007D72A8">
        <w:t>, p. 103, l. 6</w:t>
      </w:r>
      <w:r w:rsidRPr="007D72A8">
        <w:t>:</w:t>
      </w:r>
    </w:p>
    <w:p w:rsidR="0055192C" w:rsidRPr="007D72A8" w:rsidRDefault="0055192C" w:rsidP="0055192C">
      <w:pPr>
        <w:pStyle w:val="NoSpacing"/>
      </w:pPr>
      <w:proofErr w:type="gramStart"/>
      <w:r w:rsidRPr="007D72A8">
        <w:t>Acronym overload.</w:t>
      </w:r>
      <w:proofErr w:type="gramEnd"/>
      <w:r w:rsidRPr="007D72A8">
        <w:t xml:space="preserve">  TK is already defined as temporal key.  This paragraph redefines it to be Traffic Key.  I believe the intention is still Temporal Key, if not, pick a different acronym</w:t>
      </w:r>
    </w:p>
    <w:p w:rsidR="0055192C" w:rsidRPr="007D72A8" w:rsidRDefault="0055192C" w:rsidP="0055192C">
      <w:pPr>
        <w:pStyle w:val="NoSpacing"/>
      </w:pPr>
      <w:r w:rsidRPr="007D72A8">
        <w:t>Amend acronym</w:t>
      </w:r>
    </w:p>
    <w:p w:rsidR="0055192C" w:rsidRPr="007D72A8" w:rsidRDefault="0055192C" w:rsidP="0055192C">
      <w:pPr>
        <w:pStyle w:val="NoSpacing"/>
      </w:pPr>
    </w:p>
    <w:p w:rsidR="0055192C" w:rsidRPr="007D72A8" w:rsidRDefault="0055192C" w:rsidP="0055192C">
      <w:pPr>
        <w:pStyle w:val="NoSpacing"/>
      </w:pPr>
      <w:r w:rsidRPr="007D72A8">
        <w:rPr>
          <w:u w:val="single"/>
        </w:rPr>
        <w:t>Suggested resolution:</w:t>
      </w:r>
      <w:r w:rsidRPr="007D72A8">
        <w:t xml:space="preserve"> </w:t>
      </w:r>
      <w:r w:rsidR="001F4843">
        <w:t>Accept</w:t>
      </w:r>
      <w:r w:rsidRPr="007D72A8">
        <w:t>.</w:t>
      </w:r>
    </w:p>
    <w:p w:rsidR="007D72A8" w:rsidRPr="007D72A8" w:rsidRDefault="007D72A8" w:rsidP="0055192C">
      <w:pPr>
        <w:pStyle w:val="NoSpacing"/>
      </w:pPr>
      <w:r w:rsidRPr="007D72A8">
        <w:t>Note: this has been addressed via adoption of 14/341r5.</w:t>
      </w:r>
    </w:p>
    <w:p w:rsidR="00D7073D" w:rsidRPr="007D72A8" w:rsidRDefault="00D7073D" w:rsidP="00D7073D">
      <w:pPr>
        <w:pStyle w:val="NoSpacing"/>
      </w:pPr>
    </w:p>
    <w:p w:rsidR="00D7073D" w:rsidRPr="007D72A8" w:rsidRDefault="00D2277E" w:rsidP="00D7073D">
      <w:pPr>
        <w:pStyle w:val="NoSpacing"/>
      </w:pPr>
      <w:r w:rsidRPr="007D72A8">
        <w:rPr>
          <w:b/>
          <w:u w:val="single"/>
        </w:rPr>
        <w:t>CID #2195</w:t>
      </w:r>
      <w:r w:rsidR="00D7073D" w:rsidRPr="007D72A8">
        <w:rPr>
          <w:b/>
          <w:u w:val="single"/>
        </w:rPr>
        <w:t>:</w:t>
      </w:r>
      <w:r w:rsidR="00D7073D" w:rsidRPr="007D72A8">
        <w:t xml:space="preserve"> (Dan Harkins) 11.11.2.3, p. 103, l. 14:</w:t>
      </w:r>
    </w:p>
    <w:p w:rsidR="00D7073D" w:rsidRPr="007D72A8" w:rsidRDefault="00D7073D" w:rsidP="00D7073D">
      <w:pPr>
        <w:pStyle w:val="NoSpacing"/>
      </w:pPr>
      <w:r w:rsidRPr="007D72A8">
        <w:t>FILS needs to define how to generate a PMKID</w:t>
      </w:r>
    </w:p>
    <w:p w:rsidR="00D7073D" w:rsidRPr="007D72A8" w:rsidRDefault="00D7073D" w:rsidP="00D7073D">
      <w:pPr>
        <w:pStyle w:val="NoSpacing"/>
      </w:pPr>
      <w:r w:rsidRPr="007D72A8">
        <w:t xml:space="preserve">A PMK is derived but there is no PMK identifier. Define one. And don't hash the PMK either. It should not be based on the PMK but, instead, based on data that uniquely generates the PMK (like the </w:t>
      </w:r>
      <w:proofErr w:type="spellStart"/>
      <w:r w:rsidRPr="007D72A8">
        <w:t>diffie-hellman</w:t>
      </w:r>
      <w:proofErr w:type="spellEnd"/>
      <w:r w:rsidRPr="007D72A8">
        <w:t xml:space="preserve"> exponentials)</w:t>
      </w:r>
    </w:p>
    <w:p w:rsidR="00D7073D" w:rsidRPr="007D72A8" w:rsidRDefault="00D7073D" w:rsidP="00D7073D">
      <w:pPr>
        <w:pStyle w:val="NoSpacing"/>
        <w:rPr>
          <w:u w:val="single"/>
        </w:rPr>
      </w:pPr>
    </w:p>
    <w:p w:rsidR="00D7073D" w:rsidRPr="007D72A8" w:rsidRDefault="00D7073D" w:rsidP="00D7073D">
      <w:pPr>
        <w:pStyle w:val="NoSpacing"/>
      </w:pPr>
      <w:r w:rsidRPr="007D72A8">
        <w:rPr>
          <w:u w:val="single"/>
        </w:rPr>
        <w:t>Suggested resolution:</w:t>
      </w:r>
      <w:r w:rsidRPr="007D72A8">
        <w:t xml:space="preserve"> </w:t>
      </w:r>
      <w:r w:rsidR="007D72A8" w:rsidRPr="007D72A8">
        <w:t>Revised</w:t>
      </w:r>
      <w:r w:rsidRPr="007D72A8">
        <w:t>.</w:t>
      </w:r>
    </w:p>
    <w:p w:rsidR="007D72A8" w:rsidRPr="007D72A8" w:rsidRDefault="007D72A8" w:rsidP="00D7073D">
      <w:pPr>
        <w:pStyle w:val="NoSpacing"/>
      </w:pPr>
      <w:r w:rsidRPr="007D72A8">
        <w:t>Note: this has been implemented by adoption of 14/341r5.</w:t>
      </w:r>
    </w:p>
    <w:p w:rsidR="00D7073D" w:rsidRPr="007D72A8" w:rsidRDefault="00D7073D" w:rsidP="00D7073D">
      <w:pPr>
        <w:pStyle w:val="NoSpacing"/>
      </w:pPr>
    </w:p>
    <w:p w:rsidR="00D2277E" w:rsidRPr="007D72A8" w:rsidRDefault="00D2277E" w:rsidP="00D2277E">
      <w:pPr>
        <w:pStyle w:val="NoSpacing"/>
      </w:pPr>
      <w:r w:rsidRPr="007D72A8">
        <w:rPr>
          <w:b/>
          <w:u w:val="single"/>
        </w:rPr>
        <w:t>CID #2199:</w:t>
      </w:r>
      <w:r w:rsidRPr="007D72A8">
        <w:t xml:space="preserve"> (Dan Harkins) 11.11.2.3, p. 103, l. 8:</w:t>
      </w:r>
    </w:p>
    <w:p w:rsidR="0086271B" w:rsidRPr="007D72A8" w:rsidRDefault="00D2277E" w:rsidP="0086271B">
      <w:pPr>
        <w:pStyle w:val="NoSpacing"/>
      </w:pPr>
      <w:r w:rsidRPr="007D72A8">
        <w:t>The length of keys should depend on the AKM and not be hardcoded to 128 (or 256, depending on the key). This allows for security levels to be set and to use consistent cryptographic primitives.</w:t>
      </w:r>
    </w:p>
    <w:p w:rsidR="0086271B" w:rsidRPr="007D72A8" w:rsidRDefault="00D2277E" w:rsidP="0086271B">
      <w:pPr>
        <w:pStyle w:val="NoSpacing"/>
      </w:pPr>
      <w:r w:rsidRPr="007D72A8">
        <w:t>Make the length of the keys derived, and therefore used (like the KEK and KCK) be based on the security level afforded by the AKM.</w:t>
      </w:r>
    </w:p>
    <w:p w:rsidR="00A064B4" w:rsidRPr="007D72A8" w:rsidRDefault="00A064B4" w:rsidP="0086271B">
      <w:pPr>
        <w:pStyle w:val="NoSpacing"/>
      </w:pPr>
    </w:p>
    <w:p w:rsidR="00A064B4" w:rsidRPr="007D72A8" w:rsidRDefault="00A064B4" w:rsidP="0086271B">
      <w:pPr>
        <w:pStyle w:val="NoSpacing"/>
      </w:pPr>
      <w:r w:rsidRPr="007D72A8">
        <w:rPr>
          <w:u w:val="single"/>
        </w:rPr>
        <w:t>Suggested resolution:</w:t>
      </w:r>
      <w:r w:rsidRPr="007D72A8">
        <w:t xml:space="preserve"> Revised.</w:t>
      </w:r>
    </w:p>
    <w:p w:rsidR="00A064B4" w:rsidRPr="007D72A8" w:rsidRDefault="00A064B4" w:rsidP="0086271B">
      <w:pPr>
        <w:pStyle w:val="NoSpacing"/>
      </w:pPr>
      <w:r w:rsidRPr="007D72A8">
        <w:t>Implemented with adoption of 14/341r5.</w:t>
      </w:r>
    </w:p>
    <w:p w:rsidR="00D2277E" w:rsidRPr="007D72A8" w:rsidRDefault="00D2277E" w:rsidP="00D2277E">
      <w:pPr>
        <w:pStyle w:val="NoSpacing"/>
        <w:rPr>
          <w:b/>
          <w:u w:val="single"/>
        </w:rPr>
      </w:pPr>
    </w:p>
    <w:p w:rsidR="0086271B" w:rsidRPr="007D72A8" w:rsidRDefault="00D2277E" w:rsidP="0086271B">
      <w:pPr>
        <w:pStyle w:val="NoSpacing"/>
      </w:pPr>
      <w:r w:rsidRPr="007D72A8">
        <w:rPr>
          <w:b/>
          <w:u w:val="single"/>
        </w:rPr>
        <w:t>CID #2205:</w:t>
      </w:r>
      <w:r w:rsidRPr="007D72A8">
        <w:t xml:space="preserve"> (Dan Harkins) 11.11.2.3, p. 103, l. 32:</w:t>
      </w:r>
    </w:p>
    <w:p w:rsidR="00D2277E" w:rsidRPr="007D72A8" w:rsidRDefault="00D2277E" w:rsidP="0086271B">
      <w:pPr>
        <w:pStyle w:val="NoSpacing"/>
      </w:pPr>
      <w:r w:rsidRPr="007D72A8">
        <w:t xml:space="preserve">Imposed requirements cannot be </w:t>
      </w:r>
      <w:proofErr w:type="spellStart"/>
      <w:r w:rsidRPr="007D72A8">
        <w:t>unactionable</w:t>
      </w:r>
      <w:proofErr w:type="spellEnd"/>
      <w:r w:rsidRPr="007D72A8">
        <w:t xml:space="preserve"> and vague</w:t>
      </w:r>
    </w:p>
    <w:p w:rsidR="00B1013E" w:rsidRPr="007D72A8" w:rsidRDefault="00D2277E" w:rsidP="00A064B4">
      <w:pPr>
        <w:rPr>
          <w:sz w:val="20"/>
        </w:rPr>
      </w:pPr>
      <w:proofErr w:type="gramStart"/>
      <w:r w:rsidRPr="007D72A8">
        <w:rPr>
          <w:sz w:val="20"/>
        </w:rPr>
        <w:t>what</w:t>
      </w:r>
      <w:proofErr w:type="gramEnd"/>
      <w:r w:rsidRPr="007D72A8">
        <w:rPr>
          <w:sz w:val="20"/>
        </w:rPr>
        <w:t xml:space="preserve"> does "used in exactly the same way as same-named keys" mean? What does this refer to? What does "(but now derived as specified above)" mean? If this is "but now" then what happens later? Entire sentence is vague and</w:t>
      </w:r>
      <w:r w:rsidR="00A064B4" w:rsidRPr="007D72A8">
        <w:rPr>
          <w:sz w:val="20"/>
        </w:rPr>
        <w:t xml:space="preserve"> needs to be properly rewritten.</w:t>
      </w:r>
    </w:p>
    <w:p w:rsidR="007D72A8" w:rsidRPr="007D72A8" w:rsidRDefault="007D72A8" w:rsidP="007D72A8">
      <w:pPr>
        <w:pStyle w:val="NoSpacing"/>
      </w:pPr>
      <w:r w:rsidRPr="007D72A8">
        <w:rPr>
          <w:u w:val="single"/>
        </w:rPr>
        <w:t>Suggested resolution:</w:t>
      </w:r>
      <w:r w:rsidRPr="007D72A8">
        <w:t xml:space="preserve"> Revised.</w:t>
      </w:r>
    </w:p>
    <w:p w:rsidR="007D72A8" w:rsidRDefault="007D72A8" w:rsidP="007D72A8">
      <w:pPr>
        <w:pStyle w:val="NoSpacing"/>
      </w:pPr>
      <w:r w:rsidRPr="007D72A8">
        <w:t>Implemented with adoption of 14/341r5.</w:t>
      </w:r>
    </w:p>
    <w:p w:rsidR="009E215D" w:rsidRDefault="009E215D" w:rsidP="007D72A8">
      <w:pPr>
        <w:pStyle w:val="NoSpacing"/>
      </w:pPr>
    </w:p>
    <w:p w:rsidR="009E215D" w:rsidRPr="007D72A8" w:rsidRDefault="009E215D" w:rsidP="009E215D">
      <w:pPr>
        <w:pStyle w:val="NoSpacing"/>
      </w:pPr>
      <w:r w:rsidRPr="007D72A8">
        <w:rPr>
          <w:b/>
          <w:u w:val="single"/>
        </w:rPr>
        <w:t>CID #2</w:t>
      </w:r>
      <w:r>
        <w:rPr>
          <w:b/>
          <w:u w:val="single"/>
        </w:rPr>
        <w:t>971</w:t>
      </w:r>
      <w:r w:rsidRPr="007D72A8">
        <w:rPr>
          <w:b/>
          <w:u w:val="single"/>
        </w:rPr>
        <w:t>:</w:t>
      </w:r>
      <w:r>
        <w:t xml:space="preserve"> (Michael </w:t>
      </w:r>
      <w:proofErr w:type="spellStart"/>
      <w:r>
        <w:t>Montemurro</w:t>
      </w:r>
      <w:proofErr w:type="spellEnd"/>
      <w:r>
        <w:t>) 11.11, p. 99, l. 3</w:t>
      </w:r>
      <w:r w:rsidRPr="007D72A8">
        <w:t>:</w:t>
      </w:r>
    </w:p>
    <w:p w:rsidR="009E215D" w:rsidRDefault="009E215D" w:rsidP="007D72A8">
      <w:pPr>
        <w:pStyle w:val="NoSpacing"/>
      </w:pPr>
      <w:r w:rsidRPr="009E215D">
        <w:t>Where's the GTKSA or STKSA?</w:t>
      </w:r>
    </w:p>
    <w:p w:rsidR="009E215D" w:rsidRDefault="009E215D" w:rsidP="007D72A8">
      <w:pPr>
        <w:pStyle w:val="NoSpacing"/>
      </w:pPr>
      <w:r w:rsidRPr="009E215D">
        <w:t xml:space="preserve">If this is a protocol for </w:t>
      </w:r>
      <w:proofErr w:type="spellStart"/>
      <w:r w:rsidRPr="009E215D">
        <w:t>intfrastructure</w:t>
      </w:r>
      <w:proofErr w:type="spellEnd"/>
      <w:r w:rsidRPr="009E215D">
        <w:t xml:space="preserve"> connections, it requires a GTKSA. Furthermore if it supports other types of </w:t>
      </w:r>
      <w:proofErr w:type="spellStart"/>
      <w:r w:rsidRPr="009E215D">
        <w:t>conneections</w:t>
      </w:r>
      <w:proofErr w:type="spellEnd"/>
      <w:r w:rsidRPr="009E215D">
        <w:t xml:space="preserve"> it requires support for a STKSA as well.</w:t>
      </w:r>
    </w:p>
    <w:p w:rsidR="009E215D" w:rsidRDefault="009E215D" w:rsidP="007D72A8">
      <w:pPr>
        <w:pStyle w:val="NoSpacing"/>
      </w:pPr>
    </w:p>
    <w:p w:rsidR="009E215D" w:rsidRPr="007D72A8" w:rsidRDefault="009E215D" w:rsidP="009E215D">
      <w:pPr>
        <w:pStyle w:val="NoSpacing"/>
      </w:pPr>
      <w:r w:rsidRPr="007D72A8">
        <w:rPr>
          <w:u w:val="single"/>
        </w:rPr>
        <w:t>Suggested resolution:</w:t>
      </w:r>
      <w:r w:rsidRPr="007D72A8">
        <w:t xml:space="preserve"> </w:t>
      </w:r>
      <w:r w:rsidR="00F47720">
        <w:t>Revised</w:t>
      </w:r>
      <w:r w:rsidRPr="007D72A8">
        <w:t>.</w:t>
      </w:r>
    </w:p>
    <w:p w:rsidR="009E215D" w:rsidRDefault="00F47720" w:rsidP="007D72A8">
      <w:pPr>
        <w:pStyle w:val="NoSpacing"/>
      </w:pPr>
      <w:r>
        <w:t xml:space="preserve">With Infrastructure BSS, the </w:t>
      </w:r>
      <w:r w:rsidR="009E215D">
        <w:t xml:space="preserve">GTKSA </w:t>
      </w:r>
      <w:r>
        <w:t>is used by the AP to encrypt group-addressed</w:t>
      </w:r>
      <w:r w:rsidR="009E215D">
        <w:t xml:space="preserve"> </w:t>
      </w:r>
      <w:r>
        <w:t xml:space="preserve">MPDUs </w:t>
      </w:r>
      <w:r w:rsidR="009E215D">
        <w:t xml:space="preserve">(see 802.11-2012, Clause </w:t>
      </w:r>
      <w:r>
        <w:t>11.5.1.8.8). In that case, it would indeed be beneficial to pass the GTKSA, as part of key confirmation from the AP to STA.</w:t>
      </w:r>
      <w:r w:rsidRPr="00F47720">
        <w:t xml:space="preserve"> </w:t>
      </w:r>
      <w:r w:rsidR="00C72528">
        <w:t xml:space="preserve">However, this is already facilitated (see Table 11-6 of Clause 11.6.2 of 802.11-2012). </w:t>
      </w:r>
      <w:r>
        <w:t>As to STKSA: FILS authentication results in a secure and authentic channel between STA and AP. Since STKSA results from the set-up of a secure and authentic channel between two STAs connected to the same AP (</w:t>
      </w:r>
      <w:r w:rsidR="00AA6CAE">
        <w:t>see 802.11-2012, Clause 11.6.8), this is not part of FILS.</w:t>
      </w:r>
    </w:p>
    <w:p w:rsidR="00C72528" w:rsidRPr="007D72A8" w:rsidRDefault="00C72528" w:rsidP="007D72A8">
      <w:pPr>
        <w:pStyle w:val="NoSpacing"/>
      </w:pPr>
      <w:r>
        <w:lastRenderedPageBreak/>
        <w:t>Note: No changes to specification required.</w:t>
      </w:r>
    </w:p>
    <w:sectPr w:rsidR="00C72528" w:rsidRPr="007D72A8" w:rsidSect="00DB707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5CC2" w:rsidRDefault="00355CC2" w:rsidP="00AD7411">
      <w:pPr>
        <w:spacing w:after="0" w:line="240" w:lineRule="auto"/>
      </w:pPr>
      <w:r>
        <w:separator/>
      </w:r>
    </w:p>
  </w:endnote>
  <w:endnote w:type="continuationSeparator" w:id="0">
    <w:p w:rsidR="00355CC2" w:rsidRDefault="00355CC2" w:rsidP="00AD74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5CC2" w:rsidRDefault="00355CC2" w:rsidP="00AD7411">
      <w:pPr>
        <w:spacing w:after="0" w:line="240" w:lineRule="auto"/>
      </w:pPr>
      <w:r>
        <w:separator/>
      </w:r>
    </w:p>
  </w:footnote>
  <w:footnote w:type="continuationSeparator" w:id="0">
    <w:p w:rsidR="00355CC2" w:rsidRDefault="00355CC2" w:rsidP="00AD74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66CC0"/>
    <w:multiLevelType w:val="hybridMultilevel"/>
    <w:tmpl w:val="AEE61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C23964"/>
    <w:multiLevelType w:val="hybridMultilevel"/>
    <w:tmpl w:val="4F82AF82"/>
    <w:lvl w:ilvl="0" w:tplc="18C49E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A465AD"/>
    <w:multiLevelType w:val="hybridMultilevel"/>
    <w:tmpl w:val="E70C5446"/>
    <w:lvl w:ilvl="0" w:tplc="18C49E7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5410CBA"/>
    <w:multiLevelType w:val="hybridMultilevel"/>
    <w:tmpl w:val="3912C03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7957423"/>
    <w:multiLevelType w:val="hybridMultilevel"/>
    <w:tmpl w:val="7C52E606"/>
    <w:lvl w:ilvl="0" w:tplc="18C49E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725C87"/>
    <w:multiLevelType w:val="hybridMultilevel"/>
    <w:tmpl w:val="059A210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B0F1C8F"/>
    <w:multiLevelType w:val="hybridMultilevel"/>
    <w:tmpl w:val="D0641BEC"/>
    <w:lvl w:ilvl="0" w:tplc="1278FD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062F69"/>
    <w:multiLevelType w:val="hybridMultilevel"/>
    <w:tmpl w:val="0A688692"/>
    <w:lvl w:ilvl="0" w:tplc="23B66BE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2C4977"/>
    <w:multiLevelType w:val="hybridMultilevel"/>
    <w:tmpl w:val="2EDAB5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B443DD5"/>
    <w:multiLevelType w:val="hybridMultilevel"/>
    <w:tmpl w:val="B792CBDC"/>
    <w:lvl w:ilvl="0" w:tplc="18C49E76">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0">
    <w:nsid w:val="51B01BA1"/>
    <w:multiLevelType w:val="hybridMultilevel"/>
    <w:tmpl w:val="534851D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9A70BE6"/>
    <w:multiLevelType w:val="hybridMultilevel"/>
    <w:tmpl w:val="C0F62E36"/>
    <w:lvl w:ilvl="0" w:tplc="D5FCC602">
      <w:numFmt w:val="bullet"/>
      <w:lvlText w:val="—"/>
      <w:lvlJc w:val="left"/>
      <w:pPr>
        <w:ind w:left="360" w:hanging="360"/>
      </w:pPr>
      <w:rPr>
        <w:rFonts w:ascii="TimesNewRoman" w:eastAsiaTheme="minorHAnsi" w:hAnsi="TimesNewRoman" w:cs="TimesNew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4E0791A"/>
    <w:multiLevelType w:val="hybridMultilevel"/>
    <w:tmpl w:val="55200DD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D851845"/>
    <w:multiLevelType w:val="hybridMultilevel"/>
    <w:tmpl w:val="4A7E2A74"/>
    <w:lvl w:ilvl="0" w:tplc="D346B59A">
      <w:numFmt w:val="bullet"/>
      <w:lvlText w:val="—"/>
      <w:lvlJc w:val="left"/>
      <w:pPr>
        <w:ind w:left="390" w:hanging="360"/>
      </w:pPr>
      <w:rPr>
        <w:rFonts w:ascii="Calibri" w:eastAsiaTheme="minorHAnsi" w:hAnsi="Calibri" w:cs="TimesNew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num w:numId="1">
    <w:abstractNumId w:val="8"/>
  </w:num>
  <w:num w:numId="2">
    <w:abstractNumId w:val="5"/>
  </w:num>
  <w:num w:numId="3">
    <w:abstractNumId w:val="10"/>
  </w:num>
  <w:num w:numId="4">
    <w:abstractNumId w:val="0"/>
  </w:num>
  <w:num w:numId="5">
    <w:abstractNumId w:val="3"/>
  </w:num>
  <w:num w:numId="6">
    <w:abstractNumId w:val="12"/>
  </w:num>
  <w:num w:numId="7">
    <w:abstractNumId w:val="9"/>
  </w:num>
  <w:num w:numId="8">
    <w:abstractNumId w:val="1"/>
  </w:num>
  <w:num w:numId="9">
    <w:abstractNumId w:val="11"/>
  </w:num>
  <w:num w:numId="10">
    <w:abstractNumId w:val="6"/>
  </w:num>
  <w:num w:numId="11">
    <w:abstractNumId w:val="7"/>
  </w:num>
  <w:num w:numId="12">
    <w:abstractNumId w:val="4"/>
  </w:num>
  <w:num w:numId="13">
    <w:abstractNumId w:val="13"/>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F8640F"/>
    <w:rsid w:val="00016492"/>
    <w:rsid w:val="00055840"/>
    <w:rsid w:val="00093B4B"/>
    <w:rsid w:val="000A03D0"/>
    <w:rsid w:val="000C06EC"/>
    <w:rsid w:val="000D26B7"/>
    <w:rsid w:val="000F2FB5"/>
    <w:rsid w:val="000F37D5"/>
    <w:rsid w:val="001207C5"/>
    <w:rsid w:val="001266EF"/>
    <w:rsid w:val="00161681"/>
    <w:rsid w:val="0017162E"/>
    <w:rsid w:val="001C36ED"/>
    <w:rsid w:val="001F4843"/>
    <w:rsid w:val="00200C0D"/>
    <w:rsid w:val="00236175"/>
    <w:rsid w:val="0027017C"/>
    <w:rsid w:val="00290BAA"/>
    <w:rsid w:val="00293DDB"/>
    <w:rsid w:val="00324D3A"/>
    <w:rsid w:val="0032683B"/>
    <w:rsid w:val="003447DE"/>
    <w:rsid w:val="00355CC2"/>
    <w:rsid w:val="00364DF0"/>
    <w:rsid w:val="00370BEB"/>
    <w:rsid w:val="00377388"/>
    <w:rsid w:val="003C1498"/>
    <w:rsid w:val="003E3375"/>
    <w:rsid w:val="003F7FBC"/>
    <w:rsid w:val="00416FDD"/>
    <w:rsid w:val="004243F4"/>
    <w:rsid w:val="00454DF6"/>
    <w:rsid w:val="004650D6"/>
    <w:rsid w:val="00466A82"/>
    <w:rsid w:val="00482332"/>
    <w:rsid w:val="004A3662"/>
    <w:rsid w:val="004A673E"/>
    <w:rsid w:val="004C1DA0"/>
    <w:rsid w:val="004C4BE3"/>
    <w:rsid w:val="004E1FD3"/>
    <w:rsid w:val="00503FC3"/>
    <w:rsid w:val="005122B0"/>
    <w:rsid w:val="00526DFD"/>
    <w:rsid w:val="00535BD5"/>
    <w:rsid w:val="0055192C"/>
    <w:rsid w:val="005644AB"/>
    <w:rsid w:val="005C6DA8"/>
    <w:rsid w:val="00614CE7"/>
    <w:rsid w:val="00627267"/>
    <w:rsid w:val="0066500F"/>
    <w:rsid w:val="006751CE"/>
    <w:rsid w:val="006A63E0"/>
    <w:rsid w:val="006B100B"/>
    <w:rsid w:val="006C45EA"/>
    <w:rsid w:val="006C5629"/>
    <w:rsid w:val="006C5726"/>
    <w:rsid w:val="006D5B0C"/>
    <w:rsid w:val="006E093A"/>
    <w:rsid w:val="0070026E"/>
    <w:rsid w:val="00705995"/>
    <w:rsid w:val="00710AD5"/>
    <w:rsid w:val="007274CD"/>
    <w:rsid w:val="00750BCD"/>
    <w:rsid w:val="00762416"/>
    <w:rsid w:val="00764D01"/>
    <w:rsid w:val="00765465"/>
    <w:rsid w:val="00777345"/>
    <w:rsid w:val="007951A4"/>
    <w:rsid w:val="007A542E"/>
    <w:rsid w:val="007C6392"/>
    <w:rsid w:val="007D72A8"/>
    <w:rsid w:val="007E2C86"/>
    <w:rsid w:val="007F07D4"/>
    <w:rsid w:val="00801DE9"/>
    <w:rsid w:val="0080260F"/>
    <w:rsid w:val="00836CC4"/>
    <w:rsid w:val="008403D1"/>
    <w:rsid w:val="0086271B"/>
    <w:rsid w:val="008751D7"/>
    <w:rsid w:val="0088535A"/>
    <w:rsid w:val="008B44C7"/>
    <w:rsid w:val="008E5434"/>
    <w:rsid w:val="008F4A67"/>
    <w:rsid w:val="0092361A"/>
    <w:rsid w:val="00931F1E"/>
    <w:rsid w:val="009E215D"/>
    <w:rsid w:val="00A064B4"/>
    <w:rsid w:val="00A54E8C"/>
    <w:rsid w:val="00AA6CAE"/>
    <w:rsid w:val="00AD7411"/>
    <w:rsid w:val="00AE35FC"/>
    <w:rsid w:val="00AF5B72"/>
    <w:rsid w:val="00B0776D"/>
    <w:rsid w:val="00B1013E"/>
    <w:rsid w:val="00B30F06"/>
    <w:rsid w:val="00B4522A"/>
    <w:rsid w:val="00B47D18"/>
    <w:rsid w:val="00B50BFC"/>
    <w:rsid w:val="00B64B5A"/>
    <w:rsid w:val="00B9515E"/>
    <w:rsid w:val="00C03036"/>
    <w:rsid w:val="00C13F9E"/>
    <w:rsid w:val="00C364E0"/>
    <w:rsid w:val="00C400E6"/>
    <w:rsid w:val="00C66A6C"/>
    <w:rsid w:val="00C72528"/>
    <w:rsid w:val="00C97BFB"/>
    <w:rsid w:val="00CC6D27"/>
    <w:rsid w:val="00CF560B"/>
    <w:rsid w:val="00CF5B03"/>
    <w:rsid w:val="00D1341F"/>
    <w:rsid w:val="00D1786E"/>
    <w:rsid w:val="00D2277E"/>
    <w:rsid w:val="00D35890"/>
    <w:rsid w:val="00D40D69"/>
    <w:rsid w:val="00D7073D"/>
    <w:rsid w:val="00D95DDD"/>
    <w:rsid w:val="00DB5696"/>
    <w:rsid w:val="00DB707E"/>
    <w:rsid w:val="00DC62DF"/>
    <w:rsid w:val="00E05E8A"/>
    <w:rsid w:val="00E31446"/>
    <w:rsid w:val="00E314DC"/>
    <w:rsid w:val="00E53F53"/>
    <w:rsid w:val="00E93D8C"/>
    <w:rsid w:val="00ED4CA0"/>
    <w:rsid w:val="00EF1B3A"/>
    <w:rsid w:val="00EF551A"/>
    <w:rsid w:val="00F1471B"/>
    <w:rsid w:val="00F32391"/>
    <w:rsid w:val="00F47720"/>
    <w:rsid w:val="00F864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07E"/>
  </w:style>
  <w:style w:type="paragraph" w:styleId="Heading1">
    <w:name w:val="heading 1"/>
    <w:basedOn w:val="Normal"/>
    <w:next w:val="Normal"/>
    <w:link w:val="Heading1Char"/>
    <w:uiPriority w:val="9"/>
    <w:qFormat/>
    <w:rsid w:val="00E53F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5629"/>
    <w:pPr>
      <w:spacing w:after="0" w:line="240" w:lineRule="auto"/>
    </w:pPr>
  </w:style>
  <w:style w:type="paragraph" w:styleId="ListParagraph">
    <w:name w:val="List Paragraph"/>
    <w:basedOn w:val="Normal"/>
    <w:uiPriority w:val="34"/>
    <w:qFormat/>
    <w:rsid w:val="001266EF"/>
    <w:pPr>
      <w:ind w:left="720"/>
      <w:contextualSpacing/>
    </w:pPr>
  </w:style>
  <w:style w:type="paragraph" w:styleId="BalloonText">
    <w:name w:val="Balloon Text"/>
    <w:basedOn w:val="Normal"/>
    <w:link w:val="BalloonTextChar"/>
    <w:uiPriority w:val="99"/>
    <w:semiHidden/>
    <w:unhideWhenUsed/>
    <w:rsid w:val="00126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6EF"/>
    <w:rPr>
      <w:rFonts w:ascii="Tahoma" w:hAnsi="Tahoma" w:cs="Tahoma"/>
      <w:sz w:val="16"/>
      <w:szCs w:val="16"/>
    </w:rPr>
  </w:style>
  <w:style w:type="table" w:styleId="TableGrid">
    <w:name w:val="Table Grid"/>
    <w:basedOn w:val="TableNormal"/>
    <w:uiPriority w:val="59"/>
    <w:rsid w:val="004C4B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53F53"/>
    <w:rPr>
      <w:rFonts w:asciiTheme="majorHAnsi" w:eastAsiaTheme="majorEastAsia" w:hAnsiTheme="majorHAnsi" w:cstheme="majorBidi"/>
      <w:b/>
      <w:bCs/>
      <w:color w:val="365F91" w:themeColor="accent1" w:themeShade="BF"/>
      <w:sz w:val="28"/>
      <w:szCs w:val="28"/>
    </w:rPr>
  </w:style>
  <w:style w:type="paragraph" w:customStyle="1" w:styleId="T2">
    <w:name w:val="T2"/>
    <w:basedOn w:val="Normal"/>
    <w:rsid w:val="00AE35FC"/>
    <w:pPr>
      <w:spacing w:after="240" w:line="240" w:lineRule="auto"/>
      <w:ind w:left="720" w:right="720"/>
      <w:jc w:val="center"/>
    </w:pPr>
    <w:rPr>
      <w:rFonts w:ascii="Times New Roman" w:eastAsia="Times New Roman" w:hAnsi="Times New Roman" w:cs="Times New Roman"/>
      <w:b/>
      <w:sz w:val="28"/>
      <w:szCs w:val="20"/>
      <w:lang w:val="en-GB"/>
    </w:rPr>
  </w:style>
  <w:style w:type="paragraph" w:customStyle="1" w:styleId="T1">
    <w:name w:val="T1"/>
    <w:basedOn w:val="Normal"/>
    <w:rsid w:val="00AE35FC"/>
    <w:pPr>
      <w:spacing w:after="0" w:line="240" w:lineRule="auto"/>
      <w:jc w:val="center"/>
    </w:pPr>
    <w:rPr>
      <w:rFonts w:ascii="Times New Roman" w:eastAsia="Times New Roman" w:hAnsi="Times New Roman" w:cs="Times New Roman"/>
      <w:b/>
      <w:sz w:val="28"/>
      <w:szCs w:val="20"/>
      <w:lang w:val="en-GB"/>
    </w:rPr>
  </w:style>
  <w:style w:type="paragraph" w:styleId="Header">
    <w:name w:val="header"/>
    <w:basedOn w:val="Normal"/>
    <w:link w:val="HeaderChar"/>
    <w:uiPriority w:val="99"/>
    <w:semiHidden/>
    <w:unhideWhenUsed/>
    <w:rsid w:val="00AD741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7411"/>
  </w:style>
  <w:style w:type="paragraph" w:styleId="Footer">
    <w:name w:val="footer"/>
    <w:basedOn w:val="Normal"/>
    <w:link w:val="FooterChar"/>
    <w:uiPriority w:val="99"/>
    <w:semiHidden/>
    <w:unhideWhenUsed/>
    <w:rsid w:val="00AD741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D7411"/>
  </w:style>
</w:styles>
</file>

<file path=word/webSettings.xml><?xml version="1.0" encoding="utf-8"?>
<w:webSettings xmlns:r="http://schemas.openxmlformats.org/officeDocument/2006/relationships" xmlns:w="http://schemas.openxmlformats.org/wordprocessingml/2006/main">
  <w:divs>
    <w:div w:id="786117541">
      <w:bodyDiv w:val="1"/>
      <w:marLeft w:val="0"/>
      <w:marRight w:val="0"/>
      <w:marTop w:val="0"/>
      <w:marBottom w:val="0"/>
      <w:divBdr>
        <w:top w:val="none" w:sz="0" w:space="0" w:color="auto"/>
        <w:left w:val="none" w:sz="0" w:space="0" w:color="auto"/>
        <w:bottom w:val="none" w:sz="0" w:space="0" w:color="auto"/>
        <w:right w:val="none" w:sz="0" w:space="0" w:color="auto"/>
      </w:divBdr>
    </w:div>
    <w:div w:id="192121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756</Words>
  <Characters>4312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 Struik</dc:creator>
  <cp:lastModifiedBy>Rene Struik</cp:lastModifiedBy>
  <cp:revision>4</cp:revision>
  <cp:lastPrinted>2014-03-11T13:47:00Z</cp:lastPrinted>
  <dcterms:created xsi:type="dcterms:W3CDTF">2014-03-19T03:32:00Z</dcterms:created>
  <dcterms:modified xsi:type="dcterms:W3CDTF">2014-03-19T04:00:00Z</dcterms:modified>
</cp:coreProperties>
</file>