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03153F" w:rsidP="00D56CD7">
            <w:pPr>
              <w:pStyle w:val="T2"/>
              <w:rPr>
                <w:lang w:eastAsia="zh-CN"/>
              </w:rPr>
            </w:pPr>
            <w:r>
              <w:rPr>
                <w:rFonts w:hint="eastAsia"/>
                <w:lang w:eastAsia="ko-KR"/>
              </w:rPr>
              <w:t xml:space="preserve">LB 200 </w:t>
            </w:r>
            <w:r>
              <w:rPr>
                <w:lang w:eastAsia="ko-KR"/>
              </w:rPr>
              <w:t xml:space="preserve">Comment Resolution for </w:t>
            </w:r>
            <w:r w:rsidR="0012215F">
              <w:rPr>
                <w:lang w:eastAsia="ko-KR"/>
              </w:rPr>
              <w:t>Clause 9.42</w:t>
            </w:r>
          </w:p>
        </w:tc>
      </w:tr>
      <w:tr w:rsidR="00CA09B2" w:rsidTr="00944135">
        <w:trPr>
          <w:trHeight w:val="359"/>
          <w:jc w:val="center"/>
        </w:trPr>
        <w:tc>
          <w:tcPr>
            <w:tcW w:w="9684" w:type="dxa"/>
            <w:gridSpan w:val="5"/>
            <w:vAlign w:val="center"/>
          </w:tcPr>
          <w:p w:rsidR="00CA09B2" w:rsidRDefault="00CA09B2" w:rsidP="009A20EC">
            <w:pPr>
              <w:pStyle w:val="T2"/>
              <w:ind w:left="0"/>
              <w:rPr>
                <w:sz w:val="20"/>
              </w:rPr>
            </w:pPr>
            <w:r>
              <w:rPr>
                <w:sz w:val="20"/>
              </w:rPr>
              <w:t>Date:</w:t>
            </w:r>
            <w:r>
              <w:rPr>
                <w:b w:val="0"/>
                <w:sz w:val="20"/>
              </w:rPr>
              <w:t xml:space="preserve">  </w:t>
            </w:r>
            <w:r w:rsidR="00CE668C">
              <w:rPr>
                <w:b w:val="0"/>
                <w:sz w:val="20"/>
              </w:rPr>
              <w:t>2014</w:t>
            </w:r>
            <w:r>
              <w:rPr>
                <w:b w:val="0"/>
                <w:sz w:val="20"/>
              </w:rPr>
              <w:t>-</w:t>
            </w:r>
            <w:r w:rsidR="0097406E">
              <w:rPr>
                <w:b w:val="0"/>
                <w:sz w:val="20"/>
              </w:rPr>
              <w:t>02</w:t>
            </w:r>
            <w:r w:rsidR="00F035DB">
              <w:rPr>
                <w:b w:val="0"/>
                <w:sz w:val="20"/>
              </w:rPr>
              <w:t>-</w:t>
            </w:r>
            <w:r w:rsidR="009A20EC">
              <w:rPr>
                <w:b w:val="0"/>
                <w:sz w:val="20"/>
              </w:rPr>
              <w:t>2</w:t>
            </w:r>
            <w:r w:rsidR="00417577">
              <w:rPr>
                <w:b w:val="0"/>
                <w:sz w:val="20"/>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r>
              <w:rPr>
                <w:b w:val="0"/>
                <w:sz w:val="20"/>
              </w:rPr>
              <w:t>Shoukang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bl>
    <w:p w:rsidR="00220C73" w:rsidRDefault="00220C73" w:rsidP="00220C73">
      <w:pPr>
        <w:pStyle w:val="T1"/>
        <w:spacing w:after="120"/>
        <w:rPr>
          <w:sz w:val="22"/>
        </w:rPr>
      </w:pPr>
    </w:p>
    <w:p w:rsidR="007D68BA" w:rsidRDefault="00AD4103"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Default="004F5083" w:rsidP="00EA6B47">
                  <w:pPr>
                    <w:jc w:val="both"/>
                  </w:pPr>
                  <w:r>
                    <w:t xml:space="preserve">This document provides resolutions for CID </w:t>
                  </w:r>
                  <w:r w:rsidR="004E6D6B">
                    <w:t>1245, 1246</w:t>
                  </w:r>
                  <w:r w:rsidR="001D2990">
                    <w:t xml:space="preserve">, </w:t>
                  </w:r>
                  <w:r w:rsidR="0097406E">
                    <w:t>1733</w:t>
                  </w:r>
                  <w:r w:rsidR="004E6D6B">
                    <w:t xml:space="preserve"> and 2759</w:t>
                  </w:r>
                  <w: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w:t>
                  </w:r>
                  <w:proofErr w:type="spellStart"/>
                  <w:r>
                    <w:rPr>
                      <w:szCs w:val="22"/>
                    </w:rPr>
                    <w:t>subclause</w:t>
                  </w:r>
                  <w:proofErr w:type="spellEnd"/>
                  <w:r w:rsidRPr="00A54A72">
                    <w:rPr>
                      <w:szCs w:val="22"/>
                    </w:rPr>
                    <w:t xml:space="preserve">: </w:t>
                  </w:r>
                  <w:r>
                    <w:rPr>
                      <w:szCs w:val="22"/>
                    </w:rPr>
                    <w:t>9.42</w:t>
                  </w:r>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Heading"/>
          </w:pPr>
          <w:r>
            <w:t>Table of Contents</w:t>
          </w:r>
        </w:p>
        <w:p w:rsidR="00D90BC8" w:rsidRDefault="00AD4103">
          <w:pPr>
            <w:pStyle w:val="TOC1"/>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Hyperlink"/>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AD4103">
          <w:r>
            <w:fldChar w:fldCharType="end"/>
          </w:r>
        </w:p>
      </w:sdtContent>
    </w:sdt>
    <w:p w:rsidR="009E2CA1" w:rsidRDefault="00101FD1" w:rsidP="00153ED7">
      <w:pPr>
        <w:pStyle w:val="Heading1"/>
      </w:pPr>
      <w:bookmarkStart w:id="0" w:name="_Toc346617786"/>
      <w:bookmarkStart w:id="1" w:name="_Toc346618623"/>
      <w:bookmarkStart w:id="2" w:name="_Toc350888716"/>
      <w:r>
        <w:t>0 Revision Notes</w:t>
      </w:r>
      <w:bookmarkEnd w:id="0"/>
      <w:bookmarkEnd w:id="1"/>
      <w:bookmarkEnd w:id="2"/>
    </w:p>
    <w:p w:rsidR="002D04FA" w:rsidRDefault="00D90BC8" w:rsidP="002D04FA">
      <w:r>
        <w:t>R</w:t>
      </w:r>
      <w:r w:rsidR="002D04FA">
        <w:t>0:</w:t>
      </w:r>
      <w:r w:rsidR="002D04FA">
        <w:tab/>
        <w:t>First draft</w:t>
      </w:r>
    </w:p>
    <w:p w:rsidR="003E41BE" w:rsidRDefault="003E41BE" w:rsidP="003E41BE"/>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97406E" w:rsidRPr="00D6278E" w:rsidTr="0066083C">
        <w:trPr>
          <w:trHeight w:val="510"/>
          <w:jc w:val="center"/>
        </w:trPr>
        <w:tc>
          <w:tcPr>
            <w:tcW w:w="708"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CID</w:t>
            </w:r>
          </w:p>
        </w:tc>
        <w:tc>
          <w:tcPr>
            <w:tcW w:w="854"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Clause</w:t>
            </w:r>
          </w:p>
        </w:tc>
        <w:tc>
          <w:tcPr>
            <w:tcW w:w="699"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Page</w:t>
            </w:r>
          </w:p>
        </w:tc>
        <w:tc>
          <w:tcPr>
            <w:tcW w:w="610"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Line</w:t>
            </w:r>
          </w:p>
        </w:tc>
        <w:tc>
          <w:tcPr>
            <w:tcW w:w="360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Comment</w:t>
            </w:r>
          </w:p>
        </w:tc>
        <w:tc>
          <w:tcPr>
            <w:tcW w:w="3601" w:type="dxa"/>
            <w:shd w:val="clear" w:color="000000" w:fill="808080"/>
            <w:vAlign w:val="bottom"/>
            <w:hideMark/>
          </w:tcPr>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Proposed Change</w:t>
            </w:r>
          </w:p>
        </w:tc>
        <w:tc>
          <w:tcPr>
            <w:tcW w:w="1232" w:type="dxa"/>
            <w:shd w:val="clear" w:color="000000" w:fill="808080"/>
          </w:tcPr>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p>
          <w:p w:rsidR="0097406E" w:rsidRPr="00D6278E" w:rsidRDefault="0097406E" w:rsidP="0066083C">
            <w:pPr>
              <w:jc w:val="both"/>
              <w:rPr>
                <w:rFonts w:eastAsia="Gulim"/>
                <w:b/>
                <w:bCs/>
                <w:color w:val="FFFFFF"/>
                <w:sz w:val="20"/>
                <w:lang w:val="en-US" w:eastAsia="ko-KR"/>
              </w:rPr>
            </w:pPr>
            <w:r w:rsidRPr="00D6278E">
              <w:rPr>
                <w:rFonts w:eastAsia="Gulim"/>
                <w:b/>
                <w:bCs/>
                <w:color w:val="FFFFFF"/>
                <w:sz w:val="20"/>
                <w:lang w:val="en-US" w:eastAsia="ko-KR"/>
              </w:rPr>
              <w:t>Resolution</w:t>
            </w:r>
          </w:p>
        </w:tc>
      </w:tr>
      <w:tr w:rsidR="0097406E" w:rsidRPr="00D6278E" w:rsidTr="0066083C">
        <w:trPr>
          <w:trHeight w:val="1530"/>
          <w:jc w:val="center"/>
        </w:trPr>
        <w:tc>
          <w:tcPr>
            <w:tcW w:w="708" w:type="dxa"/>
            <w:shd w:val="clear" w:color="auto" w:fill="auto"/>
            <w:noWrap/>
            <w:hideMark/>
          </w:tcPr>
          <w:p w:rsidR="0097406E" w:rsidRPr="00D6278E" w:rsidRDefault="0097406E" w:rsidP="0066083C">
            <w:pPr>
              <w:rPr>
                <w:rFonts w:eastAsia="Gulim"/>
                <w:sz w:val="16"/>
                <w:szCs w:val="16"/>
                <w:lang w:val="en-US" w:eastAsia="ko-KR"/>
              </w:rPr>
            </w:pPr>
            <w:r w:rsidRPr="00D6278E">
              <w:rPr>
                <w:rFonts w:eastAsia="Gulim"/>
                <w:sz w:val="16"/>
                <w:szCs w:val="16"/>
                <w:lang w:val="en-US" w:eastAsia="ko-KR"/>
              </w:rPr>
              <w:t>124</w:t>
            </w:r>
            <w:r>
              <w:rPr>
                <w:rFonts w:eastAsia="Gulim"/>
                <w:sz w:val="16"/>
                <w:szCs w:val="16"/>
                <w:lang w:val="en-US" w:eastAsia="ko-KR"/>
              </w:rPr>
              <w:t>5</w:t>
            </w:r>
          </w:p>
        </w:tc>
        <w:tc>
          <w:tcPr>
            <w:tcW w:w="854" w:type="dxa"/>
          </w:tcPr>
          <w:p w:rsidR="0097406E" w:rsidRPr="00D6278E" w:rsidRDefault="0097406E" w:rsidP="0066083C">
            <w:pPr>
              <w:rPr>
                <w:rFonts w:eastAsia="Gulim"/>
                <w:sz w:val="16"/>
                <w:szCs w:val="16"/>
                <w:lang w:val="en-US" w:eastAsia="ko-KR"/>
              </w:rPr>
            </w:pPr>
            <w:r w:rsidRPr="00D6278E">
              <w:rPr>
                <w:sz w:val="16"/>
                <w:szCs w:val="16"/>
                <w:lang w:eastAsia="ko-KR"/>
              </w:rPr>
              <w:t>9.42.4</w:t>
            </w:r>
          </w:p>
        </w:tc>
        <w:tc>
          <w:tcPr>
            <w:tcW w:w="699" w:type="dxa"/>
            <w:shd w:val="clear" w:color="auto" w:fill="auto"/>
            <w:hideMark/>
          </w:tcPr>
          <w:p w:rsidR="0097406E" w:rsidRPr="00D6278E" w:rsidRDefault="0097406E" w:rsidP="0066083C">
            <w:pPr>
              <w:jc w:val="right"/>
              <w:rPr>
                <w:sz w:val="16"/>
                <w:szCs w:val="16"/>
              </w:rPr>
            </w:pPr>
            <w:r w:rsidRPr="00D6278E">
              <w:rPr>
                <w:sz w:val="16"/>
                <w:szCs w:val="16"/>
              </w:rPr>
              <w:t>188</w:t>
            </w:r>
          </w:p>
        </w:tc>
        <w:tc>
          <w:tcPr>
            <w:tcW w:w="610" w:type="dxa"/>
          </w:tcPr>
          <w:p w:rsidR="0097406E" w:rsidRPr="00D6278E" w:rsidRDefault="0097406E" w:rsidP="0066083C">
            <w:pPr>
              <w:rPr>
                <w:sz w:val="16"/>
                <w:szCs w:val="16"/>
              </w:rPr>
            </w:pPr>
            <w:r w:rsidRPr="00D6278E">
              <w:rPr>
                <w:sz w:val="16"/>
                <w:szCs w:val="16"/>
              </w:rPr>
              <w:t>23</w:t>
            </w:r>
          </w:p>
        </w:tc>
        <w:tc>
          <w:tcPr>
            <w:tcW w:w="3601" w:type="dxa"/>
            <w:shd w:val="clear" w:color="auto" w:fill="auto"/>
            <w:hideMark/>
          </w:tcPr>
          <w:p w:rsidR="0097406E" w:rsidRPr="00D6278E" w:rsidRDefault="0097406E" w:rsidP="0066083C">
            <w:pPr>
              <w:rPr>
                <w:sz w:val="16"/>
                <w:szCs w:val="16"/>
              </w:rPr>
            </w:pPr>
            <w:r w:rsidRPr="00D6278E">
              <w:rPr>
                <w:sz w:val="16"/>
                <w:szCs w:val="16"/>
              </w:rPr>
              <w:t>"from AP upon" - missing article</w:t>
            </w:r>
          </w:p>
        </w:tc>
        <w:tc>
          <w:tcPr>
            <w:tcW w:w="3601" w:type="dxa"/>
            <w:shd w:val="clear" w:color="auto" w:fill="auto"/>
            <w:hideMark/>
          </w:tcPr>
          <w:p w:rsidR="0097406E" w:rsidRPr="00D6278E" w:rsidRDefault="0097406E" w:rsidP="0066083C">
            <w:pPr>
              <w:rPr>
                <w:sz w:val="16"/>
                <w:szCs w:val="16"/>
              </w:rPr>
            </w:pPr>
            <w:r w:rsidRPr="00D6278E">
              <w:rPr>
                <w:sz w:val="16"/>
                <w:szCs w:val="16"/>
              </w:rPr>
              <w:t>"from the AP upon"</w:t>
            </w:r>
          </w:p>
        </w:tc>
        <w:tc>
          <w:tcPr>
            <w:tcW w:w="1232" w:type="dxa"/>
          </w:tcPr>
          <w:p w:rsidR="0097406E" w:rsidRPr="00D6278E" w:rsidRDefault="0097406E" w:rsidP="0066083C">
            <w:pPr>
              <w:rPr>
                <w:sz w:val="16"/>
                <w:szCs w:val="16"/>
                <w:lang w:val="en-US"/>
              </w:rPr>
            </w:pPr>
            <w:r w:rsidRPr="00D6278E">
              <w:rPr>
                <w:sz w:val="16"/>
                <w:szCs w:val="16"/>
                <w:lang w:val="en-US"/>
              </w:rPr>
              <w:t>Revised.</w:t>
            </w:r>
          </w:p>
          <w:p w:rsidR="0097406E" w:rsidRPr="00D6278E" w:rsidRDefault="0097406E" w:rsidP="0066083C">
            <w:pPr>
              <w:rPr>
                <w:sz w:val="16"/>
                <w:szCs w:val="16"/>
                <w:lang w:val="en-US"/>
              </w:rPr>
            </w:pPr>
          </w:p>
          <w:p w:rsidR="0097406E" w:rsidRPr="00D6278E" w:rsidRDefault="0097406E" w:rsidP="0066083C">
            <w:pPr>
              <w:rPr>
                <w:sz w:val="16"/>
                <w:szCs w:val="16"/>
                <w:lang w:val="en-US"/>
              </w:rPr>
            </w:pPr>
            <w:r w:rsidRPr="00D6278E">
              <w:rPr>
                <w:sz w:val="16"/>
                <w:szCs w:val="16"/>
                <w:lang w:val="en-US"/>
              </w:rPr>
              <w:t>The clause 9.42.4 has been merged with the text of clause 9.42.3. Please see the comment resolution document 11-14/0054</w:t>
            </w:r>
            <w:r w:rsidR="008A1C17">
              <w:rPr>
                <w:sz w:val="16"/>
                <w:szCs w:val="16"/>
                <w:lang w:val="en-US"/>
              </w:rPr>
              <w:t>r</w:t>
            </w:r>
            <w:r w:rsidRPr="00D6278E">
              <w:rPr>
                <w:sz w:val="16"/>
                <w:szCs w:val="16"/>
                <w:lang w:val="en-US"/>
              </w:rPr>
              <w:t>1.</w:t>
            </w:r>
          </w:p>
          <w:p w:rsidR="0097406E" w:rsidRPr="00D6278E" w:rsidRDefault="0097406E" w:rsidP="0066083C">
            <w:pPr>
              <w:autoSpaceDE w:val="0"/>
              <w:autoSpaceDN w:val="0"/>
              <w:adjustRightInd w:val="0"/>
              <w:rPr>
                <w:sz w:val="16"/>
                <w:szCs w:val="16"/>
                <w:lang w:val="en-US" w:eastAsia="ko-KR"/>
              </w:rPr>
            </w:pPr>
          </w:p>
        </w:tc>
      </w:tr>
      <w:tr w:rsidR="0097406E" w:rsidRPr="00D6278E" w:rsidTr="0066083C">
        <w:trPr>
          <w:trHeight w:val="1592"/>
          <w:jc w:val="center"/>
        </w:trPr>
        <w:tc>
          <w:tcPr>
            <w:tcW w:w="708" w:type="dxa"/>
            <w:shd w:val="clear" w:color="auto" w:fill="auto"/>
            <w:noWrap/>
            <w:hideMark/>
          </w:tcPr>
          <w:p w:rsidR="0097406E" w:rsidRPr="00D6278E" w:rsidRDefault="0097406E" w:rsidP="0066083C">
            <w:pPr>
              <w:rPr>
                <w:rFonts w:eastAsia="Gulim"/>
                <w:sz w:val="16"/>
                <w:szCs w:val="16"/>
                <w:lang w:val="en-US" w:eastAsia="ko-KR"/>
              </w:rPr>
            </w:pPr>
            <w:r w:rsidRPr="00D6278E">
              <w:rPr>
                <w:rFonts w:eastAsia="Gulim"/>
                <w:sz w:val="16"/>
                <w:szCs w:val="16"/>
                <w:lang w:val="en-US" w:eastAsia="ko-KR"/>
              </w:rPr>
              <w:t>124</w:t>
            </w:r>
            <w:r>
              <w:rPr>
                <w:rFonts w:eastAsia="Gulim"/>
                <w:sz w:val="16"/>
                <w:szCs w:val="16"/>
                <w:lang w:val="en-US" w:eastAsia="ko-KR"/>
              </w:rPr>
              <w:t>6</w:t>
            </w:r>
          </w:p>
        </w:tc>
        <w:tc>
          <w:tcPr>
            <w:tcW w:w="854" w:type="dxa"/>
          </w:tcPr>
          <w:p w:rsidR="0097406E" w:rsidRPr="00D6278E" w:rsidRDefault="0097406E" w:rsidP="0066083C">
            <w:pPr>
              <w:rPr>
                <w:rFonts w:eastAsia="Gulim"/>
                <w:sz w:val="16"/>
                <w:szCs w:val="16"/>
                <w:lang w:val="en-US" w:eastAsia="ko-KR"/>
              </w:rPr>
            </w:pPr>
            <w:r w:rsidRPr="00D6278E">
              <w:rPr>
                <w:sz w:val="16"/>
                <w:szCs w:val="16"/>
                <w:lang w:eastAsia="ko-KR"/>
              </w:rPr>
              <w:t>9.42.4</w:t>
            </w:r>
          </w:p>
        </w:tc>
        <w:tc>
          <w:tcPr>
            <w:tcW w:w="699" w:type="dxa"/>
            <w:shd w:val="clear" w:color="auto" w:fill="auto"/>
            <w:hideMark/>
          </w:tcPr>
          <w:p w:rsidR="0097406E" w:rsidRPr="00D6278E" w:rsidRDefault="0097406E" w:rsidP="0066083C">
            <w:pPr>
              <w:jc w:val="right"/>
              <w:rPr>
                <w:sz w:val="16"/>
                <w:szCs w:val="16"/>
              </w:rPr>
            </w:pPr>
            <w:r w:rsidRPr="00D6278E">
              <w:rPr>
                <w:sz w:val="16"/>
                <w:szCs w:val="16"/>
              </w:rPr>
              <w:t>188</w:t>
            </w:r>
          </w:p>
        </w:tc>
        <w:tc>
          <w:tcPr>
            <w:tcW w:w="610" w:type="dxa"/>
          </w:tcPr>
          <w:p w:rsidR="0097406E" w:rsidRPr="00D6278E" w:rsidRDefault="0097406E" w:rsidP="0066083C">
            <w:pPr>
              <w:rPr>
                <w:sz w:val="16"/>
                <w:szCs w:val="16"/>
              </w:rPr>
            </w:pPr>
            <w:r w:rsidRPr="00D6278E">
              <w:rPr>
                <w:sz w:val="16"/>
                <w:szCs w:val="16"/>
              </w:rPr>
              <w:t>28</w:t>
            </w:r>
          </w:p>
        </w:tc>
        <w:tc>
          <w:tcPr>
            <w:tcW w:w="3601" w:type="dxa"/>
            <w:shd w:val="clear" w:color="auto" w:fill="auto"/>
            <w:hideMark/>
          </w:tcPr>
          <w:p w:rsidR="0097406E" w:rsidRPr="00D6278E" w:rsidRDefault="0097406E" w:rsidP="0066083C">
            <w:pPr>
              <w:rPr>
                <w:sz w:val="16"/>
                <w:szCs w:val="16"/>
              </w:rPr>
            </w:pPr>
            <w:r w:rsidRPr="00D6278E">
              <w:rPr>
                <w:sz w:val="16"/>
                <w:szCs w:val="16"/>
              </w:rPr>
              <w:t xml:space="preserve">".. </w:t>
            </w:r>
            <w:proofErr w:type="gramStart"/>
            <w:r w:rsidRPr="00D6278E">
              <w:rPr>
                <w:sz w:val="16"/>
                <w:szCs w:val="16"/>
              </w:rPr>
              <w:t>by</w:t>
            </w:r>
            <w:proofErr w:type="gramEnd"/>
            <w:r w:rsidRPr="00D6278E">
              <w:rPr>
                <w:sz w:val="16"/>
                <w:szCs w:val="16"/>
              </w:rPr>
              <w:t xml:space="preserve"> sending a polling message (</w:t>
            </w:r>
            <w:proofErr w:type="spellStart"/>
            <w:r w:rsidRPr="00D6278E">
              <w:rPr>
                <w:sz w:val="16"/>
                <w:szCs w:val="16"/>
              </w:rPr>
              <w:t>PSPoll</w:t>
            </w:r>
            <w:proofErr w:type="spellEnd"/>
            <w:r w:rsidRPr="00D6278E">
              <w:rPr>
                <w:sz w:val="16"/>
                <w:szCs w:val="16"/>
              </w:rPr>
              <w:t>). In this polling message, it indicates whether the STA solicits the information of BSS change sequence and/or current timestamp by setting Poll Type subfield to 1, or whether the STA solicits the information of Next TWT or Duration to a TBTT by setting Poll Type subfield to 2. "</w:t>
            </w:r>
          </w:p>
          <w:p w:rsidR="0097406E" w:rsidRPr="00D6278E" w:rsidRDefault="0097406E" w:rsidP="0066083C">
            <w:pPr>
              <w:rPr>
                <w:sz w:val="16"/>
                <w:szCs w:val="16"/>
              </w:rPr>
            </w:pPr>
          </w:p>
          <w:p w:rsidR="0097406E" w:rsidRPr="00D6278E" w:rsidRDefault="0097406E" w:rsidP="0066083C">
            <w:pPr>
              <w:rPr>
                <w:sz w:val="16"/>
                <w:szCs w:val="16"/>
              </w:rPr>
            </w:pPr>
            <w:r w:rsidRPr="00D6278E">
              <w:rPr>
                <w:sz w:val="16"/>
                <w:szCs w:val="16"/>
              </w:rPr>
              <w:t>The PS-Poll frame does not have this field.  So where exactly is it?</w:t>
            </w:r>
          </w:p>
        </w:tc>
        <w:tc>
          <w:tcPr>
            <w:tcW w:w="3601" w:type="dxa"/>
            <w:shd w:val="clear" w:color="auto" w:fill="auto"/>
            <w:hideMark/>
          </w:tcPr>
          <w:p w:rsidR="0097406E" w:rsidRPr="00D6278E" w:rsidRDefault="0097406E" w:rsidP="0066083C">
            <w:pPr>
              <w:rPr>
                <w:sz w:val="16"/>
                <w:szCs w:val="16"/>
              </w:rPr>
            </w:pPr>
            <w:r w:rsidRPr="00D6278E">
              <w:rPr>
                <w:sz w:val="16"/>
                <w:szCs w:val="16"/>
              </w:rPr>
              <w:t>If this field is a *VECTOR parameter</w:t>
            </w:r>
            <w:proofErr w:type="gramStart"/>
            <w:r w:rsidRPr="00D6278E">
              <w:rPr>
                <w:sz w:val="16"/>
                <w:szCs w:val="16"/>
              </w:rPr>
              <w:t>,  say</w:t>
            </w:r>
            <w:proofErr w:type="gramEnd"/>
            <w:r w:rsidRPr="00D6278E">
              <w:rPr>
                <w:sz w:val="16"/>
                <w:szCs w:val="16"/>
              </w:rPr>
              <w:t xml:space="preserve"> so.   If this is not the regular PS-Poll frame</w:t>
            </w:r>
            <w:proofErr w:type="gramStart"/>
            <w:r w:rsidRPr="00D6278E">
              <w:rPr>
                <w:sz w:val="16"/>
                <w:szCs w:val="16"/>
              </w:rPr>
              <w:t>,  say</w:t>
            </w:r>
            <w:proofErr w:type="gramEnd"/>
            <w:r w:rsidRPr="00D6278E">
              <w:rPr>
                <w:sz w:val="16"/>
                <w:szCs w:val="16"/>
              </w:rPr>
              <w:t xml:space="preserve"> so.   Add field name so that we can locate this subfield.</w:t>
            </w:r>
          </w:p>
        </w:tc>
        <w:tc>
          <w:tcPr>
            <w:tcW w:w="1232" w:type="dxa"/>
          </w:tcPr>
          <w:p w:rsidR="0097406E" w:rsidRPr="00D6278E" w:rsidRDefault="0097406E" w:rsidP="0066083C">
            <w:pPr>
              <w:rPr>
                <w:sz w:val="16"/>
                <w:szCs w:val="16"/>
                <w:lang w:val="en-US"/>
              </w:rPr>
            </w:pPr>
            <w:r w:rsidRPr="00D6278E">
              <w:rPr>
                <w:sz w:val="16"/>
                <w:szCs w:val="16"/>
                <w:lang w:val="en-US"/>
              </w:rPr>
              <w:t>Revised.</w:t>
            </w:r>
          </w:p>
          <w:p w:rsidR="0097406E" w:rsidRPr="00D6278E" w:rsidRDefault="0097406E" w:rsidP="0066083C">
            <w:pPr>
              <w:rPr>
                <w:sz w:val="16"/>
                <w:szCs w:val="16"/>
                <w:lang w:val="en-US"/>
              </w:rPr>
            </w:pPr>
          </w:p>
          <w:p w:rsidR="0097406E" w:rsidRPr="00D6278E" w:rsidRDefault="00DB535A" w:rsidP="0066083C">
            <w:pPr>
              <w:rPr>
                <w:sz w:val="16"/>
                <w:szCs w:val="16"/>
                <w:lang w:val="en-US"/>
              </w:rPr>
            </w:pPr>
            <w:r>
              <w:rPr>
                <w:sz w:val="16"/>
                <w:szCs w:val="16"/>
                <w:lang w:val="en-US"/>
              </w:rPr>
              <w:t>Frame Control field of PS-Poll has been chang</w:t>
            </w:r>
            <w:r w:rsidR="008A1C17">
              <w:rPr>
                <w:sz w:val="16"/>
                <w:szCs w:val="16"/>
                <w:lang w:val="en-US"/>
              </w:rPr>
              <w:t>e</w:t>
            </w:r>
            <w:r>
              <w:rPr>
                <w:sz w:val="16"/>
                <w:szCs w:val="16"/>
                <w:lang w:val="en-US"/>
              </w:rPr>
              <w:t xml:space="preserve">d. </w:t>
            </w:r>
            <w:r w:rsidR="0097406E" w:rsidRPr="00D6278E">
              <w:rPr>
                <w:sz w:val="16"/>
                <w:szCs w:val="16"/>
                <w:lang w:val="en-US"/>
              </w:rPr>
              <w:t>Please see the Poll Type subfield definition in the 11ah D1.0.The clause 9.42.4 has been merged with the text of clause 9.42.3. Please see the comment resolution document 11-14/0054</w:t>
            </w:r>
            <w:r w:rsidR="008A1C17">
              <w:rPr>
                <w:sz w:val="16"/>
                <w:szCs w:val="16"/>
                <w:lang w:val="en-US"/>
              </w:rPr>
              <w:t>r</w:t>
            </w:r>
            <w:r w:rsidR="0097406E" w:rsidRPr="00D6278E">
              <w:rPr>
                <w:sz w:val="16"/>
                <w:szCs w:val="16"/>
                <w:lang w:val="en-US"/>
              </w:rPr>
              <w:t>1.</w:t>
            </w:r>
          </w:p>
          <w:p w:rsidR="0097406E" w:rsidRPr="00D6278E" w:rsidRDefault="0097406E" w:rsidP="0066083C">
            <w:pPr>
              <w:autoSpaceDE w:val="0"/>
              <w:autoSpaceDN w:val="0"/>
              <w:adjustRightInd w:val="0"/>
              <w:rPr>
                <w:sz w:val="16"/>
                <w:szCs w:val="16"/>
                <w:lang w:val="en-US" w:eastAsia="ko-KR"/>
              </w:rPr>
            </w:pPr>
          </w:p>
        </w:tc>
      </w:tr>
    </w:tbl>
    <w:p w:rsidR="005535FA" w:rsidRDefault="005535FA" w:rsidP="002D04FA"/>
    <w:p w:rsidR="0097406E" w:rsidRPr="00CB295C" w:rsidRDefault="00CB295C" w:rsidP="002D04FA">
      <w:pPr>
        <w:rPr>
          <w:b/>
          <w:u w:val="single"/>
        </w:rPr>
      </w:pPr>
      <w:r w:rsidRPr="00CB295C">
        <w:rPr>
          <w:b/>
          <w:u w:val="single"/>
        </w:rPr>
        <w:t>CID 1245, 1246</w:t>
      </w:r>
    </w:p>
    <w:p w:rsidR="001D2990" w:rsidRDefault="001D2990" w:rsidP="001D2990">
      <w:pPr>
        <w:rPr>
          <w:b/>
          <w:i/>
          <w:lang w:val="en-US"/>
        </w:rPr>
      </w:pPr>
      <w:r w:rsidRPr="004761C9">
        <w:rPr>
          <w:b/>
          <w:i/>
          <w:lang w:val="en-US"/>
        </w:rPr>
        <w:t>Proposed changes:</w:t>
      </w:r>
    </w:p>
    <w:p w:rsidR="001D2990" w:rsidRPr="00B20E18" w:rsidRDefault="001D2990" w:rsidP="001D2990">
      <w:pPr>
        <w:rPr>
          <w:rFonts w:ascii="Arial" w:hAnsi="Arial" w:cs="Arial"/>
          <w:sz w:val="20"/>
          <w:lang w:eastAsia="zh-CN"/>
        </w:rPr>
      </w:pPr>
      <w:proofErr w:type="gramStart"/>
      <w:r>
        <w:rPr>
          <w:b/>
        </w:rPr>
        <w:t>None.</w:t>
      </w:r>
      <w:proofErr w:type="gramEnd"/>
    </w:p>
    <w:p w:rsidR="0097406E" w:rsidRDefault="0097406E" w:rsidP="002D04FA"/>
    <w:p w:rsidR="0097406E" w:rsidRDefault="0097406E" w:rsidP="002D04FA"/>
    <w:tbl>
      <w:tblPr>
        <w:tblW w:w="11305"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708"/>
        <w:gridCol w:w="854"/>
        <w:gridCol w:w="699"/>
        <w:gridCol w:w="610"/>
        <w:gridCol w:w="3601"/>
        <w:gridCol w:w="3601"/>
        <w:gridCol w:w="1232"/>
      </w:tblGrid>
      <w:tr w:rsidR="003B5D96" w:rsidRPr="00930F36" w:rsidTr="005535FA">
        <w:trPr>
          <w:trHeight w:val="510"/>
          <w:jc w:val="center"/>
        </w:trPr>
        <w:tc>
          <w:tcPr>
            <w:tcW w:w="708"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99"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3601"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360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232"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3275E5" w:rsidRPr="00930F36" w:rsidTr="005535FA">
        <w:trPr>
          <w:trHeight w:val="1530"/>
          <w:jc w:val="center"/>
        </w:trPr>
        <w:tc>
          <w:tcPr>
            <w:tcW w:w="708" w:type="dxa"/>
            <w:shd w:val="clear" w:color="auto" w:fill="auto"/>
            <w:noWrap/>
            <w:hideMark/>
          </w:tcPr>
          <w:p w:rsidR="003275E5" w:rsidRPr="00BA4657" w:rsidRDefault="0097406E" w:rsidP="0097406E">
            <w:pPr>
              <w:rPr>
                <w:rFonts w:eastAsia="Gulim"/>
                <w:sz w:val="16"/>
                <w:szCs w:val="16"/>
                <w:lang w:val="en-US" w:eastAsia="ko-KR"/>
              </w:rPr>
            </w:pPr>
            <w:r w:rsidRPr="00BA4657">
              <w:rPr>
                <w:rFonts w:eastAsia="Gulim"/>
                <w:sz w:val="16"/>
                <w:szCs w:val="16"/>
                <w:lang w:val="en-US" w:eastAsia="ko-KR"/>
              </w:rPr>
              <w:lastRenderedPageBreak/>
              <w:t>1733</w:t>
            </w:r>
          </w:p>
        </w:tc>
        <w:tc>
          <w:tcPr>
            <w:tcW w:w="854" w:type="dxa"/>
          </w:tcPr>
          <w:p w:rsidR="003275E5" w:rsidRPr="00BA4657" w:rsidRDefault="003275E5" w:rsidP="00AA560C">
            <w:pPr>
              <w:rPr>
                <w:rFonts w:eastAsia="Gulim"/>
                <w:sz w:val="16"/>
                <w:szCs w:val="16"/>
                <w:lang w:val="en-US" w:eastAsia="ko-KR"/>
              </w:rPr>
            </w:pPr>
            <w:r w:rsidRPr="00BA4657">
              <w:rPr>
                <w:sz w:val="16"/>
                <w:szCs w:val="16"/>
                <w:lang w:eastAsia="ko-KR"/>
              </w:rPr>
              <w:t>9.4</w:t>
            </w:r>
            <w:r w:rsidR="00AA560C" w:rsidRPr="00BA4657">
              <w:rPr>
                <w:sz w:val="16"/>
                <w:szCs w:val="16"/>
                <w:lang w:eastAsia="ko-KR"/>
              </w:rPr>
              <w:t>2</w:t>
            </w:r>
            <w:r w:rsidRPr="00BA4657">
              <w:rPr>
                <w:sz w:val="16"/>
                <w:szCs w:val="16"/>
                <w:lang w:eastAsia="ko-KR"/>
              </w:rPr>
              <w:t>.3</w:t>
            </w:r>
          </w:p>
        </w:tc>
        <w:tc>
          <w:tcPr>
            <w:tcW w:w="699" w:type="dxa"/>
            <w:shd w:val="clear" w:color="auto" w:fill="auto"/>
            <w:hideMark/>
          </w:tcPr>
          <w:p w:rsidR="003275E5" w:rsidRPr="00BA4657" w:rsidRDefault="003275E5" w:rsidP="00755C14">
            <w:pPr>
              <w:jc w:val="right"/>
              <w:rPr>
                <w:sz w:val="16"/>
                <w:szCs w:val="16"/>
              </w:rPr>
            </w:pPr>
            <w:r w:rsidRPr="00BA4657">
              <w:rPr>
                <w:sz w:val="16"/>
                <w:szCs w:val="16"/>
              </w:rPr>
              <w:t>187</w:t>
            </w:r>
          </w:p>
        </w:tc>
        <w:tc>
          <w:tcPr>
            <w:tcW w:w="610" w:type="dxa"/>
          </w:tcPr>
          <w:p w:rsidR="003275E5" w:rsidRPr="00BA4657" w:rsidRDefault="003275E5">
            <w:pPr>
              <w:rPr>
                <w:sz w:val="16"/>
                <w:szCs w:val="16"/>
              </w:rPr>
            </w:pPr>
            <w:r w:rsidRPr="00BA4657">
              <w:rPr>
                <w:sz w:val="16"/>
                <w:szCs w:val="16"/>
              </w:rPr>
              <w:t>54</w:t>
            </w:r>
          </w:p>
        </w:tc>
        <w:tc>
          <w:tcPr>
            <w:tcW w:w="3601" w:type="dxa"/>
            <w:shd w:val="clear" w:color="auto" w:fill="auto"/>
            <w:hideMark/>
          </w:tcPr>
          <w:p w:rsidR="003275E5" w:rsidRPr="00BA4657" w:rsidRDefault="0097406E">
            <w:pPr>
              <w:rPr>
                <w:sz w:val="16"/>
                <w:szCs w:val="16"/>
              </w:rPr>
            </w:pPr>
            <w:r w:rsidRPr="00BA4657">
              <w:rPr>
                <w:sz w:val="16"/>
                <w:szCs w:val="16"/>
              </w:rPr>
              <w:t xml:space="preserve">A non-TIM S1G STA can send" appears to be </w:t>
            </w:r>
            <w:proofErr w:type="gramStart"/>
            <w:r w:rsidRPr="00BA4657">
              <w:rPr>
                <w:sz w:val="16"/>
                <w:szCs w:val="16"/>
              </w:rPr>
              <w:t>a permission</w:t>
            </w:r>
            <w:proofErr w:type="gramEnd"/>
            <w:r w:rsidRPr="00BA4657">
              <w:rPr>
                <w:sz w:val="16"/>
                <w:szCs w:val="16"/>
              </w:rPr>
              <w:t>, not a statement of physical possibility.</w:t>
            </w:r>
          </w:p>
        </w:tc>
        <w:tc>
          <w:tcPr>
            <w:tcW w:w="3601" w:type="dxa"/>
            <w:shd w:val="clear" w:color="auto" w:fill="auto"/>
            <w:hideMark/>
          </w:tcPr>
          <w:p w:rsidR="003275E5" w:rsidRPr="00BA4657" w:rsidRDefault="0097406E">
            <w:pPr>
              <w:rPr>
                <w:sz w:val="16"/>
                <w:szCs w:val="16"/>
              </w:rPr>
            </w:pPr>
            <w:r w:rsidRPr="00BA4657">
              <w:rPr>
                <w:sz w:val="16"/>
                <w:szCs w:val="16"/>
              </w:rPr>
              <w:t>Replace "can" with "may".</w:t>
            </w:r>
          </w:p>
        </w:tc>
        <w:tc>
          <w:tcPr>
            <w:tcW w:w="1232" w:type="dxa"/>
          </w:tcPr>
          <w:p w:rsidR="003275E5" w:rsidRPr="00BA4657" w:rsidRDefault="003275E5" w:rsidP="004F5083">
            <w:pPr>
              <w:autoSpaceDE w:val="0"/>
              <w:autoSpaceDN w:val="0"/>
              <w:adjustRightInd w:val="0"/>
              <w:rPr>
                <w:sz w:val="16"/>
                <w:szCs w:val="16"/>
                <w:lang w:val="en-US" w:eastAsia="ko-KR"/>
              </w:rPr>
            </w:pPr>
            <w:r w:rsidRPr="00BA4657">
              <w:rPr>
                <w:sz w:val="16"/>
                <w:szCs w:val="16"/>
                <w:lang w:val="en-US" w:eastAsia="ko-KR"/>
              </w:rPr>
              <w:t>Revised</w:t>
            </w:r>
          </w:p>
          <w:p w:rsidR="003275E5" w:rsidRPr="00BA4657" w:rsidRDefault="003275E5" w:rsidP="00BE4BF9">
            <w:pPr>
              <w:rPr>
                <w:sz w:val="16"/>
                <w:szCs w:val="16"/>
                <w:lang w:val="en-US"/>
              </w:rPr>
            </w:pPr>
          </w:p>
          <w:p w:rsidR="003275E5" w:rsidRPr="00BA4657" w:rsidRDefault="0097406E" w:rsidP="001D0875">
            <w:pPr>
              <w:autoSpaceDE w:val="0"/>
              <w:autoSpaceDN w:val="0"/>
              <w:adjustRightInd w:val="0"/>
              <w:rPr>
                <w:sz w:val="16"/>
                <w:szCs w:val="16"/>
                <w:lang w:val="en-US" w:eastAsia="zh-CN"/>
              </w:rPr>
            </w:pPr>
            <w:r w:rsidRPr="00BA4657">
              <w:rPr>
                <w:sz w:val="16"/>
                <w:szCs w:val="16"/>
                <w:lang w:val="en-US" w:eastAsia="zh-CN"/>
              </w:rPr>
              <w:t xml:space="preserve">11-13/54r1 has provided </w:t>
            </w:r>
            <w:r w:rsidR="00A070C5">
              <w:rPr>
                <w:sz w:val="16"/>
                <w:szCs w:val="16"/>
                <w:lang w:val="en-US" w:eastAsia="zh-CN"/>
              </w:rPr>
              <w:t>some changes</w:t>
            </w:r>
            <w:r w:rsidRPr="00BA4657">
              <w:rPr>
                <w:sz w:val="16"/>
                <w:szCs w:val="16"/>
                <w:lang w:val="en-US" w:eastAsia="zh-CN"/>
              </w:rPr>
              <w:t xml:space="preserve">. </w:t>
            </w:r>
            <w:proofErr w:type="spellStart"/>
            <w:r w:rsidR="00A93238" w:rsidRPr="00A93238">
              <w:rPr>
                <w:sz w:val="16"/>
                <w:szCs w:val="16"/>
                <w:lang w:val="en-US" w:eastAsia="ko-KR"/>
              </w:rPr>
              <w:t>Tgah</w:t>
            </w:r>
            <w:proofErr w:type="spellEnd"/>
            <w:r w:rsidR="00A93238" w:rsidRPr="00A93238">
              <w:rPr>
                <w:sz w:val="16"/>
                <w:szCs w:val="16"/>
                <w:lang w:val="en-US" w:eastAsia="ko-KR"/>
              </w:rPr>
              <w:t xml:space="preserve"> editor to make changes shown in 11-1</w:t>
            </w:r>
            <w:r w:rsidR="00A93238">
              <w:rPr>
                <w:sz w:val="16"/>
                <w:szCs w:val="16"/>
                <w:lang w:val="en-US" w:eastAsia="ko-KR"/>
              </w:rPr>
              <w:t>4</w:t>
            </w:r>
            <w:r w:rsidR="00A93238" w:rsidRPr="00A93238">
              <w:rPr>
                <w:sz w:val="16"/>
                <w:szCs w:val="16"/>
                <w:lang w:val="en-US" w:eastAsia="ko-KR"/>
              </w:rPr>
              <w:t>-</w:t>
            </w:r>
            <w:r w:rsidR="001D0875">
              <w:rPr>
                <w:rFonts w:hint="eastAsia"/>
                <w:sz w:val="16"/>
                <w:szCs w:val="16"/>
                <w:lang w:val="en-US" w:eastAsia="zh-CN"/>
              </w:rPr>
              <w:t>0264</w:t>
            </w:r>
            <w:r w:rsidR="00A93238" w:rsidRPr="00A93238">
              <w:rPr>
                <w:sz w:val="16"/>
                <w:szCs w:val="16"/>
                <w:lang w:val="en-US" w:eastAsia="ko-KR"/>
              </w:rPr>
              <w:t xml:space="preserve">r0 under the heading for CID </w:t>
            </w:r>
            <w:r w:rsidR="00A93238">
              <w:rPr>
                <w:sz w:val="16"/>
                <w:szCs w:val="16"/>
                <w:lang w:val="en-US" w:eastAsia="ko-KR"/>
              </w:rPr>
              <w:t>1733</w:t>
            </w:r>
            <w:r w:rsidR="00A93238" w:rsidRPr="00A93238">
              <w:rPr>
                <w:sz w:val="16"/>
                <w:szCs w:val="16"/>
                <w:lang w:val="en-US" w:eastAsia="ko-KR"/>
              </w:rPr>
              <w:t>.</w:t>
            </w:r>
          </w:p>
        </w:tc>
      </w:tr>
    </w:tbl>
    <w:p w:rsidR="00D654EA" w:rsidRPr="00F133F9" w:rsidRDefault="00D654EA" w:rsidP="002D04FA">
      <w:pPr>
        <w:rPr>
          <w:b/>
          <w:i/>
        </w:rPr>
      </w:pPr>
    </w:p>
    <w:p w:rsidR="00D165E7" w:rsidRPr="008A1C17" w:rsidRDefault="00D165E7" w:rsidP="002D04FA">
      <w:pPr>
        <w:rPr>
          <w:b/>
          <w:i/>
          <w:u w:val="single"/>
          <w:lang w:val="en-US"/>
        </w:rPr>
      </w:pPr>
      <w:r w:rsidRPr="008A1C17">
        <w:rPr>
          <w:b/>
          <w:i/>
          <w:u w:val="single"/>
          <w:lang w:val="en-US"/>
        </w:rPr>
        <w:t>Discussion:</w:t>
      </w:r>
    </w:p>
    <w:p w:rsidR="00D165E7" w:rsidRPr="00D165E7" w:rsidRDefault="00D165E7" w:rsidP="002D04FA">
      <w:pPr>
        <w:rPr>
          <w:lang w:val="en-US"/>
        </w:rPr>
      </w:pPr>
      <w:r w:rsidRPr="008A1C17">
        <w:rPr>
          <w:lang w:val="en-US"/>
        </w:rPr>
        <w:t xml:space="preserve">To clarify the </w:t>
      </w:r>
      <w:r w:rsidR="00AF2001" w:rsidRPr="008A1C17">
        <w:rPr>
          <w:lang w:val="en-US"/>
        </w:rPr>
        <w:t>temporary PS mode switch</w:t>
      </w:r>
      <w:r w:rsidR="00AF2001">
        <w:rPr>
          <w:lang w:val="en-US"/>
        </w:rPr>
        <w:t>ing operation</w:t>
      </w:r>
      <w:r w:rsidRPr="008A1C17">
        <w:rPr>
          <w:lang w:val="en-US"/>
        </w:rPr>
        <w:t xml:space="preserve"> </w:t>
      </w:r>
      <w:r w:rsidR="00AF2001">
        <w:rPr>
          <w:lang w:val="en-US"/>
        </w:rPr>
        <w:t>of a non-TIM STA</w:t>
      </w:r>
      <w:r w:rsidRPr="008A1C17">
        <w:rPr>
          <w:lang w:val="en-US"/>
        </w:rPr>
        <w:t xml:space="preserve">, we include MIB variable dot11NonTIMModeSwitch for the temporary </w:t>
      </w:r>
      <w:r w:rsidR="004544C6" w:rsidRPr="008A1C17">
        <w:rPr>
          <w:lang w:val="en-US"/>
        </w:rPr>
        <w:t xml:space="preserve">PS mode </w:t>
      </w:r>
      <w:r w:rsidRPr="008A1C17">
        <w:rPr>
          <w:lang w:val="en-US"/>
        </w:rPr>
        <w:t>switching between non-TIM and TIM modes</w:t>
      </w:r>
      <w:r w:rsidR="003257FE" w:rsidRPr="008A1C17">
        <w:rPr>
          <w:rFonts w:hint="eastAsia"/>
          <w:lang w:val="en-US" w:eastAsia="zh-CN"/>
        </w:rPr>
        <w:t xml:space="preserve"> (</w:t>
      </w:r>
      <w:r w:rsidR="003257FE" w:rsidRPr="008A1C17">
        <w:rPr>
          <w:lang w:val="en-US" w:eastAsia="zh-CN"/>
        </w:rPr>
        <w:t>see 11-14/73)</w:t>
      </w:r>
      <w:r w:rsidRPr="008A1C17">
        <w:rPr>
          <w:lang w:val="en-US"/>
        </w:rPr>
        <w:t>.</w:t>
      </w:r>
    </w:p>
    <w:p w:rsidR="00D165E7" w:rsidRDefault="00D165E7" w:rsidP="002D04FA">
      <w:pPr>
        <w:rPr>
          <w:b/>
          <w:i/>
          <w:lang w:val="en-US"/>
        </w:rPr>
      </w:pPr>
    </w:p>
    <w:p w:rsidR="00CB295C" w:rsidRPr="00CB295C" w:rsidRDefault="00CB295C" w:rsidP="00CB295C">
      <w:pPr>
        <w:rPr>
          <w:b/>
          <w:u w:val="single"/>
        </w:rPr>
      </w:pPr>
      <w:r w:rsidRPr="00CB295C">
        <w:rPr>
          <w:b/>
          <w:u w:val="single"/>
        </w:rPr>
        <w:t>CID 1</w:t>
      </w:r>
      <w:r>
        <w:rPr>
          <w:b/>
          <w:u w:val="single"/>
        </w:rPr>
        <w:t>733</w:t>
      </w:r>
    </w:p>
    <w:p w:rsidR="00CB295C" w:rsidRDefault="00CB295C" w:rsidP="002D04FA">
      <w:pPr>
        <w:rPr>
          <w:b/>
          <w:i/>
          <w:lang w:val="en-US"/>
        </w:rPr>
      </w:pPr>
    </w:p>
    <w:p w:rsidR="004761C9" w:rsidRDefault="004761C9" w:rsidP="002D04FA">
      <w:pPr>
        <w:rPr>
          <w:b/>
          <w:i/>
          <w:lang w:val="en-US"/>
        </w:rPr>
      </w:pPr>
      <w:r w:rsidRPr="004761C9">
        <w:rPr>
          <w:b/>
          <w:i/>
          <w:lang w:val="en-US"/>
        </w:rPr>
        <w:t>Proposed changes:</w:t>
      </w:r>
    </w:p>
    <w:p w:rsidR="002E26DF" w:rsidRPr="00B20E18" w:rsidRDefault="002E26DF" w:rsidP="002E26DF">
      <w:pPr>
        <w:rPr>
          <w:rFonts w:ascii="Arial" w:hAnsi="Arial" w:cs="Arial"/>
          <w:sz w:val="20"/>
          <w:lang w:eastAsia="zh-CN"/>
        </w:rPr>
      </w:pPr>
      <w:r w:rsidRPr="00122060">
        <w:rPr>
          <w:b/>
          <w:highlight w:val="yellow"/>
        </w:rPr>
        <w:t>Instruc</w:t>
      </w:r>
      <w:r>
        <w:rPr>
          <w:b/>
          <w:highlight w:val="yellow"/>
        </w:rPr>
        <w:t xml:space="preserve">tion to Editor: </w:t>
      </w:r>
      <w:r w:rsidRPr="000D0A83">
        <w:rPr>
          <w:b/>
          <w:i/>
          <w:highlight w:val="yellow"/>
        </w:rPr>
        <w:t xml:space="preserve">Please make the following changes </w:t>
      </w:r>
      <w:r w:rsidR="0097406E">
        <w:rPr>
          <w:b/>
          <w:i/>
          <w:highlight w:val="yellow"/>
        </w:rPr>
        <w:t>for L</w:t>
      </w:r>
      <w:r w:rsidR="00965BC0">
        <w:rPr>
          <w:b/>
          <w:i/>
          <w:highlight w:val="yellow"/>
        </w:rPr>
        <w:t>2</w:t>
      </w:r>
      <w:r w:rsidR="003257FE">
        <w:rPr>
          <w:b/>
          <w:i/>
          <w:highlight w:val="yellow"/>
        </w:rPr>
        <w:t>4</w:t>
      </w:r>
      <w:r w:rsidR="0097406E">
        <w:rPr>
          <w:b/>
          <w:i/>
          <w:highlight w:val="yellow"/>
        </w:rPr>
        <w:t>P</w:t>
      </w:r>
      <w:r w:rsidR="003257FE">
        <w:rPr>
          <w:b/>
          <w:i/>
          <w:highlight w:val="yellow"/>
        </w:rPr>
        <w:t>2</w:t>
      </w:r>
      <w:r w:rsidR="00965BC0">
        <w:rPr>
          <w:b/>
          <w:i/>
          <w:highlight w:val="yellow"/>
        </w:rPr>
        <w:t>20</w:t>
      </w:r>
      <w:r w:rsidR="0097406E">
        <w:rPr>
          <w:b/>
          <w:i/>
          <w:highlight w:val="yellow"/>
        </w:rPr>
        <w:t xml:space="preserve"> </w:t>
      </w:r>
      <w:r w:rsidRPr="000D0A83">
        <w:rPr>
          <w:b/>
          <w:i/>
          <w:highlight w:val="yellow"/>
        </w:rPr>
        <w:t xml:space="preserve">in clause </w:t>
      </w:r>
      <w:r w:rsidR="00FE2A5A">
        <w:rPr>
          <w:b/>
          <w:i/>
          <w:highlight w:val="yellow"/>
        </w:rPr>
        <w:t>9.42.</w:t>
      </w:r>
      <w:r w:rsidR="003257FE">
        <w:rPr>
          <w:b/>
          <w:i/>
          <w:highlight w:val="yellow"/>
        </w:rPr>
        <w:t>2</w:t>
      </w:r>
      <w:r w:rsidR="00126A93">
        <w:rPr>
          <w:b/>
          <w:i/>
          <w:highlight w:val="yellow"/>
        </w:rPr>
        <w:t xml:space="preserve"> (</w:t>
      </w:r>
      <w:proofErr w:type="spellStart"/>
      <w:r w:rsidR="00126A93">
        <w:rPr>
          <w:b/>
          <w:i/>
          <w:highlight w:val="yellow"/>
        </w:rPr>
        <w:t>TGah</w:t>
      </w:r>
      <w:proofErr w:type="spellEnd"/>
      <w:r w:rsidR="00126A93">
        <w:rPr>
          <w:b/>
          <w:i/>
          <w:highlight w:val="yellow"/>
        </w:rPr>
        <w:t xml:space="preserve"> Draft 1.2)</w:t>
      </w:r>
      <w:r w:rsidRPr="000D0A83">
        <w:rPr>
          <w:b/>
          <w:i/>
          <w:highlight w:val="yellow"/>
        </w:rPr>
        <w:t>:</w:t>
      </w:r>
    </w:p>
    <w:p w:rsidR="002E26DF" w:rsidRPr="002E26DF" w:rsidRDefault="002E26DF" w:rsidP="002D04FA">
      <w:pPr>
        <w:rPr>
          <w:b/>
          <w:i/>
        </w:rPr>
      </w:pPr>
    </w:p>
    <w:p w:rsidR="00691B72" w:rsidRDefault="00DD542B" w:rsidP="00DD542B">
      <w:pPr>
        <w:rPr>
          <w:rFonts w:ascii="TimesNewRomanPSMT" w:hAnsi="TimesNewRomanPSMT" w:cs="TimesNewRomanPSMT"/>
          <w:sz w:val="20"/>
          <w:lang w:val="en-US" w:eastAsia="zh-CN"/>
        </w:rPr>
      </w:pPr>
      <w:r>
        <w:rPr>
          <w:rStyle w:val="SC9114703"/>
        </w:rPr>
        <w:t xml:space="preserve">An S1G AP may set the wakeup timer (Duration field) as the duration to a TBTT in the responding control frame (either NDP ACK or NDP Modified ACK frame) and treat the non-TIM STA as a TIM STA starting from the TBTT </w:t>
      </w:r>
      <w:r w:rsidRPr="00A81AAB">
        <w:rPr>
          <w:rFonts w:ascii="TimesNewRomanPSMT" w:hAnsi="TimesNewRomanPSMT" w:cs="TimesNewRomanPSMT"/>
          <w:color w:val="FF0000"/>
          <w:sz w:val="20"/>
          <w:u w:val="single"/>
          <w:lang w:val="en-US" w:eastAsia="ko-KR"/>
        </w:rPr>
        <w:t>if the bit corresponding to the non-TIM STA in the traffic indication virtual bitmap is set to 1</w:t>
      </w:r>
      <w:r>
        <w:rPr>
          <w:rStyle w:val="SC9114703"/>
        </w:rPr>
        <w:t>. After the amount of time that is equal to the Duration field value in the responding control frame from the S1G AP, the non-TIM S1G STA shall</w:t>
      </w:r>
      <w:r>
        <w:rPr>
          <w:rStyle w:val="SC9114772"/>
        </w:rPr>
        <w:t xml:space="preserve">(#63) </w:t>
      </w:r>
      <w:r>
        <w:rPr>
          <w:rStyle w:val="SC9114703"/>
        </w:rPr>
        <w:t xml:space="preserve">wake up to receive the beacon. Upon receiving the beacon, the </w:t>
      </w:r>
      <w:r w:rsidRPr="00A81AAB">
        <w:rPr>
          <w:rFonts w:ascii="TimesNewRomanPSMT" w:hAnsi="TimesNewRomanPSMT" w:cs="TimesNewRomanPSMT"/>
          <w:color w:val="FF0000"/>
          <w:sz w:val="20"/>
          <w:u w:val="single"/>
          <w:lang w:val="en-US" w:eastAsia="ko-KR"/>
        </w:rPr>
        <w:t>non-TIM</w:t>
      </w:r>
      <w:r>
        <w:rPr>
          <w:rStyle w:val="SC9114703"/>
        </w:rPr>
        <w:t xml:space="preserve"> STA infers from the TIM element </w:t>
      </w:r>
      <w:r w:rsidRPr="00A81AAB">
        <w:rPr>
          <w:rFonts w:ascii="TimesNewRomanPSMT" w:hAnsi="TimesNewRomanPSMT" w:cs="TimesNewRomanPSMT"/>
          <w:color w:val="FF0000"/>
          <w:sz w:val="20"/>
          <w:u w:val="single"/>
          <w:lang w:val="en-US" w:eastAsia="ko-KR"/>
        </w:rPr>
        <w:t>indicating that there is BU for it</w:t>
      </w:r>
      <w:r>
        <w:rPr>
          <w:rStyle w:val="SC9114703"/>
        </w:rPr>
        <w:t xml:space="preserve"> that it is treated as a TIM STA and operates as a TIM STA from then on</w:t>
      </w:r>
      <w:r w:rsidRPr="00A81AAB">
        <w:rPr>
          <w:rFonts w:ascii="TimesNewRomanPSMT" w:hAnsi="TimesNewRomanPSMT" w:cs="TimesNewRomanPSMT"/>
          <w:color w:val="FF0000"/>
          <w:sz w:val="20"/>
          <w:u w:val="single"/>
          <w:lang w:val="en-US" w:eastAsia="ko-KR"/>
        </w:rPr>
        <w:t xml:space="preserve">, </w:t>
      </w:r>
      <w:r>
        <w:rPr>
          <w:rFonts w:ascii="TimesNewRomanPSMT" w:hAnsi="TimesNewRomanPSMT" w:cs="TimesNewRomanPSMT"/>
          <w:color w:val="FF0000"/>
          <w:sz w:val="20"/>
          <w:u w:val="single"/>
          <w:lang w:val="en-US" w:eastAsia="ko-KR"/>
        </w:rPr>
        <w:t xml:space="preserve">setting </w:t>
      </w:r>
      <w:r w:rsidRPr="00A81AAB">
        <w:rPr>
          <w:rFonts w:ascii="TimesNewRomanPSMT" w:hAnsi="TimesNewRomanPSMT" w:cs="TimesNewRomanPSMT"/>
          <w:color w:val="FF0000"/>
          <w:sz w:val="20"/>
          <w:u w:val="single"/>
          <w:lang w:val="en-US" w:eastAsia="ko-KR"/>
        </w:rPr>
        <w:t xml:space="preserve">dot11NonTIMModeActivated to false </w:t>
      </w:r>
      <w:r>
        <w:rPr>
          <w:rFonts w:ascii="TimesNewRomanPSMT" w:hAnsi="TimesNewRomanPSMT" w:cs="TimesNewRomanPSMT"/>
          <w:color w:val="FF0000"/>
          <w:sz w:val="20"/>
          <w:u w:val="single"/>
          <w:lang w:val="en-US" w:eastAsia="ko-KR"/>
        </w:rPr>
        <w:t>and</w:t>
      </w:r>
      <w:r w:rsidRPr="00A81AAB">
        <w:rPr>
          <w:rFonts w:ascii="TimesNewRomanPSMT" w:hAnsi="TimesNewRomanPSMT" w:cs="TimesNewRomanPSMT"/>
          <w:color w:val="FF0000"/>
          <w:sz w:val="20"/>
          <w:u w:val="single"/>
          <w:lang w:val="en-US" w:eastAsia="ko-KR"/>
        </w:rPr>
        <w:t xml:space="preserve"> switch</w:t>
      </w:r>
      <w:r>
        <w:rPr>
          <w:rFonts w:ascii="TimesNewRomanPSMT" w:hAnsi="TimesNewRomanPSMT" w:cs="TimesNewRomanPSMT"/>
          <w:color w:val="FF0000"/>
          <w:sz w:val="20"/>
          <w:u w:val="single"/>
          <w:lang w:val="en-US" w:eastAsia="ko-KR"/>
        </w:rPr>
        <w:t>ing</w:t>
      </w:r>
      <w:r w:rsidRPr="00A81AAB">
        <w:rPr>
          <w:rFonts w:ascii="TimesNewRomanPSMT" w:hAnsi="TimesNewRomanPSMT" w:cs="TimesNewRomanPSMT"/>
          <w:color w:val="FF0000"/>
          <w:sz w:val="20"/>
          <w:u w:val="single"/>
          <w:lang w:val="en-US" w:eastAsia="ko-KR"/>
        </w:rPr>
        <w:t xml:space="preserve"> to TIM mode (see 10.2.2.2)</w:t>
      </w:r>
      <w:r>
        <w:rPr>
          <w:rStyle w:val="SC9114703"/>
        </w:rPr>
        <w:t xml:space="preserve">. The S1G STA returns to the non-TIM STA operation mode </w:t>
      </w:r>
      <w:r w:rsidRPr="00A81AAB">
        <w:rPr>
          <w:rFonts w:ascii="TimesNewRomanPSMT" w:hAnsi="TimesNewRomanPSMT" w:cs="TimesNewRomanPSMT"/>
          <w:color w:val="FF0000"/>
          <w:sz w:val="20"/>
          <w:u w:val="single"/>
          <w:lang w:val="en-US" w:eastAsia="ko-KR"/>
        </w:rPr>
        <w:t>by setting dot11NonTIMModeActivated to true</w:t>
      </w:r>
      <w:r>
        <w:rPr>
          <w:rFonts w:ascii="TimesNewRomanPSMT" w:hAnsi="TimesNewRomanPSMT" w:cs="TimesNewRomanPSMT"/>
          <w:color w:val="FF0000"/>
          <w:sz w:val="20"/>
          <w:u w:val="single"/>
          <w:lang w:val="en-US" w:eastAsia="ko-KR"/>
        </w:rPr>
        <w:t xml:space="preserve"> </w:t>
      </w:r>
      <w:r>
        <w:rPr>
          <w:rStyle w:val="SC9114703"/>
        </w:rPr>
        <w:t xml:space="preserve">if the S1G AP indicates that there is no more data buffered for the S1G STA and the S1G STA indicates to the S1G AP that there is no more data to transmit. The S1G AP treats the S1G STA as a non-TIM STA if the STA indicates that there is no more data to transmit and the S1G AP indicates that there is no more data buffered for the STA. </w:t>
      </w:r>
      <w:r>
        <w:rPr>
          <w:rStyle w:val="SC9114772"/>
        </w:rPr>
        <w:t>(#968)</w:t>
      </w:r>
    </w:p>
    <w:p w:rsidR="00CB295C" w:rsidRDefault="00CB295C" w:rsidP="00CB295C"/>
    <w:tbl>
      <w:tblPr>
        <w:tblW w:w="10639" w:type="dxa"/>
        <w:jc w:val="center"/>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944"/>
        <w:gridCol w:w="854"/>
        <w:gridCol w:w="677"/>
        <w:gridCol w:w="610"/>
        <w:gridCol w:w="2322"/>
        <w:gridCol w:w="2299"/>
        <w:gridCol w:w="1933"/>
      </w:tblGrid>
      <w:tr w:rsidR="00CB295C" w:rsidRPr="00930F36" w:rsidTr="00E86A48">
        <w:trPr>
          <w:trHeight w:val="495"/>
          <w:jc w:val="center"/>
        </w:trPr>
        <w:tc>
          <w:tcPr>
            <w:tcW w:w="1944" w:type="dxa"/>
            <w:shd w:val="clear" w:color="000000" w:fill="808080"/>
            <w:vAlign w:val="bottom"/>
            <w:hideMark/>
          </w:tcPr>
          <w:p w:rsidR="00CB295C" w:rsidRDefault="00CB295C" w:rsidP="00E86A48">
            <w:pPr>
              <w:jc w:val="both"/>
              <w:rPr>
                <w:rFonts w:ascii="Arial" w:eastAsia="Gulim" w:hAnsi="Arial" w:cs="Arial"/>
                <w:b/>
                <w:bCs/>
                <w:color w:val="FFFFFF"/>
                <w:sz w:val="20"/>
                <w:lang w:val="en-US" w:eastAsia="ko-KR"/>
              </w:rPr>
            </w:pPr>
          </w:p>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854"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677" w:type="dxa"/>
            <w:shd w:val="clear" w:color="000000" w:fill="808080"/>
            <w:vAlign w:val="bottom"/>
            <w:hideMark/>
          </w:tcPr>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610"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2322" w:type="dxa"/>
            <w:shd w:val="clear" w:color="000000" w:fill="808080"/>
            <w:vAlign w:val="bottom"/>
            <w:hideMark/>
          </w:tcPr>
          <w:p w:rsidR="00CB295C" w:rsidRPr="00930F36"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2299" w:type="dxa"/>
            <w:shd w:val="clear" w:color="000000" w:fill="808080"/>
            <w:vAlign w:val="bottom"/>
            <w:hideMark/>
          </w:tcPr>
          <w:p w:rsidR="00CB295C" w:rsidRPr="00786EDE" w:rsidRDefault="00CB295C" w:rsidP="00E86A48">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933" w:type="dxa"/>
            <w:shd w:val="clear" w:color="000000" w:fill="808080"/>
          </w:tcPr>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p>
          <w:p w:rsidR="00CB295C" w:rsidRDefault="00CB295C" w:rsidP="00E86A48">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Resolution</w:t>
            </w:r>
          </w:p>
        </w:tc>
      </w:tr>
      <w:tr w:rsidR="00CB295C" w:rsidRPr="00930F36" w:rsidTr="00E86A48">
        <w:trPr>
          <w:trHeight w:val="1484"/>
          <w:jc w:val="center"/>
        </w:trPr>
        <w:tc>
          <w:tcPr>
            <w:tcW w:w="1944" w:type="dxa"/>
            <w:shd w:val="clear" w:color="auto" w:fill="auto"/>
            <w:noWrap/>
            <w:hideMark/>
          </w:tcPr>
          <w:p w:rsidR="00CB295C" w:rsidRPr="001D2990" w:rsidRDefault="00CB295C" w:rsidP="00E86A48">
            <w:pPr>
              <w:rPr>
                <w:rFonts w:eastAsia="Gulim"/>
                <w:sz w:val="16"/>
                <w:szCs w:val="16"/>
                <w:lang w:val="en-US" w:eastAsia="ko-KR"/>
              </w:rPr>
            </w:pPr>
            <w:r w:rsidRPr="001D2990">
              <w:rPr>
                <w:rFonts w:eastAsia="Gulim"/>
                <w:sz w:val="16"/>
                <w:szCs w:val="16"/>
                <w:lang w:val="en-US" w:eastAsia="ko-KR"/>
              </w:rPr>
              <w:t>2759</w:t>
            </w:r>
          </w:p>
        </w:tc>
        <w:tc>
          <w:tcPr>
            <w:tcW w:w="854" w:type="dxa"/>
          </w:tcPr>
          <w:p w:rsidR="00CB295C" w:rsidRPr="001D2990" w:rsidRDefault="00CB295C" w:rsidP="00E86A48">
            <w:pPr>
              <w:rPr>
                <w:rFonts w:eastAsia="Gulim"/>
                <w:sz w:val="16"/>
                <w:szCs w:val="16"/>
                <w:lang w:val="en-US" w:eastAsia="ko-KR"/>
              </w:rPr>
            </w:pPr>
            <w:r w:rsidRPr="001D2990">
              <w:rPr>
                <w:sz w:val="16"/>
                <w:szCs w:val="16"/>
                <w:lang w:eastAsia="ko-KR"/>
              </w:rPr>
              <w:t>9.43.5</w:t>
            </w:r>
          </w:p>
        </w:tc>
        <w:tc>
          <w:tcPr>
            <w:tcW w:w="677" w:type="dxa"/>
            <w:shd w:val="clear" w:color="auto" w:fill="auto"/>
            <w:hideMark/>
          </w:tcPr>
          <w:p w:rsidR="00CB295C" w:rsidRPr="001D2990" w:rsidRDefault="00CB295C" w:rsidP="00E86A48">
            <w:pPr>
              <w:jc w:val="right"/>
              <w:rPr>
                <w:sz w:val="16"/>
                <w:szCs w:val="16"/>
              </w:rPr>
            </w:pPr>
            <w:r w:rsidRPr="001D2990">
              <w:rPr>
                <w:sz w:val="16"/>
                <w:szCs w:val="16"/>
              </w:rPr>
              <w:t>188</w:t>
            </w:r>
          </w:p>
        </w:tc>
        <w:tc>
          <w:tcPr>
            <w:tcW w:w="610" w:type="dxa"/>
          </w:tcPr>
          <w:p w:rsidR="00CB295C" w:rsidRPr="001D2990" w:rsidRDefault="00CB295C" w:rsidP="00E86A48">
            <w:pPr>
              <w:rPr>
                <w:sz w:val="16"/>
                <w:szCs w:val="16"/>
              </w:rPr>
            </w:pPr>
            <w:r w:rsidRPr="001D2990">
              <w:rPr>
                <w:sz w:val="16"/>
                <w:szCs w:val="16"/>
              </w:rPr>
              <w:t>59</w:t>
            </w:r>
          </w:p>
        </w:tc>
        <w:tc>
          <w:tcPr>
            <w:tcW w:w="2322" w:type="dxa"/>
            <w:shd w:val="clear" w:color="auto" w:fill="auto"/>
            <w:hideMark/>
          </w:tcPr>
          <w:p w:rsidR="00CB295C" w:rsidRPr="001D2990" w:rsidRDefault="00CB295C" w:rsidP="00E86A48">
            <w:pPr>
              <w:rPr>
                <w:sz w:val="16"/>
                <w:szCs w:val="16"/>
              </w:rPr>
            </w:pPr>
            <w:r w:rsidRPr="001D2990">
              <w:rPr>
                <w:sz w:val="16"/>
                <w:szCs w:val="16"/>
              </w:rPr>
              <w:t>Change "responds" to "respond"</w:t>
            </w:r>
          </w:p>
        </w:tc>
        <w:tc>
          <w:tcPr>
            <w:tcW w:w="2299" w:type="dxa"/>
            <w:shd w:val="clear" w:color="auto" w:fill="auto"/>
            <w:hideMark/>
          </w:tcPr>
          <w:p w:rsidR="00CB295C" w:rsidRPr="001D2990" w:rsidRDefault="00CB295C" w:rsidP="00E86A48">
            <w:pPr>
              <w:rPr>
                <w:sz w:val="16"/>
                <w:szCs w:val="16"/>
              </w:rPr>
            </w:pPr>
            <w:r w:rsidRPr="001D2990">
              <w:rPr>
                <w:sz w:val="16"/>
                <w:szCs w:val="16"/>
              </w:rPr>
              <w:t>as commented</w:t>
            </w:r>
          </w:p>
        </w:tc>
        <w:tc>
          <w:tcPr>
            <w:tcW w:w="1933" w:type="dxa"/>
          </w:tcPr>
          <w:p w:rsidR="00CB295C" w:rsidRPr="001D2990" w:rsidRDefault="00CB295C" w:rsidP="00E86A48">
            <w:pPr>
              <w:autoSpaceDE w:val="0"/>
              <w:autoSpaceDN w:val="0"/>
              <w:adjustRightInd w:val="0"/>
              <w:rPr>
                <w:sz w:val="16"/>
                <w:szCs w:val="16"/>
                <w:lang w:val="en-US" w:eastAsia="ko-KR"/>
              </w:rPr>
            </w:pPr>
            <w:r w:rsidRPr="001D2990">
              <w:rPr>
                <w:sz w:val="16"/>
                <w:szCs w:val="16"/>
                <w:lang w:val="en-US" w:eastAsia="ko-KR"/>
              </w:rPr>
              <w:t>Revised</w:t>
            </w:r>
          </w:p>
          <w:p w:rsidR="00CB295C" w:rsidRPr="001D2990" w:rsidRDefault="00CB295C" w:rsidP="00E86A48">
            <w:pPr>
              <w:rPr>
                <w:sz w:val="16"/>
                <w:szCs w:val="16"/>
                <w:lang w:val="en-US"/>
              </w:rPr>
            </w:pPr>
          </w:p>
          <w:p w:rsidR="00CB295C" w:rsidRPr="001D2990" w:rsidRDefault="00CB295C" w:rsidP="00E86A48">
            <w:pPr>
              <w:autoSpaceDE w:val="0"/>
              <w:autoSpaceDN w:val="0"/>
              <w:adjustRightInd w:val="0"/>
              <w:rPr>
                <w:sz w:val="16"/>
                <w:szCs w:val="16"/>
                <w:lang w:val="en-US" w:eastAsia="ko-KR"/>
              </w:rPr>
            </w:pPr>
            <w:r w:rsidRPr="001D2990">
              <w:rPr>
                <w:sz w:val="16"/>
                <w:szCs w:val="16"/>
                <w:lang w:val="en-US"/>
              </w:rPr>
              <w:t>No change is required as the comment resolution document 11-14/34r0 has proposed the change.</w:t>
            </w:r>
          </w:p>
        </w:tc>
      </w:tr>
    </w:tbl>
    <w:p w:rsidR="00CB295C" w:rsidRDefault="00CB295C" w:rsidP="00CB295C">
      <w:pPr>
        <w:rPr>
          <w:lang w:val="en-US"/>
        </w:rPr>
      </w:pPr>
    </w:p>
    <w:p w:rsidR="00CB295C" w:rsidRPr="00CB295C" w:rsidRDefault="00CB295C" w:rsidP="00CB295C">
      <w:pPr>
        <w:rPr>
          <w:b/>
          <w:u w:val="single"/>
        </w:rPr>
      </w:pPr>
      <w:r w:rsidRPr="00CB295C">
        <w:rPr>
          <w:b/>
          <w:u w:val="single"/>
        </w:rPr>
        <w:t xml:space="preserve">CID </w:t>
      </w:r>
      <w:r>
        <w:rPr>
          <w:b/>
          <w:u w:val="single"/>
        </w:rPr>
        <w:t>2759</w:t>
      </w:r>
    </w:p>
    <w:p w:rsidR="00CB295C" w:rsidRDefault="00CB295C" w:rsidP="00CB295C">
      <w:pPr>
        <w:rPr>
          <w:b/>
          <w:i/>
          <w:lang w:val="en-US"/>
        </w:rPr>
      </w:pPr>
    </w:p>
    <w:p w:rsidR="00CB295C" w:rsidRDefault="00CB295C" w:rsidP="00CB295C">
      <w:pPr>
        <w:rPr>
          <w:b/>
          <w:i/>
          <w:lang w:val="en-US"/>
        </w:rPr>
      </w:pPr>
      <w:r w:rsidRPr="004761C9">
        <w:rPr>
          <w:b/>
          <w:i/>
          <w:lang w:val="en-US"/>
        </w:rPr>
        <w:t>Proposed changes:</w:t>
      </w:r>
    </w:p>
    <w:p w:rsidR="00CB295C" w:rsidRPr="00B20E18" w:rsidRDefault="00CB295C" w:rsidP="00CB295C">
      <w:pPr>
        <w:rPr>
          <w:rFonts w:ascii="Arial" w:hAnsi="Arial" w:cs="Arial"/>
          <w:sz w:val="20"/>
          <w:lang w:eastAsia="zh-CN"/>
        </w:rPr>
      </w:pPr>
      <w:proofErr w:type="gramStart"/>
      <w:r>
        <w:rPr>
          <w:b/>
        </w:rPr>
        <w:t>None.</w:t>
      </w:r>
      <w:proofErr w:type="gramEnd"/>
    </w:p>
    <w:p w:rsidR="00CB295C" w:rsidRPr="00691B72" w:rsidRDefault="00CB295C" w:rsidP="00A070C5">
      <w:pPr>
        <w:rPr>
          <w:rFonts w:ascii="TimesNewRomanPSMT" w:hAnsi="TimesNewRomanPSMT" w:cs="TimesNewRomanPSMT"/>
          <w:sz w:val="20"/>
          <w:lang w:val="en-US" w:eastAsia="zh-CN"/>
        </w:rPr>
      </w:pPr>
    </w:p>
    <w:sectPr w:rsidR="00CB295C" w:rsidRPr="00691B72"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F1B" w:rsidRDefault="005A1F1B">
      <w:r>
        <w:separator/>
      </w:r>
    </w:p>
  </w:endnote>
  <w:endnote w:type="continuationSeparator" w:id="0">
    <w:p w:rsidR="005A1F1B" w:rsidRDefault="005A1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Footer"/>
      <w:tabs>
        <w:tab w:val="clear" w:pos="6480"/>
        <w:tab w:val="center" w:pos="4680"/>
        <w:tab w:val="right" w:pos="9360"/>
      </w:tabs>
    </w:pPr>
    <w:r>
      <w:tab/>
    </w:r>
    <w:proofErr w:type="gramStart"/>
    <w:r>
      <w:t>page</w:t>
    </w:r>
    <w:proofErr w:type="gramEnd"/>
    <w:r>
      <w:t xml:space="preserve"> </w:t>
    </w:r>
    <w:r w:rsidR="00AD4103">
      <w:fldChar w:fldCharType="begin"/>
    </w:r>
    <w:r w:rsidR="00816ECF">
      <w:instrText xml:space="preserve">page </w:instrText>
    </w:r>
    <w:r w:rsidR="00AD4103">
      <w:fldChar w:fldCharType="separate"/>
    </w:r>
    <w:r w:rsidR="00DD542B">
      <w:rPr>
        <w:noProof/>
      </w:rPr>
      <w:t>3</w:t>
    </w:r>
    <w:r w:rsidR="00AD4103">
      <w:rPr>
        <w:noProof/>
      </w:rPr>
      <w:fldChar w:fldCharType="end"/>
    </w:r>
    <w:r>
      <w:tab/>
      <w:t xml:space="preserve">Shoukang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F1B" w:rsidRDefault="005A1F1B">
      <w:r>
        <w:separator/>
      </w:r>
    </w:p>
  </w:footnote>
  <w:footnote w:type="continuationSeparator" w:id="0">
    <w:p w:rsidR="005A1F1B" w:rsidRDefault="005A1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AD4103" w:rsidP="00602CC4">
    <w:pPr>
      <w:pStyle w:val="Header"/>
      <w:tabs>
        <w:tab w:val="clear" w:pos="6480"/>
        <w:tab w:val="center" w:pos="4680"/>
        <w:tab w:val="left" w:pos="5544"/>
        <w:tab w:val="right" w:pos="9360"/>
      </w:tabs>
    </w:pPr>
    <w:r>
      <w:fldChar w:fldCharType="begin"/>
    </w:r>
    <w:r w:rsidR="005F2C38">
      <w:instrText xml:space="preserve"> KEYWORDS   \* MERGEFORMAT </w:instrText>
    </w:r>
    <w:r>
      <w:fldChar w:fldCharType="separate"/>
    </w:r>
    <w:r w:rsidR="0097406E">
      <w:rPr>
        <w:lang w:eastAsia="zh-CN"/>
      </w:rPr>
      <w:t>Feb</w:t>
    </w:r>
    <w:r w:rsidR="00BA4657">
      <w:rPr>
        <w:lang w:eastAsia="zh-CN"/>
      </w:rPr>
      <w:t>r</w:t>
    </w:r>
    <w:r w:rsidR="0097406E">
      <w:rPr>
        <w:lang w:eastAsia="zh-CN"/>
      </w:rPr>
      <w:t>uary</w:t>
    </w:r>
    <w:r w:rsidR="0097406E">
      <w:t xml:space="preserve"> </w:t>
    </w:r>
    <w:r w:rsidR="00602CC4">
      <w:t>2014</w:t>
    </w:r>
    <w:r>
      <w:fldChar w:fldCharType="end"/>
    </w:r>
    <w:r w:rsidR="004F5083">
      <w:tab/>
    </w:r>
    <w:r w:rsidR="004F5083">
      <w:tab/>
    </w:r>
    <w:r w:rsidR="00602CC4">
      <w:tab/>
    </w:r>
    <w:r w:rsidR="004F5083">
      <w:t>doc.: IEEE 802.11-1</w:t>
    </w:r>
    <w:r w:rsidR="00602CC4">
      <w:t>4</w:t>
    </w:r>
    <w:r w:rsidR="004F5083">
      <w:t>/</w:t>
    </w:r>
    <w:r w:rsidR="002F489F">
      <w:rPr>
        <w:rFonts w:hint="eastAsia"/>
        <w:lang w:eastAsia="zh-CN"/>
      </w:rPr>
      <w:t>264</w:t>
    </w:r>
    <w:r w:rsidR="0097406E">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4146"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152F7"/>
    <w:rsid w:val="00021714"/>
    <w:rsid w:val="000234D1"/>
    <w:rsid w:val="00024141"/>
    <w:rsid w:val="000244A1"/>
    <w:rsid w:val="0002686B"/>
    <w:rsid w:val="00026BD7"/>
    <w:rsid w:val="00026BE7"/>
    <w:rsid w:val="00026C7F"/>
    <w:rsid w:val="0003152B"/>
    <w:rsid w:val="0003153F"/>
    <w:rsid w:val="000318B8"/>
    <w:rsid w:val="000337CA"/>
    <w:rsid w:val="00033AD1"/>
    <w:rsid w:val="00033BCB"/>
    <w:rsid w:val="00034422"/>
    <w:rsid w:val="000349B5"/>
    <w:rsid w:val="00034DD0"/>
    <w:rsid w:val="000362C2"/>
    <w:rsid w:val="00036624"/>
    <w:rsid w:val="00036B33"/>
    <w:rsid w:val="00037830"/>
    <w:rsid w:val="0004163A"/>
    <w:rsid w:val="00042075"/>
    <w:rsid w:val="00044F0F"/>
    <w:rsid w:val="0004740E"/>
    <w:rsid w:val="000517DE"/>
    <w:rsid w:val="00051803"/>
    <w:rsid w:val="00052D5F"/>
    <w:rsid w:val="00057964"/>
    <w:rsid w:val="00060A9B"/>
    <w:rsid w:val="00060BA6"/>
    <w:rsid w:val="00061BE2"/>
    <w:rsid w:val="000622C5"/>
    <w:rsid w:val="00063182"/>
    <w:rsid w:val="00063A6A"/>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901B1"/>
    <w:rsid w:val="000903FE"/>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E0363"/>
    <w:rsid w:val="000E0565"/>
    <w:rsid w:val="000E0BE9"/>
    <w:rsid w:val="000E1CD6"/>
    <w:rsid w:val="000E2756"/>
    <w:rsid w:val="000E2C13"/>
    <w:rsid w:val="000E59E4"/>
    <w:rsid w:val="000F1CF1"/>
    <w:rsid w:val="000F3EFC"/>
    <w:rsid w:val="00100BB1"/>
    <w:rsid w:val="00101FD1"/>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DCB"/>
    <w:rsid w:val="00156C01"/>
    <w:rsid w:val="00157B6E"/>
    <w:rsid w:val="00162DAD"/>
    <w:rsid w:val="00162E54"/>
    <w:rsid w:val="00163206"/>
    <w:rsid w:val="00163494"/>
    <w:rsid w:val="00164FF5"/>
    <w:rsid w:val="001656FC"/>
    <w:rsid w:val="0016667E"/>
    <w:rsid w:val="00166FE3"/>
    <w:rsid w:val="00170470"/>
    <w:rsid w:val="00171033"/>
    <w:rsid w:val="00171FD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0148"/>
    <w:rsid w:val="001A2B00"/>
    <w:rsid w:val="001A50A7"/>
    <w:rsid w:val="001A76D7"/>
    <w:rsid w:val="001B07D7"/>
    <w:rsid w:val="001B217E"/>
    <w:rsid w:val="001B2C91"/>
    <w:rsid w:val="001B7E5E"/>
    <w:rsid w:val="001C01C5"/>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1B2A"/>
    <w:rsid w:val="00221DD2"/>
    <w:rsid w:val="00222EF9"/>
    <w:rsid w:val="00223022"/>
    <w:rsid w:val="002248B1"/>
    <w:rsid w:val="00224D0C"/>
    <w:rsid w:val="002259FF"/>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14A7"/>
    <w:rsid w:val="002C5C17"/>
    <w:rsid w:val="002C6377"/>
    <w:rsid w:val="002C6BC0"/>
    <w:rsid w:val="002C7441"/>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26DF"/>
    <w:rsid w:val="002E46A6"/>
    <w:rsid w:val="002E493C"/>
    <w:rsid w:val="002E5046"/>
    <w:rsid w:val="002E5B57"/>
    <w:rsid w:val="002E5CEF"/>
    <w:rsid w:val="002F1E64"/>
    <w:rsid w:val="002F272A"/>
    <w:rsid w:val="002F3F36"/>
    <w:rsid w:val="002F4607"/>
    <w:rsid w:val="002F489F"/>
    <w:rsid w:val="002F504F"/>
    <w:rsid w:val="002F7A73"/>
    <w:rsid w:val="00300062"/>
    <w:rsid w:val="003006F4"/>
    <w:rsid w:val="00310655"/>
    <w:rsid w:val="00311678"/>
    <w:rsid w:val="003123D8"/>
    <w:rsid w:val="00313F79"/>
    <w:rsid w:val="00314C1E"/>
    <w:rsid w:val="003150E7"/>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11AE"/>
    <w:rsid w:val="003415FF"/>
    <w:rsid w:val="00341D64"/>
    <w:rsid w:val="003438BB"/>
    <w:rsid w:val="00344A2C"/>
    <w:rsid w:val="00344D85"/>
    <w:rsid w:val="00344EA2"/>
    <w:rsid w:val="003450DA"/>
    <w:rsid w:val="003526CD"/>
    <w:rsid w:val="00353315"/>
    <w:rsid w:val="003557F9"/>
    <w:rsid w:val="00356451"/>
    <w:rsid w:val="00360C64"/>
    <w:rsid w:val="003612E8"/>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E5"/>
    <w:rsid w:val="003C2D90"/>
    <w:rsid w:val="003C44EC"/>
    <w:rsid w:val="003C4A71"/>
    <w:rsid w:val="003C50CA"/>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662A"/>
    <w:rsid w:val="003E764B"/>
    <w:rsid w:val="003E7781"/>
    <w:rsid w:val="003E7996"/>
    <w:rsid w:val="003F1603"/>
    <w:rsid w:val="003F3211"/>
    <w:rsid w:val="003F3946"/>
    <w:rsid w:val="003F4E70"/>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4C89"/>
    <w:rsid w:val="00425C73"/>
    <w:rsid w:val="00426089"/>
    <w:rsid w:val="0042642A"/>
    <w:rsid w:val="0042751B"/>
    <w:rsid w:val="00430357"/>
    <w:rsid w:val="0043082B"/>
    <w:rsid w:val="00431E11"/>
    <w:rsid w:val="00433817"/>
    <w:rsid w:val="00433F0A"/>
    <w:rsid w:val="00437639"/>
    <w:rsid w:val="00437B91"/>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216A"/>
    <w:rsid w:val="00493801"/>
    <w:rsid w:val="00493DFA"/>
    <w:rsid w:val="00494C69"/>
    <w:rsid w:val="004961DE"/>
    <w:rsid w:val="00496E51"/>
    <w:rsid w:val="00497420"/>
    <w:rsid w:val="004A35AB"/>
    <w:rsid w:val="004A3A74"/>
    <w:rsid w:val="004A3EBD"/>
    <w:rsid w:val="004B1610"/>
    <w:rsid w:val="004B1779"/>
    <w:rsid w:val="004B2E04"/>
    <w:rsid w:val="004B2F12"/>
    <w:rsid w:val="004B32BF"/>
    <w:rsid w:val="004B6197"/>
    <w:rsid w:val="004B6905"/>
    <w:rsid w:val="004C09D2"/>
    <w:rsid w:val="004C1633"/>
    <w:rsid w:val="004C2840"/>
    <w:rsid w:val="004C3837"/>
    <w:rsid w:val="004C3BA6"/>
    <w:rsid w:val="004C4756"/>
    <w:rsid w:val="004C55CC"/>
    <w:rsid w:val="004C615C"/>
    <w:rsid w:val="004D0839"/>
    <w:rsid w:val="004D16FE"/>
    <w:rsid w:val="004D1E1D"/>
    <w:rsid w:val="004D22B1"/>
    <w:rsid w:val="004D2B7F"/>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389"/>
    <w:rsid w:val="00524964"/>
    <w:rsid w:val="00524CDA"/>
    <w:rsid w:val="0052647A"/>
    <w:rsid w:val="005264E3"/>
    <w:rsid w:val="005267E4"/>
    <w:rsid w:val="00531C4C"/>
    <w:rsid w:val="00533027"/>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635C"/>
    <w:rsid w:val="005A6385"/>
    <w:rsid w:val="005A77B0"/>
    <w:rsid w:val="005A7862"/>
    <w:rsid w:val="005B240E"/>
    <w:rsid w:val="005B4278"/>
    <w:rsid w:val="005B4C8F"/>
    <w:rsid w:val="005B607D"/>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409BE"/>
    <w:rsid w:val="00640CC3"/>
    <w:rsid w:val="00642767"/>
    <w:rsid w:val="00642976"/>
    <w:rsid w:val="006439D6"/>
    <w:rsid w:val="00645340"/>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3F02"/>
    <w:rsid w:val="00664C14"/>
    <w:rsid w:val="00664C5B"/>
    <w:rsid w:val="00667D4C"/>
    <w:rsid w:val="006704D0"/>
    <w:rsid w:val="00673996"/>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18E9"/>
    <w:rsid w:val="006B1B2A"/>
    <w:rsid w:val="006B2B32"/>
    <w:rsid w:val="006B2C29"/>
    <w:rsid w:val="006B30DF"/>
    <w:rsid w:val="006B38AF"/>
    <w:rsid w:val="006C0727"/>
    <w:rsid w:val="006C1464"/>
    <w:rsid w:val="006C1EE5"/>
    <w:rsid w:val="006C26AC"/>
    <w:rsid w:val="006C79FD"/>
    <w:rsid w:val="006D38BA"/>
    <w:rsid w:val="006D441B"/>
    <w:rsid w:val="006E0CEE"/>
    <w:rsid w:val="006E11B8"/>
    <w:rsid w:val="006E145F"/>
    <w:rsid w:val="006E1B00"/>
    <w:rsid w:val="006E3F7D"/>
    <w:rsid w:val="006E408A"/>
    <w:rsid w:val="006E5206"/>
    <w:rsid w:val="006E79E2"/>
    <w:rsid w:val="006F2890"/>
    <w:rsid w:val="006F2ED1"/>
    <w:rsid w:val="006F4A90"/>
    <w:rsid w:val="006F6FC8"/>
    <w:rsid w:val="00702A93"/>
    <w:rsid w:val="00702DCB"/>
    <w:rsid w:val="0070467B"/>
    <w:rsid w:val="00705645"/>
    <w:rsid w:val="00706C15"/>
    <w:rsid w:val="007108EC"/>
    <w:rsid w:val="007115F8"/>
    <w:rsid w:val="007124D5"/>
    <w:rsid w:val="00712E3C"/>
    <w:rsid w:val="007169B7"/>
    <w:rsid w:val="0071713A"/>
    <w:rsid w:val="00717341"/>
    <w:rsid w:val="0072155E"/>
    <w:rsid w:val="0072335E"/>
    <w:rsid w:val="00724099"/>
    <w:rsid w:val="00725195"/>
    <w:rsid w:val="007251F6"/>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D81"/>
    <w:rsid w:val="007666DB"/>
    <w:rsid w:val="0076699C"/>
    <w:rsid w:val="00770572"/>
    <w:rsid w:val="00771837"/>
    <w:rsid w:val="00772AF7"/>
    <w:rsid w:val="007734CA"/>
    <w:rsid w:val="007735E5"/>
    <w:rsid w:val="00773C4B"/>
    <w:rsid w:val="00774CB8"/>
    <w:rsid w:val="00776F85"/>
    <w:rsid w:val="007770E8"/>
    <w:rsid w:val="00777CDE"/>
    <w:rsid w:val="00780B2E"/>
    <w:rsid w:val="007839D4"/>
    <w:rsid w:val="00783F49"/>
    <w:rsid w:val="00784053"/>
    <w:rsid w:val="007841D4"/>
    <w:rsid w:val="00786548"/>
    <w:rsid w:val="00786EDE"/>
    <w:rsid w:val="00791AED"/>
    <w:rsid w:val="00793ED6"/>
    <w:rsid w:val="00794B2A"/>
    <w:rsid w:val="00795039"/>
    <w:rsid w:val="00795305"/>
    <w:rsid w:val="00795C3A"/>
    <w:rsid w:val="007A1E19"/>
    <w:rsid w:val="007A64F1"/>
    <w:rsid w:val="007A7F9F"/>
    <w:rsid w:val="007B244C"/>
    <w:rsid w:val="007B2D19"/>
    <w:rsid w:val="007B2D48"/>
    <w:rsid w:val="007B317B"/>
    <w:rsid w:val="007B35C6"/>
    <w:rsid w:val="007B6D2C"/>
    <w:rsid w:val="007C02D4"/>
    <w:rsid w:val="007C13BE"/>
    <w:rsid w:val="007C2259"/>
    <w:rsid w:val="007C3D16"/>
    <w:rsid w:val="007C4BD3"/>
    <w:rsid w:val="007C4EBF"/>
    <w:rsid w:val="007C527D"/>
    <w:rsid w:val="007C5E0D"/>
    <w:rsid w:val="007C67E6"/>
    <w:rsid w:val="007D3664"/>
    <w:rsid w:val="007D5EA2"/>
    <w:rsid w:val="007D68BA"/>
    <w:rsid w:val="007D6D53"/>
    <w:rsid w:val="007D77DB"/>
    <w:rsid w:val="007D7A8C"/>
    <w:rsid w:val="007D7E2D"/>
    <w:rsid w:val="007E0C17"/>
    <w:rsid w:val="007E1F63"/>
    <w:rsid w:val="007E2C50"/>
    <w:rsid w:val="007E3307"/>
    <w:rsid w:val="007E43A5"/>
    <w:rsid w:val="007E5E04"/>
    <w:rsid w:val="007E6956"/>
    <w:rsid w:val="007F0B2B"/>
    <w:rsid w:val="007F0E90"/>
    <w:rsid w:val="007F16A6"/>
    <w:rsid w:val="007F3AEC"/>
    <w:rsid w:val="007F40F5"/>
    <w:rsid w:val="007F5179"/>
    <w:rsid w:val="007F648B"/>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5311"/>
    <w:rsid w:val="00825465"/>
    <w:rsid w:val="00830D5F"/>
    <w:rsid w:val="0083409D"/>
    <w:rsid w:val="0083533A"/>
    <w:rsid w:val="008358CE"/>
    <w:rsid w:val="0083652E"/>
    <w:rsid w:val="00836C8D"/>
    <w:rsid w:val="008377AA"/>
    <w:rsid w:val="00837F5D"/>
    <w:rsid w:val="00841610"/>
    <w:rsid w:val="0084223B"/>
    <w:rsid w:val="00842D1B"/>
    <w:rsid w:val="00845FD2"/>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6FCF"/>
    <w:rsid w:val="00867099"/>
    <w:rsid w:val="00867B94"/>
    <w:rsid w:val="00867D33"/>
    <w:rsid w:val="00870644"/>
    <w:rsid w:val="00872748"/>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50CD"/>
    <w:rsid w:val="008A5FF8"/>
    <w:rsid w:val="008A6321"/>
    <w:rsid w:val="008A6882"/>
    <w:rsid w:val="008A75ED"/>
    <w:rsid w:val="008B0126"/>
    <w:rsid w:val="008B0420"/>
    <w:rsid w:val="008B0BC0"/>
    <w:rsid w:val="008B0FAE"/>
    <w:rsid w:val="008B151D"/>
    <w:rsid w:val="008B1DA0"/>
    <w:rsid w:val="008B73EE"/>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8F4964"/>
    <w:rsid w:val="009013E9"/>
    <w:rsid w:val="0090472A"/>
    <w:rsid w:val="009077EF"/>
    <w:rsid w:val="009109D5"/>
    <w:rsid w:val="009110E3"/>
    <w:rsid w:val="00912468"/>
    <w:rsid w:val="00912B93"/>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5BC0"/>
    <w:rsid w:val="0096637F"/>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91F87"/>
    <w:rsid w:val="009923D4"/>
    <w:rsid w:val="0099396F"/>
    <w:rsid w:val="00993A5B"/>
    <w:rsid w:val="00994F11"/>
    <w:rsid w:val="00995250"/>
    <w:rsid w:val="0099725A"/>
    <w:rsid w:val="00997B7E"/>
    <w:rsid w:val="009A0730"/>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6C2A"/>
    <w:rsid w:val="00A27CC1"/>
    <w:rsid w:val="00A3078F"/>
    <w:rsid w:val="00A32ED6"/>
    <w:rsid w:val="00A34A68"/>
    <w:rsid w:val="00A34F45"/>
    <w:rsid w:val="00A351C7"/>
    <w:rsid w:val="00A3687A"/>
    <w:rsid w:val="00A375C8"/>
    <w:rsid w:val="00A37A2E"/>
    <w:rsid w:val="00A405E9"/>
    <w:rsid w:val="00A40F72"/>
    <w:rsid w:val="00A4248B"/>
    <w:rsid w:val="00A44C3D"/>
    <w:rsid w:val="00A518FF"/>
    <w:rsid w:val="00A52522"/>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B0A68"/>
    <w:rsid w:val="00AB15FE"/>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7CBE"/>
    <w:rsid w:val="00B00B19"/>
    <w:rsid w:val="00B028D3"/>
    <w:rsid w:val="00B038C1"/>
    <w:rsid w:val="00B03F1A"/>
    <w:rsid w:val="00B054A2"/>
    <w:rsid w:val="00B102D7"/>
    <w:rsid w:val="00B11524"/>
    <w:rsid w:val="00B11D83"/>
    <w:rsid w:val="00B14E2B"/>
    <w:rsid w:val="00B171ED"/>
    <w:rsid w:val="00B20E18"/>
    <w:rsid w:val="00B21C78"/>
    <w:rsid w:val="00B21EF9"/>
    <w:rsid w:val="00B24F89"/>
    <w:rsid w:val="00B301B8"/>
    <w:rsid w:val="00B32348"/>
    <w:rsid w:val="00B332CF"/>
    <w:rsid w:val="00B3332B"/>
    <w:rsid w:val="00B339F0"/>
    <w:rsid w:val="00B34F6C"/>
    <w:rsid w:val="00B37336"/>
    <w:rsid w:val="00B447F0"/>
    <w:rsid w:val="00B459B1"/>
    <w:rsid w:val="00B45DB3"/>
    <w:rsid w:val="00B46489"/>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7A5C"/>
    <w:rsid w:val="00C20AE7"/>
    <w:rsid w:val="00C20E9E"/>
    <w:rsid w:val="00C20F59"/>
    <w:rsid w:val="00C21296"/>
    <w:rsid w:val="00C214F4"/>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3CB4"/>
    <w:rsid w:val="00C4535B"/>
    <w:rsid w:val="00C458D6"/>
    <w:rsid w:val="00C45951"/>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16D"/>
    <w:rsid w:val="00C72E0F"/>
    <w:rsid w:val="00C7366C"/>
    <w:rsid w:val="00C73BE4"/>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D1F"/>
    <w:rsid w:val="00CE668C"/>
    <w:rsid w:val="00CE6F52"/>
    <w:rsid w:val="00CE713E"/>
    <w:rsid w:val="00CF0C1A"/>
    <w:rsid w:val="00CF11AC"/>
    <w:rsid w:val="00CF2532"/>
    <w:rsid w:val="00CF3DEE"/>
    <w:rsid w:val="00CF3FC6"/>
    <w:rsid w:val="00CF5A5D"/>
    <w:rsid w:val="00CF734A"/>
    <w:rsid w:val="00D004B5"/>
    <w:rsid w:val="00D01616"/>
    <w:rsid w:val="00D029E5"/>
    <w:rsid w:val="00D041A9"/>
    <w:rsid w:val="00D0520D"/>
    <w:rsid w:val="00D05225"/>
    <w:rsid w:val="00D056E4"/>
    <w:rsid w:val="00D06462"/>
    <w:rsid w:val="00D079F2"/>
    <w:rsid w:val="00D07D42"/>
    <w:rsid w:val="00D10C0D"/>
    <w:rsid w:val="00D10C45"/>
    <w:rsid w:val="00D1136B"/>
    <w:rsid w:val="00D118A9"/>
    <w:rsid w:val="00D12A5B"/>
    <w:rsid w:val="00D14273"/>
    <w:rsid w:val="00D145BE"/>
    <w:rsid w:val="00D14712"/>
    <w:rsid w:val="00D14FE2"/>
    <w:rsid w:val="00D157E1"/>
    <w:rsid w:val="00D15A9C"/>
    <w:rsid w:val="00D165E7"/>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39A3"/>
    <w:rsid w:val="00D540EC"/>
    <w:rsid w:val="00D55EA5"/>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2842"/>
    <w:rsid w:val="00D9374D"/>
    <w:rsid w:val="00D939E4"/>
    <w:rsid w:val="00D9465F"/>
    <w:rsid w:val="00D949CF"/>
    <w:rsid w:val="00D94B88"/>
    <w:rsid w:val="00D94BE9"/>
    <w:rsid w:val="00DA0008"/>
    <w:rsid w:val="00DA01ED"/>
    <w:rsid w:val="00DA03CC"/>
    <w:rsid w:val="00DA1421"/>
    <w:rsid w:val="00DA14F7"/>
    <w:rsid w:val="00DA18E1"/>
    <w:rsid w:val="00DA1CFC"/>
    <w:rsid w:val="00DA24E9"/>
    <w:rsid w:val="00DA2626"/>
    <w:rsid w:val="00DA3262"/>
    <w:rsid w:val="00DB06DD"/>
    <w:rsid w:val="00DB0AA9"/>
    <w:rsid w:val="00DB2DEA"/>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F0DFF"/>
    <w:rsid w:val="00DF0E76"/>
    <w:rsid w:val="00DF1F1E"/>
    <w:rsid w:val="00DF2680"/>
    <w:rsid w:val="00DF2DF3"/>
    <w:rsid w:val="00DF35BD"/>
    <w:rsid w:val="00DF3C20"/>
    <w:rsid w:val="00E00103"/>
    <w:rsid w:val="00E04113"/>
    <w:rsid w:val="00E05260"/>
    <w:rsid w:val="00E055FC"/>
    <w:rsid w:val="00E05914"/>
    <w:rsid w:val="00E05931"/>
    <w:rsid w:val="00E05DDB"/>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DBE"/>
    <w:rsid w:val="00E407BA"/>
    <w:rsid w:val="00E40817"/>
    <w:rsid w:val="00E4126B"/>
    <w:rsid w:val="00E418B3"/>
    <w:rsid w:val="00E41DCD"/>
    <w:rsid w:val="00E435A2"/>
    <w:rsid w:val="00E4475F"/>
    <w:rsid w:val="00E45A26"/>
    <w:rsid w:val="00E5014D"/>
    <w:rsid w:val="00E5074C"/>
    <w:rsid w:val="00E52095"/>
    <w:rsid w:val="00E52A16"/>
    <w:rsid w:val="00E5423F"/>
    <w:rsid w:val="00E54CAE"/>
    <w:rsid w:val="00E55C95"/>
    <w:rsid w:val="00E55EA7"/>
    <w:rsid w:val="00E57084"/>
    <w:rsid w:val="00E5726C"/>
    <w:rsid w:val="00E579E8"/>
    <w:rsid w:val="00E57A67"/>
    <w:rsid w:val="00E60532"/>
    <w:rsid w:val="00E6428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10A0"/>
    <w:rsid w:val="00ED1716"/>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094D"/>
    <w:rsid w:val="00F01818"/>
    <w:rsid w:val="00F035DB"/>
    <w:rsid w:val="00F04210"/>
    <w:rsid w:val="00F043A9"/>
    <w:rsid w:val="00F044B0"/>
    <w:rsid w:val="00F05319"/>
    <w:rsid w:val="00F06739"/>
    <w:rsid w:val="00F06D1E"/>
    <w:rsid w:val="00F07A64"/>
    <w:rsid w:val="00F1099E"/>
    <w:rsid w:val="00F10C14"/>
    <w:rsid w:val="00F12D16"/>
    <w:rsid w:val="00F133F9"/>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C5D"/>
    <w:rsid w:val="00F47895"/>
    <w:rsid w:val="00F535BA"/>
    <w:rsid w:val="00F53B93"/>
    <w:rsid w:val="00F541D7"/>
    <w:rsid w:val="00F54FFB"/>
    <w:rsid w:val="00F55187"/>
    <w:rsid w:val="00F56B7E"/>
    <w:rsid w:val="00F56C1D"/>
    <w:rsid w:val="00F60053"/>
    <w:rsid w:val="00F619D0"/>
    <w:rsid w:val="00F621F8"/>
    <w:rsid w:val="00F66DAF"/>
    <w:rsid w:val="00F66FEB"/>
    <w:rsid w:val="00F70510"/>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A46B5"/>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 w:type="paragraph" w:customStyle="1" w:styleId="SP898342">
    <w:name w:val="SP.8.98342"/>
    <w:basedOn w:val="Normal"/>
    <w:next w:val="Normal"/>
    <w:uiPriority w:val="99"/>
    <w:rsid w:val="00CB2455"/>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CB2455"/>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Normal"/>
    <w:next w:val="Normal"/>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Normal"/>
    <w:next w:val="Normal"/>
    <w:uiPriority w:val="99"/>
    <w:rsid w:val="00DD542B"/>
    <w:pPr>
      <w:autoSpaceDE w:val="0"/>
      <w:autoSpaceDN w:val="0"/>
      <w:adjustRightInd w:val="0"/>
    </w:pPr>
    <w:rPr>
      <w:sz w:val="24"/>
      <w:szCs w:val="24"/>
      <w:lang w:val="en-US" w:eastAsia="ko-KR"/>
    </w:rPr>
  </w:style>
  <w:style w:type="paragraph" w:customStyle="1" w:styleId="SP9213031">
    <w:name w:val="SP.9.213031"/>
    <w:basedOn w:val="Normal"/>
    <w:next w:val="Normal"/>
    <w:uiPriority w:val="99"/>
    <w:rsid w:val="00DD542B"/>
    <w:pPr>
      <w:autoSpaceDE w:val="0"/>
      <w:autoSpaceDN w:val="0"/>
      <w:adjustRightInd w:val="0"/>
    </w:pPr>
    <w:rPr>
      <w:sz w:val="24"/>
      <w:szCs w:val="24"/>
      <w:lang w:val="en-US" w:eastAsia="ko-KR"/>
    </w:rPr>
  </w:style>
  <w:style w:type="paragraph" w:customStyle="1" w:styleId="SP9213002">
    <w:name w:val="SP.9.213002"/>
    <w:basedOn w:val="Normal"/>
    <w:next w:val="Normal"/>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51F2-BB21-4148-B0FD-89154BE8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I2R staff</cp:lastModifiedBy>
  <cp:revision>17</cp:revision>
  <cp:lastPrinted>2011-04-08T18:44:00Z</cp:lastPrinted>
  <dcterms:created xsi:type="dcterms:W3CDTF">2014-02-25T02:21:00Z</dcterms:created>
  <dcterms:modified xsi:type="dcterms:W3CDTF">2014-03-14T03:30:00Z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1064301576</vt:i4>
  </property>
  <property fmtid="{D5CDD505-2E9C-101B-9397-08002B2CF9AE}" pid="4" name="_EmailSubject">
    <vt:lpwstr>11-13-dddd-00-00ah-lb200-mac-resolution-for-clause-9-42-3-aj.docx</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