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7D4206">
            <w:pPr>
              <w:pStyle w:val="T2"/>
            </w:pPr>
            <w:r>
              <w:t>CID 2784</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7D4206">
            <w:pPr>
              <w:pStyle w:val="T2"/>
              <w:ind w:left="0"/>
              <w:rPr>
                <w:sz w:val="20"/>
              </w:rPr>
            </w:pPr>
            <w:r>
              <w:rPr>
                <w:sz w:val="20"/>
              </w:rPr>
              <w:t>Date:</w:t>
            </w:r>
            <w:r>
              <w:rPr>
                <w:b w:val="0"/>
                <w:sz w:val="20"/>
              </w:rPr>
              <w:t xml:space="preserve">  </w:t>
            </w:r>
            <w:r w:rsidR="007D4206">
              <w:rPr>
                <w:b w:val="0"/>
                <w:sz w:val="20"/>
              </w:rPr>
              <w:t>2014-01-22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C128E4">
            <w:pPr>
              <w:pStyle w:val="T2"/>
              <w:spacing w:after="0"/>
              <w:ind w:left="0" w:right="0"/>
              <w:rPr>
                <w:b w:val="0"/>
                <w:sz w:val="20"/>
              </w:rPr>
            </w:pPr>
            <w:r>
              <w:rPr>
                <w:b w:val="0"/>
                <w:sz w:val="20"/>
              </w:rPr>
              <w:t>Jarkko Kneckt</w:t>
            </w:r>
          </w:p>
        </w:tc>
        <w:tc>
          <w:tcPr>
            <w:tcW w:w="2064" w:type="dxa"/>
            <w:vAlign w:val="center"/>
          </w:tcPr>
          <w:p w:rsidR="00CA09B2" w:rsidRDefault="00C128E4">
            <w:pPr>
              <w:pStyle w:val="T2"/>
              <w:spacing w:after="0"/>
              <w:ind w:left="0" w:right="0"/>
              <w:rPr>
                <w:b w:val="0"/>
                <w:sz w:val="20"/>
              </w:rPr>
            </w:pPr>
            <w:r>
              <w:rPr>
                <w:b w:val="0"/>
                <w:sz w:val="20"/>
              </w:rPr>
              <w:t>Nokia</w:t>
            </w:r>
          </w:p>
        </w:tc>
        <w:tc>
          <w:tcPr>
            <w:tcW w:w="2814" w:type="dxa"/>
            <w:vAlign w:val="center"/>
          </w:tcPr>
          <w:p w:rsidR="00CA09B2" w:rsidRDefault="00C128E4">
            <w:pPr>
              <w:pStyle w:val="T2"/>
              <w:spacing w:after="0"/>
              <w:ind w:left="0" w:right="0"/>
              <w:rPr>
                <w:b w:val="0"/>
                <w:sz w:val="20"/>
              </w:rPr>
            </w:pPr>
            <w:r>
              <w:rPr>
                <w:b w:val="0"/>
                <w:sz w:val="20"/>
              </w:rPr>
              <w:t>Otaniementie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B7B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C128E4" w:rsidRDefault="00C128E4">
                            <w:pPr>
                              <w:jc w:val="both"/>
                            </w:pPr>
                            <w:r>
                              <w:t xml:space="preserve">The </w:t>
                            </w:r>
                            <w:r>
                              <w:t xml:space="preserve">submission 11-13-1497r4 </w:t>
                            </w:r>
                            <w:r w:rsidR="006B7B1A">
                              <w:t xml:space="preserve">provides </w:t>
                            </w:r>
                            <w:r>
                              <w:t>resolution to the CID 2784</w:t>
                            </w:r>
                            <w:r w:rsidR="006B7B1A">
                              <w:t xml:space="preserve"> which was accepted to the 802.11ai draft</w:t>
                            </w:r>
                            <w:r>
                              <w:t xml:space="preserve">. The resolution of the CID 2784 got comments on the </w:t>
                            </w:r>
                            <w:r w:rsidR="006B7B1A">
                              <w:t xml:space="preserve">802.11ai </w:t>
                            </w:r>
                            <w:r>
                              <w:t>reflector. This submission is requesting a change to the resolution of the CID2784.</w:t>
                            </w:r>
                          </w:p>
                          <w:p w:rsidR="00C128E4" w:rsidRDefault="00C128E4">
                            <w:pPr>
                              <w:jc w:val="both"/>
                            </w:pP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C128E4" w:rsidRDefault="00C128E4">
                      <w:pPr>
                        <w:jc w:val="both"/>
                      </w:pPr>
                      <w:r>
                        <w:t xml:space="preserve">The </w:t>
                      </w:r>
                      <w:r>
                        <w:t xml:space="preserve">submission 11-13-1497r4 </w:t>
                      </w:r>
                      <w:r w:rsidR="006B7B1A">
                        <w:t xml:space="preserve">provides </w:t>
                      </w:r>
                      <w:r>
                        <w:t>resolution to the CID 2784</w:t>
                      </w:r>
                      <w:r w:rsidR="006B7B1A">
                        <w:t xml:space="preserve"> which was accepted to the 802.11ai draft</w:t>
                      </w:r>
                      <w:r>
                        <w:t xml:space="preserve">. The resolution of the CID 2784 got comments on the </w:t>
                      </w:r>
                      <w:r w:rsidR="006B7B1A">
                        <w:t xml:space="preserve">802.11ai </w:t>
                      </w:r>
                      <w:r>
                        <w:t>reflector. This submission is requesting a change to the resolution of the CID2784.</w:t>
                      </w:r>
                    </w:p>
                    <w:p w:rsidR="00C128E4" w:rsidRDefault="00C128E4">
                      <w:pPr>
                        <w:jc w:val="both"/>
                      </w:pPr>
                    </w:p>
                    <w:p w:rsidR="0029020B" w:rsidRDefault="0029020B">
                      <w:pPr>
                        <w:jc w:val="both"/>
                      </w:pPr>
                    </w:p>
                  </w:txbxContent>
                </v:textbox>
              </v:shape>
            </w:pict>
          </mc:Fallback>
        </mc:AlternateContent>
      </w:r>
    </w:p>
    <w:p w:rsidR="007D4206" w:rsidRDefault="00CA09B2" w:rsidP="00C128E4">
      <w:pPr>
        <w:rPr>
          <w:b/>
        </w:rPr>
      </w:pPr>
      <w:r>
        <w:br w:type="page"/>
      </w:r>
      <w:r w:rsidR="007D4206">
        <w:rPr>
          <w:b/>
        </w:rPr>
        <w:lastRenderedPageBreak/>
        <w:t xml:space="preserve"> </w:t>
      </w:r>
    </w:p>
    <w:p w:rsidR="007D4206" w:rsidRDefault="007D4206" w:rsidP="007D4206">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2781 </w:t>
      </w:r>
    </w:p>
    <w:p w:rsidR="007D4206" w:rsidRPr="001560BA"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1560BA">
        <w:rPr>
          <w:rFonts w:ascii="TimesNewRoman" w:hAnsi="TimesNewRoman" w:cs="TimesNewRoman"/>
          <w:sz w:val="20"/>
          <w:lang w:val="en-US"/>
        </w:rPr>
        <w:t>it is not clear what's the expected operation of the AP in case a Neighbor Report is requested and the next TBTT is within the dot11BeaconResponseDuration. Does the STA receives the Neighbor Report or does the AP use the Beacon and as a result the reduced neighbor report is missing from AP response.</w:t>
      </w:r>
    </w:p>
    <w:p w:rsidR="007D4206" w:rsidRDefault="007D4206" w:rsidP="007D4206">
      <w:pPr>
        <w:autoSpaceDE w:val="0"/>
        <w:autoSpaceDN w:val="0"/>
        <w:adjustRightInd w:val="0"/>
        <w:rPr>
          <w:rFonts w:ascii="TimesNewRoman" w:hAnsi="TimesNewRoman" w:cs="TimesNewRoman"/>
          <w:b/>
          <w:sz w:val="20"/>
          <w:lang w:val="en-US"/>
        </w:rPr>
      </w:pPr>
    </w:p>
    <w:p w:rsidR="007D4206" w:rsidRPr="00C55533" w:rsidRDefault="007D4206" w:rsidP="007D4206">
      <w:pPr>
        <w:autoSpaceDE w:val="0"/>
        <w:autoSpaceDN w:val="0"/>
        <w:adjustRightInd w:val="0"/>
        <w:rPr>
          <w:rFonts w:ascii="TimesNewRoman" w:hAnsi="TimesNewRoman" w:cs="TimesNewRoman"/>
          <w:sz w:val="20"/>
          <w:lang w:val="en-US"/>
        </w:rPr>
      </w:pPr>
      <w:r w:rsidRPr="001560BA">
        <w:rPr>
          <w:rFonts w:ascii="TimesNewRoman" w:hAnsi="TimesNewRoman" w:cs="TimesNewRoman"/>
          <w:b/>
          <w:sz w:val="20"/>
          <w:lang w:val="en-US"/>
        </w:rPr>
        <w:t>Proposed Change:</w:t>
      </w:r>
      <w:r>
        <w:rPr>
          <w:rFonts w:ascii="TimesNewRoman" w:hAnsi="TimesNewRoman" w:cs="TimesNewRoman"/>
          <w:b/>
          <w:sz w:val="20"/>
          <w:lang w:val="en-US"/>
        </w:rPr>
        <w:t xml:space="preserve"> </w:t>
      </w:r>
      <w:r w:rsidRPr="00C55533">
        <w:rPr>
          <w:rFonts w:ascii="TimesNewRoman" w:hAnsi="TimesNewRoman" w:cs="TimesNewRoman"/>
          <w:sz w:val="20"/>
          <w:lang w:val="en-US"/>
        </w:rPr>
        <w:t>Clarify that inclusion of a reduced neighbor report in the Probe Req overides the usage of Beacon as a replacemnt for Probe Rsp.</w:t>
      </w:r>
    </w:p>
    <w:p w:rsidR="007D4206" w:rsidRDefault="007D4206" w:rsidP="007D4206">
      <w:pPr>
        <w:autoSpaceDE w:val="0"/>
        <w:autoSpaceDN w:val="0"/>
        <w:adjustRightInd w:val="0"/>
        <w:rPr>
          <w:rFonts w:ascii="TimesNewRoman" w:hAnsi="TimesNewRoman" w:cs="TimesNewRoman"/>
          <w:b/>
          <w:sz w:val="20"/>
          <w:lang w:val="en-US"/>
        </w:rPr>
      </w:pPr>
    </w:p>
    <w:p w:rsidR="007D4206" w:rsidRDefault="007D4206" w:rsidP="007D4206">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Currently accepted resolution of the CID2784:</w:t>
      </w:r>
    </w:p>
    <w:p w:rsidR="007D4206" w:rsidRDefault="007D4206" w:rsidP="007D4206">
      <w:pPr>
        <w:autoSpaceDE w:val="0"/>
        <w:autoSpaceDN w:val="0"/>
        <w:adjustRightInd w:val="0"/>
        <w:rPr>
          <w:rFonts w:ascii="TimesNewRoman" w:hAnsi="TimesNewRoman" w:cs="TimesNewRoman"/>
          <w:sz w:val="20"/>
          <w:lang w:val="en-US"/>
        </w:rPr>
      </w:pPr>
      <w:r w:rsidRPr="00F952CC">
        <w:rPr>
          <w:rFonts w:ascii="TimesNewRoman" w:hAnsi="TimesNewRoman" w:cs="TimesNewRoman"/>
          <w:sz w:val="20"/>
          <w:lang w:val="en-US"/>
        </w:rPr>
        <w:t>REVISED.</w:t>
      </w:r>
      <w:r>
        <w:rPr>
          <w:rFonts w:ascii="TimesNewRoman" w:hAnsi="TimesNewRoman" w:cs="TimesNewRoman"/>
          <w:b/>
          <w:sz w:val="20"/>
          <w:lang w:val="en-US"/>
        </w:rPr>
        <w:t xml:space="preserve"> </w:t>
      </w:r>
      <w:r w:rsidRPr="00AC6B69">
        <w:rPr>
          <w:rFonts w:ascii="TimesNewRoman" w:hAnsi="TimesNewRoman" w:cs="TimesNewRoman"/>
          <w:sz w:val="20"/>
          <w:lang w:val="en-US"/>
        </w:rPr>
        <w:t xml:space="preserve">Change the text </w:t>
      </w:r>
      <w:r>
        <w:rPr>
          <w:rFonts w:ascii="TimesNewRoman" w:hAnsi="TimesNewRoman" w:cs="TimesNewRoman"/>
          <w:sz w:val="20"/>
          <w:lang w:val="en-US"/>
        </w:rPr>
        <w:t xml:space="preserve">in </w:t>
      </w:r>
      <w:r w:rsidRPr="00AD6E20">
        <w:rPr>
          <w:rFonts w:ascii="TimesNewRoman" w:hAnsi="TimesNewRoman" w:cs="TimesNewRoman"/>
          <w:sz w:val="20"/>
          <w:lang w:val="en-US"/>
        </w:rPr>
        <w:t>10.1.4.3.4 Sending a response to probe request</w:t>
      </w:r>
      <w:r>
        <w:rPr>
          <w:rFonts w:ascii="TimesNewRoman" w:hAnsi="TimesNewRoman" w:cs="TimesNewRoman"/>
          <w:sz w:val="20"/>
          <w:lang w:val="en-US"/>
        </w:rPr>
        <w:t xml:space="preserve"> </w:t>
      </w:r>
      <w:r w:rsidRPr="00AC6B69">
        <w:rPr>
          <w:rFonts w:ascii="TimesNewRoman" w:hAnsi="TimesNewRoman" w:cs="TimesNewRoman"/>
          <w:sz w:val="20"/>
          <w:lang w:val="en-US"/>
        </w:rPr>
        <w:t>as shown:”</w:t>
      </w:r>
    </w:p>
    <w:p w:rsidR="007D4206" w:rsidRDefault="007D4206" w:rsidP="007D4206">
      <w:pPr>
        <w:autoSpaceDE w:val="0"/>
        <w:autoSpaceDN w:val="0"/>
        <w:adjustRightInd w:val="0"/>
        <w:rPr>
          <w:rFonts w:ascii="TimesNewRoman" w:hAnsi="TimesNewRoman" w:cs="TimesNewRoman"/>
          <w:sz w:val="20"/>
          <w:lang w:val="en-US"/>
        </w:rPr>
      </w:pPr>
    </w:p>
    <w:p w:rsidR="007D4206"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w:t>
      </w:r>
      <w:r w:rsidRPr="00F952CC">
        <w:rPr>
          <w:rFonts w:ascii="TimesNewRoman" w:hAnsi="TimesNewRoman" w:cs="TimesNewRoman"/>
          <w:color w:val="0070C0"/>
          <w:sz w:val="20"/>
          <w:u w:val="single"/>
          <w:lang w:val="en-US"/>
        </w:rPr>
        <w:t>or Beacon</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if the responding STA supports it. </w:t>
      </w:r>
      <w:r w:rsidRPr="00F952CC">
        <w:rPr>
          <w:rFonts w:ascii="TimesNewRoman" w:hAnsi="TimesNewRoman" w:cs="TimesNewRoman"/>
          <w:color w:val="0070C0"/>
          <w:sz w:val="20"/>
          <w:u w:val="single"/>
          <w:lang w:val="en-US"/>
        </w:rPr>
        <w:t>An additional Probe Response shall be transmitted if the transmitted Beacon did not include the Requested element.</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In an improperly formed Request element, a STA may ignore the first element requested that is not ordered properly and all subsequent elements requested. In the probe response frame, the STA shall return the requested elements in the same order as requested in the Request element. </w:t>
      </w:r>
    </w:p>
    <w:p w:rsidR="007D4206" w:rsidRDefault="007D4206" w:rsidP="007D4206">
      <w:pPr>
        <w:autoSpaceDE w:val="0"/>
        <w:autoSpaceDN w:val="0"/>
        <w:adjustRightInd w:val="0"/>
        <w:rPr>
          <w:rFonts w:ascii="TimesNewRoman" w:hAnsi="TimesNewRoman" w:cs="TimesNewRoman"/>
          <w:sz w:val="20"/>
          <w:lang w:val="en-US"/>
        </w:rPr>
      </w:pPr>
    </w:p>
    <w:p w:rsidR="007D4206"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431132">
        <w:rPr>
          <w:rFonts w:ascii="TimesNewRoman" w:hAnsi="TimesNewRoman" w:cs="TimesNewRoman"/>
          <w:sz w:val="20"/>
          <w:lang w:val="en-US"/>
        </w:rPr>
        <w:t xml:space="preserve">dot11FILSActivated equal to true </w:t>
      </w:r>
      <w:r>
        <w:rPr>
          <w:rFonts w:ascii="TimesNewRoman" w:hAnsi="TimesNewRoman" w:cs="TimesNewRoman"/>
          <w:sz w:val="20"/>
          <w:lang w:val="en-US"/>
        </w:rPr>
        <w:t xml:space="preserve">and </w:t>
      </w:r>
      <w:r w:rsidRPr="00431132">
        <w:rPr>
          <w:rFonts w:ascii="TimesNewRoman" w:hAnsi="TimesNewRoman" w:cs="TimesNewRoman"/>
          <w:sz w:val="20"/>
          <w:lang w:val="en-US"/>
        </w:rPr>
        <w:t>if the Request element of the Probe Request includes the Reduced Neighbor Report Request element ID</w:t>
      </w:r>
      <w:r>
        <w:rPr>
          <w:rFonts w:ascii="TimesNewRoman" w:hAnsi="TimesNewRoman" w:cs="TimesNewRoman"/>
          <w:sz w:val="20"/>
          <w:lang w:val="en-US"/>
        </w:rPr>
        <w:t xml:space="preserve">, the Probe Response or Beacon frame </w:t>
      </w:r>
      <w:r w:rsidRPr="000D06F9">
        <w:rPr>
          <w:rFonts w:ascii="TimesNewRoman" w:hAnsi="TimesNewRoman" w:cs="TimesNewRoman"/>
          <w:strike/>
          <w:color w:val="FF0000"/>
          <w:sz w:val="20"/>
          <w:lang w:val="en-US"/>
        </w:rPr>
        <w:t xml:space="preserve">may </w:t>
      </w:r>
      <w:r w:rsidRPr="000D06F9">
        <w:rPr>
          <w:rFonts w:ascii="TimesNewRoman" w:hAnsi="TimesNewRoman" w:cs="TimesNewRoman"/>
          <w:color w:val="0070C0"/>
          <w:sz w:val="20"/>
          <w:u w:val="single"/>
          <w:lang w:val="en-US"/>
        </w:rPr>
        <w:t>shall</w:t>
      </w:r>
      <w:r w:rsidRPr="000D06F9">
        <w:rPr>
          <w:rFonts w:ascii="TimesNewRoman" w:hAnsi="TimesNewRoman" w:cs="TimesNewRoman"/>
          <w:color w:val="0070C0"/>
          <w:sz w:val="20"/>
          <w:lang w:val="en-US"/>
        </w:rPr>
        <w:t xml:space="preserve"> </w:t>
      </w:r>
      <w:r>
        <w:rPr>
          <w:rFonts w:ascii="TimesNewRoman" w:hAnsi="TimesNewRoman" w:cs="TimesNewRoman"/>
          <w:sz w:val="20"/>
          <w:lang w:val="en-US"/>
        </w:rPr>
        <w:t xml:space="preserve">include the Reduced Neighbor Report </w:t>
      </w:r>
      <w:r w:rsidRPr="00431132">
        <w:rPr>
          <w:rFonts w:ascii="TimesNewRoman" w:hAnsi="TimesNewRoman" w:cs="TimesNewRoman"/>
          <w:sz w:val="20"/>
          <w:lang w:val="en-US"/>
        </w:rPr>
        <w:t xml:space="preserve">element </w:t>
      </w:r>
      <w:r>
        <w:rPr>
          <w:rFonts w:ascii="TimesNewRoman" w:hAnsi="TimesNewRoman" w:cs="TimesNewRoman"/>
          <w:sz w:val="20"/>
          <w:lang w:val="en-US"/>
        </w:rPr>
        <w:t>if the criteria as defined in 10.1.4.3.</w:t>
      </w:r>
      <w:r w:rsidRPr="00431132">
        <w:rPr>
          <w:rFonts w:ascii="TimesNewRoman" w:hAnsi="TimesNewRoman" w:cs="TimesNewRoman"/>
          <w:sz w:val="20"/>
          <w:lang w:val="en-US"/>
        </w:rPr>
        <w:t xml:space="preserve">3 </w:t>
      </w:r>
      <w:r>
        <w:rPr>
          <w:rFonts w:ascii="TimesNewRoman" w:hAnsi="TimesNewRoman" w:cs="TimesNewRoman"/>
          <w:sz w:val="20"/>
          <w:lang w:val="en-US"/>
        </w:rPr>
        <w:t xml:space="preserve">are met for the included BSS. </w:t>
      </w:r>
      <w:r w:rsidRPr="00431132">
        <w:rPr>
          <w:rFonts w:ascii="TimesNewRoman" w:hAnsi="TimesNewRoman" w:cs="TimesNewRoman"/>
          <w:strike/>
          <w:color w:val="FF0000"/>
          <w:sz w:val="20"/>
          <w:lang w:val="en-US"/>
        </w:rPr>
        <w:t xml:space="preserve">A Reduced Neighbor Report element is included in the Probe Response frame for each BSS of which information is available. </w:t>
      </w:r>
      <w:r>
        <w:rPr>
          <w:rFonts w:ascii="TimesNewRoman" w:hAnsi="TimesNewRoman" w:cs="TimesNewRoman"/>
          <w:sz w:val="20"/>
          <w:lang w:val="en-US"/>
        </w:rPr>
        <w:t>The reported BSSs may have different primary channels to the responding STA.”</w:t>
      </w:r>
    </w:p>
    <w:p w:rsidR="007D4206" w:rsidRDefault="007D4206" w:rsidP="007D4206">
      <w:pPr>
        <w:autoSpaceDE w:val="0"/>
        <w:autoSpaceDN w:val="0"/>
        <w:adjustRightInd w:val="0"/>
        <w:rPr>
          <w:rFonts w:ascii="TimesNewRoman" w:hAnsi="TimesNewRoman" w:cs="TimesNewRoman"/>
          <w:b/>
          <w:sz w:val="20"/>
          <w:lang w:val="en-US"/>
        </w:rPr>
      </w:pPr>
    </w:p>
    <w:p w:rsidR="007D4206" w:rsidRPr="007D4206" w:rsidRDefault="007D4206" w:rsidP="00C128E4">
      <w:pPr>
        <w:rPr>
          <w:rFonts w:ascii="TimesNewRoman" w:hAnsi="TimesNewRoman" w:cs="TimesNewRoman"/>
          <w:b/>
          <w:sz w:val="20"/>
          <w:lang w:val="en-US"/>
        </w:rPr>
      </w:pPr>
      <w:r w:rsidRPr="007D4206">
        <w:rPr>
          <w:rFonts w:ascii="TimesNewRoman" w:hAnsi="TimesNewRoman" w:cs="TimesNewRoman"/>
          <w:b/>
          <w:sz w:val="20"/>
          <w:lang w:val="en-US"/>
        </w:rPr>
        <w:t xml:space="preserve">Discussion provided by </w:t>
      </w:r>
      <w:r w:rsidRPr="007D4206">
        <w:rPr>
          <w:rFonts w:ascii="TimesNewRoman" w:hAnsi="TimesNewRoman" w:cs="TimesNewRoman"/>
          <w:b/>
          <w:sz w:val="20"/>
          <w:lang w:val="en-US"/>
        </w:rPr>
        <w:t>Yunsong Yang</w:t>
      </w:r>
      <w:r w:rsidRPr="007D4206">
        <w:rPr>
          <w:rFonts w:ascii="TimesNewRoman" w:hAnsi="TimesNewRoman" w:cs="TimesNewRoman"/>
          <w:b/>
          <w:sz w:val="20"/>
          <w:lang w:val="en-US"/>
        </w:rPr>
        <w:t>, Huawei:</w:t>
      </w:r>
    </w:p>
    <w:p w:rsidR="007D4206" w:rsidRPr="007D4206" w:rsidRDefault="007D4206" w:rsidP="00C128E4">
      <w:pPr>
        <w:rPr>
          <w:b/>
          <w:sz w:val="24"/>
          <w:lang w:val="en-US"/>
        </w:rPr>
      </w:pPr>
    </w:p>
    <w:p w:rsidR="007D4206" w:rsidRPr="007D4206" w:rsidRDefault="007D4206" w:rsidP="007D4206">
      <w:pPr>
        <w:rPr>
          <w:rFonts w:ascii="TimesNewRoman" w:hAnsi="TimesNewRoman" w:cs="TimesNewRoman"/>
          <w:sz w:val="20"/>
          <w:lang w:val="en-US"/>
        </w:rPr>
      </w:pPr>
      <w:r w:rsidRPr="007D4206">
        <w:rPr>
          <w:rFonts w:ascii="TimesNewRoman" w:hAnsi="TimesNewRoman" w:cs="TimesNewRoman"/>
          <w:sz w:val="20"/>
          <w:lang w:val="en-US"/>
        </w:rPr>
        <w:t>I appreciate the benefits of providing reduced neighbor report to STAs when requested.  However, I think this “shall” is not correct nor re-enforceable.  First, how APs are configured to recognize their neighbors or keep their neighbor’s information is implementation dependent.  An AP may well be configured to ignore its neighbors.  Therefore, an AP should be allowed not to report any neighbors.  Secondly, when an AP truly has no neighbors, forcing the AP to include a Reduced Neighbor Report element would result a conflict with the currently format of this element as the Reduced Neighbor Report element currently contains at least one neighbor’s information (no option to report none).  So, we have to allow an AP not to include the RNR element when it has no neighbor to report.  This will make the “shall” not re-enforceable.</w:t>
      </w:r>
    </w:p>
    <w:p w:rsidR="007D4206" w:rsidRDefault="007D4206" w:rsidP="007D4206">
      <w:pPr>
        <w:rPr>
          <w:color w:val="1F497D"/>
        </w:rPr>
      </w:pPr>
    </w:p>
    <w:p w:rsidR="00CA09B2" w:rsidRPr="007D4206" w:rsidRDefault="007D4206" w:rsidP="007D4206">
      <w:pPr>
        <w:rPr>
          <w:rFonts w:ascii="TimesNewRoman" w:hAnsi="TimesNewRoman" w:cs="TimesNewRoman"/>
          <w:b/>
          <w:sz w:val="20"/>
          <w:lang w:val="en-US"/>
        </w:rPr>
      </w:pPr>
      <w:r w:rsidRPr="007D4206">
        <w:rPr>
          <w:rFonts w:ascii="TimesNewRoman" w:hAnsi="TimesNewRoman" w:cs="TimesNewRoman"/>
          <w:b/>
          <w:sz w:val="20"/>
          <w:lang w:val="en-US"/>
        </w:rPr>
        <w:t>Recommended</w:t>
      </w:r>
      <w:r>
        <w:rPr>
          <w:rFonts w:ascii="TimesNewRoman" w:hAnsi="TimesNewRoman" w:cs="TimesNewRoman"/>
          <w:b/>
          <w:sz w:val="20"/>
          <w:lang w:val="en-US"/>
        </w:rPr>
        <w:t xml:space="preserve"> resolution of the CID2784</w:t>
      </w:r>
      <w:r w:rsidRPr="007D4206">
        <w:rPr>
          <w:rFonts w:ascii="TimesNewRoman" w:hAnsi="TimesNewRoman" w:cs="TimesNewRoman"/>
          <w:b/>
          <w:sz w:val="20"/>
          <w:lang w:val="en-US"/>
        </w:rPr>
        <w:t xml:space="preserve">: </w:t>
      </w:r>
    </w:p>
    <w:p w:rsidR="007D4206" w:rsidRDefault="007D4206" w:rsidP="007D4206">
      <w:pPr>
        <w:rPr>
          <w:color w:val="1F497D"/>
        </w:rPr>
      </w:pPr>
      <w:r w:rsidRPr="007D4206">
        <w:rPr>
          <w:color w:val="1F497D"/>
          <w:highlight w:val="yellow"/>
        </w:rPr>
        <w:t xml:space="preserve">Note to the Editor. This </w:t>
      </w:r>
      <w:r>
        <w:rPr>
          <w:color w:val="1F497D"/>
          <w:highlight w:val="yellow"/>
        </w:rPr>
        <w:t xml:space="preserve">changes </w:t>
      </w:r>
      <w:r w:rsidRPr="007D4206">
        <w:rPr>
          <w:color w:val="1F497D"/>
          <w:highlight w:val="yellow"/>
        </w:rPr>
        <w:t xml:space="preserve">resolution </w:t>
      </w:r>
      <w:r>
        <w:rPr>
          <w:color w:val="1F497D"/>
          <w:highlight w:val="yellow"/>
        </w:rPr>
        <w:t xml:space="preserve">text </w:t>
      </w:r>
      <w:r w:rsidRPr="007D4206">
        <w:rPr>
          <w:color w:val="1F497D"/>
          <w:highlight w:val="yellow"/>
        </w:rPr>
        <w:t xml:space="preserve">to the accepted resolution </w:t>
      </w:r>
      <w:r>
        <w:rPr>
          <w:color w:val="1F497D"/>
          <w:highlight w:val="yellow"/>
        </w:rPr>
        <w:t xml:space="preserve">text </w:t>
      </w:r>
      <w:r w:rsidRPr="007D4206">
        <w:rPr>
          <w:color w:val="1F497D"/>
          <w:highlight w:val="yellow"/>
        </w:rPr>
        <w:t>of the CID2784</w:t>
      </w:r>
      <w:r>
        <w:rPr>
          <w:color w:val="1F497D"/>
          <w:highlight w:val="yellow"/>
        </w:rPr>
        <w:t xml:space="preserve"> is highlighted</w:t>
      </w:r>
      <w:r w:rsidRPr="007D4206">
        <w:rPr>
          <w:color w:val="1F497D"/>
          <w:highlight w:val="yellow"/>
        </w:rPr>
        <w:t>.</w:t>
      </w:r>
      <w:r>
        <w:rPr>
          <w:color w:val="1F497D"/>
        </w:rPr>
        <w:t xml:space="preserve"> </w:t>
      </w:r>
    </w:p>
    <w:p w:rsidR="007D4206" w:rsidRDefault="007D4206" w:rsidP="007D4206">
      <w:pPr>
        <w:autoSpaceDE w:val="0"/>
        <w:autoSpaceDN w:val="0"/>
        <w:adjustRightInd w:val="0"/>
        <w:rPr>
          <w:rFonts w:ascii="TimesNewRoman" w:hAnsi="TimesNewRoman" w:cs="TimesNewRoman"/>
          <w:sz w:val="20"/>
          <w:lang w:val="en-US"/>
        </w:rPr>
      </w:pPr>
      <w:r w:rsidRPr="00F952CC">
        <w:rPr>
          <w:rFonts w:ascii="TimesNewRoman" w:hAnsi="TimesNewRoman" w:cs="TimesNewRoman"/>
          <w:sz w:val="20"/>
          <w:lang w:val="en-US"/>
        </w:rPr>
        <w:t>REVISED.</w:t>
      </w:r>
      <w:r>
        <w:rPr>
          <w:rFonts w:ascii="TimesNewRoman" w:hAnsi="TimesNewRoman" w:cs="TimesNewRoman"/>
          <w:b/>
          <w:sz w:val="20"/>
          <w:lang w:val="en-US"/>
        </w:rPr>
        <w:t xml:space="preserve"> </w:t>
      </w:r>
      <w:r w:rsidRPr="00AC6B69">
        <w:rPr>
          <w:rFonts w:ascii="TimesNewRoman" w:hAnsi="TimesNewRoman" w:cs="TimesNewRoman"/>
          <w:sz w:val="20"/>
          <w:lang w:val="en-US"/>
        </w:rPr>
        <w:t xml:space="preserve">Change the text </w:t>
      </w:r>
      <w:r>
        <w:rPr>
          <w:rFonts w:ascii="TimesNewRoman" w:hAnsi="TimesNewRoman" w:cs="TimesNewRoman"/>
          <w:sz w:val="20"/>
          <w:lang w:val="en-US"/>
        </w:rPr>
        <w:t xml:space="preserve">in </w:t>
      </w:r>
      <w:r w:rsidRPr="00AD6E20">
        <w:rPr>
          <w:rFonts w:ascii="TimesNewRoman" w:hAnsi="TimesNewRoman" w:cs="TimesNewRoman"/>
          <w:sz w:val="20"/>
          <w:lang w:val="en-US"/>
        </w:rPr>
        <w:t>10.1.4.3.4 Sending a response to probe request</w:t>
      </w:r>
      <w:r>
        <w:rPr>
          <w:rFonts w:ascii="TimesNewRoman" w:hAnsi="TimesNewRoman" w:cs="TimesNewRoman"/>
          <w:sz w:val="20"/>
          <w:lang w:val="en-US"/>
        </w:rPr>
        <w:t xml:space="preserve"> </w:t>
      </w:r>
      <w:r w:rsidRPr="00AC6B69">
        <w:rPr>
          <w:rFonts w:ascii="TimesNewRoman" w:hAnsi="TimesNewRoman" w:cs="TimesNewRoman"/>
          <w:sz w:val="20"/>
          <w:lang w:val="en-US"/>
        </w:rPr>
        <w:t>as shown:”</w:t>
      </w:r>
    </w:p>
    <w:p w:rsidR="007D4206" w:rsidRDefault="007D4206" w:rsidP="007D4206">
      <w:pPr>
        <w:autoSpaceDE w:val="0"/>
        <w:autoSpaceDN w:val="0"/>
        <w:adjustRightInd w:val="0"/>
        <w:rPr>
          <w:rFonts w:ascii="TimesNewRoman" w:hAnsi="TimesNewRoman" w:cs="TimesNewRoman"/>
          <w:sz w:val="20"/>
          <w:lang w:val="en-US"/>
        </w:rPr>
      </w:pPr>
    </w:p>
    <w:p w:rsidR="007D4206"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w:t>
      </w:r>
      <w:r w:rsidRPr="00F952CC">
        <w:rPr>
          <w:rFonts w:ascii="TimesNewRoman" w:hAnsi="TimesNewRoman" w:cs="TimesNewRoman"/>
          <w:color w:val="0070C0"/>
          <w:sz w:val="20"/>
          <w:u w:val="single"/>
          <w:lang w:val="en-US"/>
        </w:rPr>
        <w:t>or Beacon</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if the responding STA supports it. </w:t>
      </w:r>
      <w:r w:rsidRPr="00F952CC">
        <w:rPr>
          <w:rFonts w:ascii="TimesNewRoman" w:hAnsi="TimesNewRoman" w:cs="TimesNewRoman"/>
          <w:color w:val="0070C0"/>
          <w:sz w:val="20"/>
          <w:u w:val="single"/>
          <w:lang w:val="en-US"/>
        </w:rPr>
        <w:t>An additional Probe Response shall be transmitted if the transmitted Beacon did not include the Requested element.</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In an improperly formed Request element, a STA may ignore the first element requested that is not ordered properly and all subsequent elements requested. In the probe response frame, the STA shall return the requested elements in the same order as requested in the Request element. </w:t>
      </w:r>
    </w:p>
    <w:p w:rsidR="007D4206" w:rsidRDefault="007D4206" w:rsidP="007D4206">
      <w:pPr>
        <w:autoSpaceDE w:val="0"/>
        <w:autoSpaceDN w:val="0"/>
        <w:adjustRightInd w:val="0"/>
        <w:rPr>
          <w:rFonts w:ascii="TimesNewRoman" w:hAnsi="TimesNewRoman" w:cs="TimesNewRoman"/>
          <w:sz w:val="20"/>
          <w:lang w:val="en-US"/>
        </w:rPr>
      </w:pPr>
    </w:p>
    <w:p w:rsidR="007D4206" w:rsidRPr="007D4206"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431132">
        <w:rPr>
          <w:rFonts w:ascii="TimesNewRoman" w:hAnsi="TimesNewRoman" w:cs="TimesNewRoman"/>
          <w:sz w:val="20"/>
          <w:lang w:val="en-US"/>
        </w:rPr>
        <w:t xml:space="preserve">dot11FILSActivated equal to true </w:t>
      </w:r>
      <w:r>
        <w:rPr>
          <w:rFonts w:ascii="TimesNewRoman" w:hAnsi="TimesNewRoman" w:cs="TimesNewRoman"/>
          <w:sz w:val="20"/>
          <w:lang w:val="en-US"/>
        </w:rPr>
        <w:t xml:space="preserve">and </w:t>
      </w:r>
      <w:r w:rsidRPr="00431132">
        <w:rPr>
          <w:rFonts w:ascii="TimesNewRoman" w:hAnsi="TimesNewRoman" w:cs="TimesNewRoman"/>
          <w:sz w:val="20"/>
          <w:lang w:val="en-US"/>
        </w:rPr>
        <w:t>if the Request element of the Probe Request includes the Reduced Neighbor Report Request element ID</w:t>
      </w:r>
      <w:r>
        <w:rPr>
          <w:rFonts w:ascii="TimesNewRoman" w:hAnsi="TimesNewRoman" w:cs="TimesNewRoman"/>
          <w:sz w:val="20"/>
          <w:lang w:val="en-US"/>
        </w:rPr>
        <w:t xml:space="preserve">, the Probe Response or </w:t>
      </w:r>
      <w:r w:rsidRPr="007D4206">
        <w:rPr>
          <w:rFonts w:ascii="TimesNewRoman" w:hAnsi="TimesNewRoman" w:cs="TimesNewRoman"/>
          <w:sz w:val="20"/>
          <w:highlight w:val="yellow"/>
          <w:lang w:val="en-US"/>
        </w:rPr>
        <w:t>Beacon frame may include the</w:t>
      </w:r>
      <w:r>
        <w:rPr>
          <w:rFonts w:ascii="TimesNewRoman" w:hAnsi="TimesNewRoman" w:cs="TimesNewRoman"/>
          <w:sz w:val="20"/>
          <w:lang w:val="en-US"/>
        </w:rPr>
        <w:t xml:space="preserve"> Reduced Neighbor Report </w:t>
      </w:r>
      <w:r w:rsidRPr="00431132">
        <w:rPr>
          <w:rFonts w:ascii="TimesNewRoman" w:hAnsi="TimesNewRoman" w:cs="TimesNewRoman"/>
          <w:sz w:val="20"/>
          <w:lang w:val="en-US"/>
        </w:rPr>
        <w:t xml:space="preserve">element </w:t>
      </w:r>
      <w:r>
        <w:rPr>
          <w:rFonts w:ascii="TimesNewRoman" w:hAnsi="TimesNewRoman" w:cs="TimesNewRoman"/>
          <w:sz w:val="20"/>
          <w:lang w:val="en-US"/>
        </w:rPr>
        <w:t>if the criteria as defined in 10.1.4.3.</w:t>
      </w:r>
      <w:r w:rsidRPr="00431132">
        <w:rPr>
          <w:rFonts w:ascii="TimesNewRoman" w:hAnsi="TimesNewRoman" w:cs="TimesNewRoman"/>
          <w:sz w:val="20"/>
          <w:lang w:val="en-US"/>
        </w:rPr>
        <w:t xml:space="preserve">3 </w:t>
      </w:r>
      <w:r>
        <w:rPr>
          <w:rFonts w:ascii="TimesNewRoman" w:hAnsi="TimesNewRoman" w:cs="TimesNewRoman"/>
          <w:sz w:val="20"/>
          <w:lang w:val="en-US"/>
        </w:rPr>
        <w:t xml:space="preserve">are met for the included BSS. </w:t>
      </w:r>
      <w:r w:rsidRPr="00431132">
        <w:rPr>
          <w:rFonts w:ascii="TimesNewRoman" w:hAnsi="TimesNewRoman" w:cs="TimesNewRoman"/>
          <w:strike/>
          <w:color w:val="FF0000"/>
          <w:sz w:val="20"/>
          <w:lang w:val="en-US"/>
        </w:rPr>
        <w:t xml:space="preserve">A Reduced Neighbor Report element is included in the Probe Response frame for each BSS of which information is available. </w:t>
      </w:r>
      <w:r>
        <w:rPr>
          <w:rFonts w:ascii="TimesNewRoman" w:hAnsi="TimesNewRoman" w:cs="TimesNewRoman"/>
          <w:sz w:val="20"/>
          <w:lang w:val="en-US"/>
        </w:rPr>
        <w:t>The reported BSSs may have different primary channels to the responding STA.”</w:t>
      </w:r>
    </w:p>
    <w:sectPr w:rsidR="007D4206" w:rsidRPr="007D420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B8" w:rsidRDefault="00E057B8">
      <w:r>
        <w:separator/>
      </w:r>
    </w:p>
  </w:endnote>
  <w:endnote w:type="continuationSeparator" w:id="0">
    <w:p w:rsidR="00E057B8" w:rsidRDefault="00E0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Footer"/>
      <w:jc w:val="center"/>
      <w:rPr>
        <w:rFonts w:ascii="Arial" w:hAnsi="Arial" w:cs="Arial"/>
        <w:b/>
        <w:color w:val="3E8430"/>
        <w:sz w:val="20"/>
      </w:rPr>
    </w:pPr>
    <w:bookmarkStart w:id="3" w:name="aliashDOCCompanyConfiden1FooterEvenPages"/>
  </w:p>
  <w:bookmarkEnd w:id="3"/>
  <w:p w:rsidR="00C128E4" w:rsidRDefault="00C12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C128E4">
      <w:t>Submission</w:t>
    </w:r>
    <w:r>
      <w:fldChar w:fldCharType="end"/>
    </w:r>
    <w:r>
      <w:tab/>
      <w:t xml:space="preserve">page </w:t>
    </w:r>
    <w:r>
      <w:fldChar w:fldCharType="begin"/>
    </w:r>
    <w:r>
      <w:instrText xml:space="preserve">page </w:instrText>
    </w:r>
    <w:r>
      <w:fldChar w:fldCharType="separate"/>
    </w:r>
    <w:r w:rsidR="006B7B1A">
      <w:rPr>
        <w:noProof/>
      </w:rPr>
      <w:t>1</w:t>
    </w:r>
    <w:r>
      <w:fldChar w:fldCharType="end"/>
    </w:r>
    <w:r>
      <w:tab/>
    </w:r>
    <w:fldSimple w:instr=" COMMENTS  \* MERGEFORMAT ">
      <w:r w:rsidR="006B7B1A">
        <w:t>Jarkko Kneckt ,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Footer"/>
      <w:jc w:val="center"/>
      <w:rPr>
        <w:rFonts w:ascii="Arial" w:hAnsi="Arial" w:cs="Arial"/>
        <w:b/>
        <w:color w:val="3E8430"/>
        <w:sz w:val="20"/>
      </w:rPr>
    </w:pPr>
    <w:bookmarkStart w:id="6" w:name="aliashDOCCompanyConfiden1FooterFirstPage"/>
  </w:p>
  <w:bookmarkEnd w:id="6"/>
  <w:p w:rsidR="00C128E4" w:rsidRDefault="00C12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B8" w:rsidRDefault="00E057B8">
      <w:r>
        <w:separator/>
      </w:r>
    </w:p>
  </w:footnote>
  <w:footnote w:type="continuationSeparator" w:id="0">
    <w:p w:rsidR="00E057B8" w:rsidRDefault="00E0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Header"/>
      <w:jc w:val="center"/>
      <w:rPr>
        <w:rFonts w:ascii="Arial" w:hAnsi="Arial" w:cs="Arial"/>
        <w:color w:val="3E8430"/>
        <w:sz w:val="20"/>
      </w:rPr>
    </w:pPr>
    <w:bookmarkStart w:id="1" w:name="aliashDOCCompanyConfiden1HeaderEvenPages"/>
  </w:p>
  <w:bookmarkEnd w:id="1"/>
  <w:p w:rsidR="00C128E4" w:rsidRDefault="00C12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6B7B1A">
      <w:t>January 2014</w:t>
    </w:r>
    <w:r>
      <w:fldChar w:fldCharType="end"/>
    </w:r>
    <w:r>
      <w:tab/>
    </w:r>
    <w:r>
      <w:tab/>
    </w:r>
    <w:fldSimple w:instr=" TITLE  \* MERGEFORMAT ">
      <w:r w:rsidR="006B7B1A">
        <w:t>doc.: IEEE 802.11-14/0152r0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Header"/>
      <w:jc w:val="center"/>
      <w:rPr>
        <w:rFonts w:ascii="Arial" w:hAnsi="Arial" w:cs="Arial"/>
        <w:color w:val="3E8430"/>
        <w:sz w:val="20"/>
      </w:rPr>
    </w:pPr>
    <w:bookmarkStart w:id="5" w:name="aliashDOCCompanyConfiden1HeaderFirstPage"/>
  </w:p>
  <w:bookmarkEnd w:id="5"/>
  <w:p w:rsidR="00C128E4" w:rsidRDefault="00C12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E4"/>
    <w:rsid w:val="001D723B"/>
    <w:rsid w:val="0029020B"/>
    <w:rsid w:val="002D44BE"/>
    <w:rsid w:val="00442037"/>
    <w:rsid w:val="0062440B"/>
    <w:rsid w:val="006B7B1A"/>
    <w:rsid w:val="006C0727"/>
    <w:rsid w:val="006E145F"/>
    <w:rsid w:val="00770572"/>
    <w:rsid w:val="007D4206"/>
    <w:rsid w:val="00AA427C"/>
    <w:rsid w:val="00BE68C2"/>
    <w:rsid w:val="00C128E4"/>
    <w:rsid w:val="00CA09B2"/>
    <w:rsid w:val="00D44131"/>
    <w:rsid w:val="00DC5A7B"/>
    <w:rsid w:val="00E0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i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23</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802.11-14/0152r0</vt:lpstr>
    </vt:vector>
  </TitlesOfParts>
  <Company>Some Company</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802.11-14/0152r0</dc:title>
  <dc:subject>Submission</dc:subject>
  <dc:creator>Kneckt Jarkko (Nokia-NRC/Helsinki)</dc:creator>
  <cp:keywords>January 2014</cp:keywords>
  <dc:description>Jarkko Kneckt , Nokia</dc:description>
  <cp:lastModifiedBy>Kneckt Jarkko (Nokia-NRC/Helsinki)</cp:lastModifiedBy>
  <cp:revision>1</cp:revision>
  <cp:lastPrinted>1601-01-01T00:00:00Z</cp:lastPrinted>
  <dcterms:created xsi:type="dcterms:W3CDTF">2014-01-22T14:06:00Z</dcterms:created>
  <dcterms:modified xsi:type="dcterms:W3CDTF">2014-01-22T14:31:00Z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73a06cdd-3d8b-48fb-bb70-460e036fb9b6</vt:lpwstr>
  </property>
  <property fmtid="{D5CDD505-2E9C-101B-9397-08002B2CF9AE}" pid="3" name="NokiaConfidentiality">
    <vt:lpwstr>Public</vt:lpwstr>
  </property>
</Properties>
</file>