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817DFB">
            <w:pPr>
              <w:pStyle w:val="T2"/>
            </w:pPr>
            <w:r>
              <w:rPr>
                <w:rFonts w:hint="eastAsia"/>
                <w:lang w:eastAsia="ko-KR"/>
              </w:rPr>
              <w:t xml:space="preserve">LB 200 </w:t>
            </w:r>
            <w:r w:rsidR="00D36C35">
              <w:rPr>
                <w:rFonts w:hint="eastAsia"/>
                <w:lang w:eastAsia="ko-KR"/>
              </w:rPr>
              <w:t xml:space="preserve">cluase </w:t>
            </w:r>
            <w:r>
              <w:rPr>
                <w:rFonts w:hint="eastAsia"/>
                <w:lang w:eastAsia="ko-KR"/>
              </w:rPr>
              <w:t>9.</w:t>
            </w:r>
            <w:r w:rsidR="00817DFB">
              <w:rPr>
                <w:rFonts w:hint="eastAsia"/>
                <w:lang w:eastAsia="ko-KR"/>
              </w:rPr>
              <w:t>47.4</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817DFB">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5B31EA">
              <w:rPr>
                <w:rFonts w:hint="eastAsia"/>
                <w:b w:val="0"/>
                <w:sz w:val="20"/>
                <w:lang w:eastAsia="ko-KR"/>
              </w:rPr>
              <w:t>1</w:t>
            </w:r>
            <w:r w:rsidR="0088012D">
              <w:rPr>
                <w:rFonts w:hint="eastAsia"/>
                <w:b w:val="0"/>
                <w:sz w:val="20"/>
                <w:lang w:eastAsia="ko-KR"/>
              </w:rPr>
              <w:t>-</w:t>
            </w:r>
            <w:r w:rsidR="00817DFB">
              <w:rPr>
                <w:rFonts w:hint="eastAsia"/>
                <w:b w:val="0"/>
                <w:sz w:val="20"/>
                <w:lang w:eastAsia="ko-KR"/>
              </w:rPr>
              <w:t>20</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5843A9" w:rsidP="004C0F0A">
            <w:pPr>
              <w:pStyle w:val="T2"/>
              <w:spacing w:after="0"/>
              <w:ind w:left="0" w:right="0"/>
              <w:jc w:val="left"/>
              <w:rPr>
                <w:b w:val="0"/>
                <w:sz w:val="18"/>
                <w:szCs w:val="18"/>
                <w:lang w:eastAsia="ko-KR"/>
              </w:rPr>
            </w:pPr>
            <w:hyperlink r:id="rId9"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r w:rsidR="002B6A84" w:rsidRPr="00183F4C">
        <w:trPr>
          <w:jc w:val="center"/>
        </w:trPr>
        <w:tc>
          <w:tcPr>
            <w:tcW w:w="1548" w:type="dxa"/>
            <w:vAlign w:val="center"/>
          </w:tcPr>
          <w:p w:rsidR="002B6A84" w:rsidRDefault="002B6A84" w:rsidP="004051EE">
            <w:pPr>
              <w:pStyle w:val="T2"/>
              <w:spacing w:after="0"/>
              <w:ind w:left="0" w:right="0"/>
              <w:jc w:val="left"/>
              <w:rPr>
                <w:b w:val="0"/>
                <w:sz w:val="18"/>
                <w:szCs w:val="18"/>
                <w:lang w:eastAsia="ko-KR"/>
              </w:rPr>
            </w:pPr>
            <w:proofErr w:type="spellStart"/>
            <w:r w:rsidRPr="002B6A84">
              <w:rPr>
                <w:b w:val="0"/>
                <w:sz w:val="18"/>
                <w:szCs w:val="18"/>
                <w:lang w:eastAsia="ko-KR"/>
              </w:rPr>
              <w:t>Kaiying</w:t>
            </w:r>
            <w:proofErr w:type="spellEnd"/>
            <w:r w:rsidRPr="002B6A84">
              <w:rPr>
                <w:b w:val="0"/>
                <w:sz w:val="18"/>
                <w:szCs w:val="18"/>
                <w:lang w:eastAsia="ko-KR"/>
              </w:rPr>
              <w:t xml:space="preserve"> </w:t>
            </w:r>
            <w:proofErr w:type="spellStart"/>
            <w:r w:rsidRPr="002B6A84">
              <w:rPr>
                <w:b w:val="0"/>
                <w:sz w:val="18"/>
                <w:szCs w:val="18"/>
                <w:lang w:eastAsia="ko-KR"/>
              </w:rPr>
              <w:t>Lv</w:t>
            </w:r>
            <w:proofErr w:type="spellEnd"/>
          </w:p>
        </w:tc>
        <w:tc>
          <w:tcPr>
            <w:tcW w:w="1440" w:type="dxa"/>
            <w:vAlign w:val="center"/>
          </w:tcPr>
          <w:p w:rsidR="002B6A84" w:rsidRDefault="002B6A84" w:rsidP="00520B8C">
            <w:pPr>
              <w:pStyle w:val="T2"/>
              <w:spacing w:after="0"/>
              <w:ind w:left="0" w:right="0"/>
              <w:jc w:val="left"/>
              <w:rPr>
                <w:b w:val="0"/>
                <w:sz w:val="18"/>
                <w:szCs w:val="18"/>
                <w:lang w:eastAsia="ko-KR"/>
              </w:rPr>
            </w:pPr>
            <w:r>
              <w:rPr>
                <w:rFonts w:eastAsia="SimSun" w:hint="eastAsia"/>
                <w:b w:val="0"/>
                <w:sz w:val="18"/>
                <w:szCs w:val="18"/>
                <w:lang w:eastAsia="zh-CN"/>
              </w:rPr>
              <w:t>ZTE corp.</w:t>
            </w:r>
          </w:p>
        </w:tc>
        <w:tc>
          <w:tcPr>
            <w:tcW w:w="2880" w:type="dxa"/>
            <w:vAlign w:val="center"/>
          </w:tcPr>
          <w:p w:rsidR="002B6A84" w:rsidRPr="00183F4C" w:rsidRDefault="002B6A84" w:rsidP="00520B8C">
            <w:pPr>
              <w:pStyle w:val="T2"/>
              <w:spacing w:after="0"/>
              <w:ind w:left="0" w:right="0"/>
              <w:jc w:val="left"/>
              <w:rPr>
                <w:b w:val="0"/>
                <w:sz w:val="18"/>
                <w:szCs w:val="18"/>
              </w:rPr>
            </w:pPr>
          </w:p>
        </w:tc>
        <w:tc>
          <w:tcPr>
            <w:tcW w:w="1530" w:type="dxa"/>
            <w:vAlign w:val="center"/>
          </w:tcPr>
          <w:p w:rsidR="002B6A84" w:rsidRPr="00183F4C" w:rsidRDefault="002B6A84" w:rsidP="00520B8C">
            <w:pPr>
              <w:pStyle w:val="T2"/>
              <w:spacing w:after="0"/>
              <w:ind w:left="0" w:right="0"/>
              <w:rPr>
                <w:b w:val="0"/>
                <w:sz w:val="18"/>
                <w:szCs w:val="18"/>
                <w:lang w:eastAsia="ko-KR"/>
              </w:rPr>
            </w:pPr>
          </w:p>
        </w:tc>
        <w:tc>
          <w:tcPr>
            <w:tcW w:w="2178" w:type="dxa"/>
            <w:vAlign w:val="center"/>
          </w:tcPr>
          <w:p w:rsidR="002B6A84" w:rsidRPr="00BF5553" w:rsidRDefault="005843A9" w:rsidP="004C0F0A">
            <w:pPr>
              <w:pStyle w:val="T2"/>
              <w:spacing w:after="0"/>
              <w:ind w:left="0" w:right="0"/>
              <w:jc w:val="left"/>
              <w:rPr>
                <w:lang w:eastAsia="ko-KR"/>
              </w:rPr>
            </w:pPr>
            <w:hyperlink r:id="rId10" w:history="1">
              <w:r w:rsidR="002B6A84" w:rsidRPr="005D1A96">
                <w:rPr>
                  <w:rStyle w:val="a6"/>
                  <w:rFonts w:eastAsia="SimSun" w:hint="eastAsia"/>
                  <w:b w:val="0"/>
                  <w:sz w:val="18"/>
                  <w:szCs w:val="18"/>
                  <w:lang w:eastAsia="zh-CN"/>
                </w:rPr>
                <w:t>lv.kaiying</w:t>
              </w:r>
              <w:r w:rsidR="002B6A84" w:rsidRPr="005D1A96">
                <w:rPr>
                  <w:rStyle w:val="a6"/>
                  <w:rFonts w:hint="eastAsia"/>
                  <w:b w:val="0"/>
                  <w:sz w:val="18"/>
                  <w:szCs w:val="18"/>
                  <w:lang w:eastAsia="ko-KR"/>
                </w:rPr>
                <w:t>@</w:t>
              </w:r>
              <w:r w:rsidR="002B6A84" w:rsidRPr="005D1A96">
                <w:rPr>
                  <w:rStyle w:val="a6"/>
                  <w:rFonts w:eastAsia="SimSun" w:hint="eastAsia"/>
                  <w:b w:val="0"/>
                  <w:sz w:val="18"/>
                  <w:szCs w:val="18"/>
                  <w:lang w:eastAsia="zh-CN"/>
                </w:rPr>
                <w:t>zt</w:t>
              </w:r>
              <w:r w:rsidR="002B6A84" w:rsidRPr="005D1A96">
                <w:rPr>
                  <w:rStyle w:val="a6"/>
                  <w:rFonts w:hint="eastAsia"/>
                  <w:b w:val="0"/>
                  <w:sz w:val="18"/>
                  <w:szCs w:val="18"/>
                  <w:lang w:eastAsia="ko-KR"/>
                </w:rPr>
                <w:t>e.co</w:t>
              </w:r>
              <w:r w:rsidR="002B6A84" w:rsidRPr="005D1A96">
                <w:rPr>
                  <w:rStyle w:val="a6"/>
                  <w:rFonts w:eastAsia="SimSun" w:hint="eastAsia"/>
                  <w:b w:val="0"/>
                  <w:sz w:val="18"/>
                  <w:szCs w:val="18"/>
                  <w:lang w:eastAsia="zh-CN"/>
                </w:rPr>
                <w:t>m.cn</w:t>
              </w:r>
            </w:hyperlink>
            <w:r w:rsidR="002B6A84">
              <w:rPr>
                <w:rFonts w:hint="eastAsia"/>
                <w:b w:val="0"/>
                <w:sz w:val="18"/>
                <w:szCs w:val="18"/>
                <w:lang w:eastAsia="ko-KR"/>
              </w:rPr>
              <w:t xml:space="preserve"> </w:t>
            </w:r>
          </w:p>
        </w:tc>
      </w:tr>
    </w:tbl>
    <w:p w:rsidR="005E768D" w:rsidRPr="004D2D75" w:rsidRDefault="005843A9">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9.47.4 from </w:t>
                  </w:r>
                  <w:proofErr w:type="spellStart"/>
                  <w:r>
                    <w:rPr>
                      <w:rFonts w:hint="eastAsia"/>
                      <w:lang w:eastAsia="ko-KR"/>
                    </w:rPr>
                    <w:t>TGah</w:t>
                  </w:r>
                  <w:proofErr w:type="spellEnd"/>
                  <w:r>
                    <w:rPr>
                      <w:rFonts w:hint="eastAsia"/>
                      <w:lang w:eastAsia="ko-KR"/>
                    </w:rPr>
                    <w:t xml:space="preserve"> Draft 1.0.</w:t>
                  </w:r>
                </w:p>
                <w:p w:rsidR="00E07608" w:rsidRDefault="00E07608" w:rsidP="00C6354A">
                  <w:pPr>
                    <w:pStyle w:val="af"/>
                    <w:numPr>
                      <w:ilvl w:val="0"/>
                      <w:numId w:val="28"/>
                    </w:numPr>
                    <w:ind w:leftChars="0"/>
                    <w:jc w:val="both"/>
                  </w:pPr>
                  <w:r>
                    <w:rPr>
                      <w:rFonts w:hint="eastAsia"/>
                      <w:lang w:eastAsia="ko-KR"/>
                    </w:rPr>
                    <w:t>CIDs: 1541, 2847, 2848</w:t>
                  </w:r>
                  <w:r w:rsidR="00BF13FF">
                    <w:rPr>
                      <w:rFonts w:hint="eastAsia"/>
                      <w:lang w:eastAsia="ko-KR"/>
                    </w:rPr>
                    <w:t>, 2129</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firstRow="1" w:lastRow="0" w:firstColumn="1" w:lastColumn="0" w:noHBand="0" w:noVBand="1"/>
      </w:tblPr>
      <w:tblGrid>
        <w:gridCol w:w="675"/>
        <w:gridCol w:w="967"/>
        <w:gridCol w:w="876"/>
        <w:gridCol w:w="3090"/>
        <w:gridCol w:w="2155"/>
        <w:gridCol w:w="1813"/>
      </w:tblGrid>
      <w:tr w:rsidR="00AD3749" w:rsidTr="00C6354A">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876"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C6354A" w:rsidRPr="00C6354A" w:rsidTr="00C6354A">
        <w:trPr>
          <w:trHeight w:val="1275"/>
        </w:trPr>
        <w:tc>
          <w:tcPr>
            <w:tcW w:w="675"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1541</w:t>
            </w:r>
          </w:p>
        </w:tc>
        <w:tc>
          <w:tcPr>
            <w:tcW w:w="967"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198.23</w:t>
            </w:r>
          </w:p>
        </w:tc>
        <w:tc>
          <w:tcPr>
            <w:tcW w:w="876"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9.47.4</w:t>
            </w:r>
          </w:p>
        </w:tc>
        <w:tc>
          <w:tcPr>
            <w:tcW w:w="3090"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how will the RID protection be done on TXOP sectorization? Also is the Speed Frame exchange allowed? If yes, explain how.</w:t>
            </w:r>
          </w:p>
        </w:tc>
        <w:tc>
          <w:tcPr>
            <w:tcW w:w="2155"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as in the comment</w:t>
            </w:r>
          </w:p>
        </w:tc>
        <w:tc>
          <w:tcPr>
            <w:tcW w:w="1813" w:type="dxa"/>
            <w:hideMark/>
          </w:tcPr>
          <w:p w:rsidR="00C6354A" w:rsidRDefault="00C6354A" w:rsidP="00C6354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6354A" w:rsidRPr="00C6354A" w:rsidRDefault="00C6354A" w:rsidP="001F221E">
            <w:pPr>
              <w:rPr>
                <w:rFonts w:ascii="Arial" w:eastAsia="굴림" w:hAnsi="Arial" w:cs="Arial"/>
                <w:sz w:val="20"/>
                <w:lang w:val="en-US" w:eastAsia="ko-KR"/>
              </w:rPr>
            </w:pPr>
            <w:r w:rsidRPr="00C6354A">
              <w:rPr>
                <w:rFonts w:ascii="Arial" w:eastAsia="굴림" w:hAnsi="Arial" w:cs="Arial"/>
                <w:sz w:val="20"/>
                <w:lang w:val="en-US" w:eastAsia="ko-KR"/>
              </w:rPr>
              <w:t>TGah editor to make changes shown in 11-1</w:t>
            </w:r>
            <w:r>
              <w:rPr>
                <w:rFonts w:ascii="Arial" w:eastAsia="굴림" w:hAnsi="Arial" w:cs="Arial" w:hint="eastAsia"/>
                <w:sz w:val="20"/>
                <w:lang w:val="en-US" w:eastAsia="ko-KR"/>
              </w:rPr>
              <w:t>4</w:t>
            </w:r>
            <w:r w:rsidRPr="00C6354A">
              <w:rPr>
                <w:rFonts w:ascii="Arial" w:eastAsia="굴림" w:hAnsi="Arial" w:cs="Arial"/>
                <w:sz w:val="20"/>
                <w:lang w:val="en-US" w:eastAsia="ko-KR"/>
              </w:rPr>
              <w:t>-</w:t>
            </w:r>
            <w:r w:rsidR="001F221E">
              <w:rPr>
                <w:rFonts w:ascii="Arial" w:eastAsia="굴림" w:hAnsi="Arial" w:cs="Arial" w:hint="eastAsia"/>
                <w:sz w:val="20"/>
                <w:lang w:val="en-US" w:eastAsia="ko-KR"/>
              </w:rPr>
              <w:t>0076</w:t>
            </w:r>
            <w:r w:rsidRPr="00C6354A">
              <w:rPr>
                <w:rFonts w:ascii="Arial" w:eastAsia="굴림" w:hAnsi="Arial" w:cs="Arial"/>
                <w:sz w:val="20"/>
                <w:lang w:val="en-US" w:eastAsia="ko-KR"/>
              </w:rPr>
              <w:t xml:space="preserve">r0 under the heading for CID </w:t>
            </w:r>
            <w:r>
              <w:rPr>
                <w:rFonts w:ascii="Arial" w:eastAsia="굴림" w:hAnsi="Arial" w:cs="Arial" w:hint="eastAsia"/>
                <w:sz w:val="20"/>
                <w:lang w:val="en-US" w:eastAsia="ko-KR"/>
              </w:rPr>
              <w:t>1541</w:t>
            </w:r>
          </w:p>
        </w:tc>
      </w:tr>
      <w:tr w:rsidR="00C6354A" w:rsidRPr="00C6354A" w:rsidTr="00853048">
        <w:trPr>
          <w:trHeight w:val="5239"/>
        </w:trPr>
        <w:tc>
          <w:tcPr>
            <w:tcW w:w="675"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2847</w:t>
            </w:r>
          </w:p>
        </w:tc>
        <w:tc>
          <w:tcPr>
            <w:tcW w:w="967"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199.04</w:t>
            </w:r>
          </w:p>
        </w:tc>
        <w:tc>
          <w:tcPr>
            <w:tcW w:w="876"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9.47.4</w:t>
            </w:r>
          </w:p>
        </w:tc>
        <w:tc>
          <w:tcPr>
            <w:tcW w:w="3090"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"When the protection is set up by the AP's omni-directional beam transmission for a duration within a TXOP and if the spatially orthogonal (SO) condition is confirmed by an OBSS station or OBSS AP, the OBSS station or OBSS AP can reset its NAV to initiate a new spatially orthogonal exchange starting with a nonbeamformed RTS/CTS."</w:t>
            </w:r>
            <w:r w:rsidRPr="00C6354A">
              <w:rPr>
                <w:rFonts w:ascii="Arial" w:eastAsia="굴림" w:hAnsi="Arial" w:cs="Arial"/>
                <w:sz w:val="20"/>
                <w:lang w:val="en-US" w:eastAsia="ko-KR"/>
              </w:rPr>
              <w:br/>
              <w:t>When the protection is set up by the AP's omni-directional beam transmission inside the same BSS, the resetting of the NAV triggered by the OBSS-SO condition shall not be allowed.</w:t>
            </w:r>
            <w:r w:rsidRPr="00C6354A">
              <w:rPr>
                <w:rFonts w:ascii="Arial" w:eastAsia="굴림" w:hAnsi="Arial" w:cs="Arial"/>
                <w:sz w:val="20"/>
                <w:lang w:val="en-US" w:eastAsia="ko-KR"/>
              </w:rPr>
              <w:br/>
              <w:t>Otherwise, the resetting of the NAV can make a collision inside the same BSS when the SO condition is confirmed in the same BSS.</w:t>
            </w:r>
          </w:p>
        </w:tc>
        <w:tc>
          <w:tcPr>
            <w:tcW w:w="2155"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The resetting the NAV from the SO condition shall apply only to the NAV updated from the OBSS transmission.</w:t>
            </w:r>
            <w:r w:rsidRPr="00C6354A">
              <w:rPr>
                <w:rFonts w:ascii="Arial" w:eastAsia="굴림" w:hAnsi="Arial" w:cs="Arial"/>
                <w:sz w:val="20"/>
                <w:lang w:val="en-US" w:eastAsia="ko-KR"/>
              </w:rPr>
              <w:br/>
              <w:t>On this purpose, maintaining the two NAV timer (BSS NAV and OBSS NAV) is appropriate.</w:t>
            </w:r>
            <w:r w:rsidRPr="00C6354A">
              <w:rPr>
                <w:rFonts w:ascii="Arial" w:eastAsia="굴림" w:hAnsi="Arial" w:cs="Arial"/>
                <w:sz w:val="20"/>
                <w:lang w:val="en-US" w:eastAsia="ko-KR"/>
              </w:rPr>
              <w:br/>
              <w:t>Commenter will submit a resolution.</w:t>
            </w:r>
          </w:p>
        </w:tc>
        <w:tc>
          <w:tcPr>
            <w:tcW w:w="1813" w:type="dxa"/>
            <w:hideMark/>
          </w:tcPr>
          <w:p w:rsidR="00853048" w:rsidRDefault="00853048" w:rsidP="00853048">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6354A" w:rsidRPr="00C6354A" w:rsidRDefault="00853048" w:rsidP="00CE2A72">
            <w:pPr>
              <w:rPr>
                <w:rFonts w:ascii="Arial" w:eastAsia="굴림" w:hAnsi="Arial" w:cs="Arial"/>
                <w:sz w:val="20"/>
                <w:lang w:val="en-US" w:eastAsia="ko-KR"/>
              </w:rPr>
            </w:pPr>
            <w:r w:rsidRPr="00C6354A">
              <w:rPr>
                <w:rFonts w:ascii="Arial" w:eastAsia="굴림" w:hAnsi="Arial" w:cs="Arial"/>
                <w:sz w:val="20"/>
                <w:lang w:val="en-US" w:eastAsia="ko-KR"/>
              </w:rPr>
              <w:t>TGah editor to make changes shown in 11-1</w:t>
            </w:r>
            <w:r>
              <w:rPr>
                <w:rFonts w:ascii="Arial" w:eastAsia="굴림" w:hAnsi="Arial" w:cs="Arial" w:hint="eastAsia"/>
                <w:sz w:val="20"/>
                <w:lang w:val="en-US" w:eastAsia="ko-KR"/>
              </w:rPr>
              <w:t>4</w:t>
            </w:r>
            <w:r w:rsidRPr="00C6354A">
              <w:rPr>
                <w:rFonts w:ascii="Arial" w:eastAsia="굴림" w:hAnsi="Arial" w:cs="Arial"/>
                <w:sz w:val="20"/>
                <w:lang w:val="en-US" w:eastAsia="ko-KR"/>
              </w:rPr>
              <w:t>-</w:t>
            </w:r>
            <w:r w:rsidR="001F221E">
              <w:rPr>
                <w:rFonts w:ascii="Arial" w:eastAsia="굴림" w:hAnsi="Arial" w:cs="Arial" w:hint="eastAsia"/>
                <w:sz w:val="20"/>
                <w:lang w:val="en-US" w:eastAsia="ko-KR"/>
              </w:rPr>
              <w:t>0076</w:t>
            </w:r>
            <w:r w:rsidRPr="00C6354A">
              <w:rPr>
                <w:rFonts w:ascii="Arial" w:eastAsia="굴림" w:hAnsi="Arial" w:cs="Arial"/>
                <w:sz w:val="20"/>
                <w:lang w:val="en-US" w:eastAsia="ko-KR"/>
              </w:rPr>
              <w:t xml:space="preserve">r0 under the heading for CID </w:t>
            </w:r>
            <w:r>
              <w:rPr>
                <w:rFonts w:ascii="Arial" w:eastAsia="굴림" w:hAnsi="Arial" w:cs="Arial" w:hint="eastAsia"/>
                <w:sz w:val="20"/>
                <w:lang w:val="en-US" w:eastAsia="ko-KR"/>
              </w:rPr>
              <w:t xml:space="preserve"> 2847</w:t>
            </w:r>
          </w:p>
        </w:tc>
      </w:tr>
      <w:tr w:rsidR="00C6354A" w:rsidRPr="00C6354A" w:rsidTr="00C6354A">
        <w:trPr>
          <w:trHeight w:val="1785"/>
        </w:trPr>
        <w:tc>
          <w:tcPr>
            <w:tcW w:w="675"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2848</w:t>
            </w:r>
          </w:p>
        </w:tc>
        <w:tc>
          <w:tcPr>
            <w:tcW w:w="967"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202.31</w:t>
            </w:r>
          </w:p>
        </w:tc>
        <w:tc>
          <w:tcPr>
            <w:tcW w:w="876"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9.47.4</w:t>
            </w:r>
          </w:p>
        </w:tc>
        <w:tc>
          <w:tcPr>
            <w:tcW w:w="3090"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The RXVECTOR parameter COLOR can be utilized to detect the SO condition because it can classify the frame type between the same BSS transmission and OBSS transmission.</w:t>
            </w:r>
          </w:p>
        </w:tc>
        <w:tc>
          <w:tcPr>
            <w:tcW w:w="2155"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Add how to satisfy the SO condition through the RX VECTOR parameter COLOR.</w:t>
            </w:r>
            <w:r w:rsidRPr="00C6354A">
              <w:rPr>
                <w:rFonts w:ascii="Arial" w:eastAsia="굴림" w:hAnsi="Arial" w:cs="Arial"/>
                <w:sz w:val="20"/>
                <w:lang w:val="en-US" w:eastAsia="ko-KR"/>
              </w:rPr>
              <w:br/>
              <w:t>Commenter will submit a resolution.</w:t>
            </w:r>
          </w:p>
        </w:tc>
        <w:tc>
          <w:tcPr>
            <w:tcW w:w="1813" w:type="dxa"/>
            <w:hideMark/>
          </w:tcPr>
          <w:p w:rsidR="00853048" w:rsidRDefault="00853048" w:rsidP="00853048">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6354A" w:rsidRPr="00C6354A" w:rsidRDefault="00853048" w:rsidP="00CE2A72">
            <w:pPr>
              <w:rPr>
                <w:rFonts w:ascii="Arial" w:eastAsia="굴림" w:hAnsi="Arial" w:cs="Arial"/>
                <w:sz w:val="20"/>
                <w:lang w:val="en-US" w:eastAsia="ko-KR"/>
              </w:rPr>
            </w:pPr>
            <w:r w:rsidRPr="00C6354A">
              <w:rPr>
                <w:rFonts w:ascii="Arial" w:eastAsia="굴림" w:hAnsi="Arial" w:cs="Arial"/>
                <w:sz w:val="20"/>
                <w:lang w:val="en-US" w:eastAsia="ko-KR"/>
              </w:rPr>
              <w:t>TGah editor to make changes shown in 11-1</w:t>
            </w:r>
            <w:r>
              <w:rPr>
                <w:rFonts w:ascii="Arial" w:eastAsia="굴림" w:hAnsi="Arial" w:cs="Arial" w:hint="eastAsia"/>
                <w:sz w:val="20"/>
                <w:lang w:val="en-US" w:eastAsia="ko-KR"/>
              </w:rPr>
              <w:t>4</w:t>
            </w:r>
            <w:r w:rsidRPr="00C6354A">
              <w:rPr>
                <w:rFonts w:ascii="Arial" w:eastAsia="굴림" w:hAnsi="Arial" w:cs="Arial"/>
                <w:sz w:val="20"/>
                <w:lang w:val="en-US" w:eastAsia="ko-KR"/>
              </w:rPr>
              <w:t>-</w:t>
            </w:r>
            <w:r w:rsidR="001F221E">
              <w:rPr>
                <w:rFonts w:ascii="Arial" w:eastAsia="굴림" w:hAnsi="Arial" w:cs="Arial" w:hint="eastAsia"/>
                <w:sz w:val="20"/>
                <w:lang w:val="en-US" w:eastAsia="ko-KR"/>
              </w:rPr>
              <w:t>0076</w:t>
            </w:r>
            <w:r w:rsidRPr="00C6354A">
              <w:rPr>
                <w:rFonts w:ascii="Arial" w:eastAsia="굴림" w:hAnsi="Arial" w:cs="Arial"/>
                <w:sz w:val="20"/>
                <w:lang w:val="en-US" w:eastAsia="ko-KR"/>
              </w:rPr>
              <w:t xml:space="preserve">r0 under the heading for CID </w:t>
            </w:r>
            <w:r>
              <w:rPr>
                <w:rFonts w:ascii="Arial" w:eastAsia="굴림" w:hAnsi="Arial" w:cs="Arial" w:hint="eastAsia"/>
                <w:sz w:val="20"/>
                <w:lang w:val="en-US" w:eastAsia="ko-KR"/>
              </w:rPr>
              <w:t>2848</w:t>
            </w:r>
          </w:p>
        </w:tc>
      </w:tr>
      <w:tr w:rsidR="00BF13FF" w:rsidRPr="00763001" w:rsidTr="00BF13FF">
        <w:trPr>
          <w:trHeight w:val="2356"/>
        </w:trPr>
        <w:tc>
          <w:tcPr>
            <w:tcW w:w="675" w:type="dxa"/>
            <w:hideMark/>
          </w:tcPr>
          <w:p w:rsidR="00BF13FF" w:rsidRPr="00C6354A" w:rsidRDefault="00BF13FF" w:rsidP="00DF2C2B">
            <w:pPr>
              <w:rPr>
                <w:rFonts w:ascii="Arial" w:eastAsia="굴림" w:hAnsi="Arial" w:cs="Arial"/>
                <w:sz w:val="20"/>
                <w:lang w:val="en-US" w:eastAsia="ko-KR"/>
              </w:rPr>
            </w:pPr>
            <w:r w:rsidRPr="00C6354A">
              <w:rPr>
                <w:rFonts w:ascii="Arial" w:eastAsia="굴림" w:hAnsi="Arial" w:cs="Arial"/>
                <w:sz w:val="20"/>
                <w:lang w:val="en-US" w:eastAsia="ko-KR"/>
              </w:rPr>
              <w:lastRenderedPageBreak/>
              <w:t>2129</w:t>
            </w:r>
          </w:p>
        </w:tc>
        <w:tc>
          <w:tcPr>
            <w:tcW w:w="967" w:type="dxa"/>
            <w:hideMark/>
          </w:tcPr>
          <w:p w:rsidR="00BF13FF" w:rsidRPr="00C6354A" w:rsidRDefault="00BF13FF" w:rsidP="00DF2C2B">
            <w:pPr>
              <w:rPr>
                <w:rFonts w:ascii="Arial" w:eastAsia="굴림" w:hAnsi="Arial" w:cs="Arial"/>
                <w:sz w:val="20"/>
                <w:lang w:val="en-US" w:eastAsia="ko-KR"/>
              </w:rPr>
            </w:pPr>
            <w:r w:rsidRPr="00C6354A">
              <w:rPr>
                <w:rFonts w:ascii="Arial" w:eastAsia="굴림" w:hAnsi="Arial" w:cs="Arial"/>
                <w:sz w:val="20"/>
                <w:lang w:val="en-US" w:eastAsia="ko-KR"/>
              </w:rPr>
              <w:t>199.07</w:t>
            </w:r>
          </w:p>
        </w:tc>
        <w:tc>
          <w:tcPr>
            <w:tcW w:w="876" w:type="dxa"/>
            <w:hideMark/>
          </w:tcPr>
          <w:p w:rsidR="00BF13FF" w:rsidRPr="00C6354A" w:rsidRDefault="00BF13FF" w:rsidP="00DF2C2B">
            <w:pPr>
              <w:rPr>
                <w:rFonts w:ascii="Arial" w:eastAsia="굴림" w:hAnsi="Arial" w:cs="Arial"/>
                <w:sz w:val="20"/>
                <w:lang w:val="en-US" w:eastAsia="ko-KR"/>
              </w:rPr>
            </w:pPr>
            <w:r w:rsidRPr="00C6354A">
              <w:rPr>
                <w:rFonts w:ascii="Arial" w:eastAsia="굴림" w:hAnsi="Arial" w:cs="Arial"/>
                <w:sz w:val="20"/>
                <w:lang w:val="en-US" w:eastAsia="ko-KR"/>
              </w:rPr>
              <w:t>9.47.4</w:t>
            </w:r>
          </w:p>
        </w:tc>
        <w:tc>
          <w:tcPr>
            <w:tcW w:w="3090" w:type="dxa"/>
            <w:hideMark/>
          </w:tcPr>
          <w:p w:rsidR="00BF13FF" w:rsidRPr="00C6354A" w:rsidRDefault="00BF13FF" w:rsidP="00DF2C2B">
            <w:pPr>
              <w:rPr>
                <w:rFonts w:ascii="Arial" w:eastAsia="굴림" w:hAnsi="Arial" w:cs="Arial"/>
                <w:sz w:val="20"/>
                <w:lang w:val="en-US" w:eastAsia="ko-KR"/>
              </w:rPr>
            </w:pPr>
            <w:r w:rsidRPr="00C6354A">
              <w:rPr>
                <w:rFonts w:ascii="Arial" w:eastAsia="굴림" w:hAnsi="Arial" w:cs="Arial"/>
                <w:sz w:val="20"/>
                <w:lang w:val="en-US" w:eastAsia="ko-KR"/>
              </w:rPr>
              <w:t xml:space="preserve">The detail </w:t>
            </w:r>
            <w:proofErr w:type="gramStart"/>
            <w:r w:rsidRPr="00C6354A">
              <w:rPr>
                <w:rFonts w:ascii="Arial" w:eastAsia="굴림" w:hAnsi="Arial" w:cs="Arial"/>
                <w:sz w:val="20"/>
                <w:lang w:val="en-US" w:eastAsia="ko-KR"/>
              </w:rPr>
              <w:t>rules for spatial re-use for OBSS AP/STA is</w:t>
            </w:r>
            <w:proofErr w:type="gramEnd"/>
            <w:r w:rsidRPr="00C6354A">
              <w:rPr>
                <w:rFonts w:ascii="Arial" w:eastAsia="굴림" w:hAnsi="Arial" w:cs="Arial"/>
                <w:sz w:val="20"/>
                <w:lang w:val="en-US" w:eastAsia="ko-KR"/>
              </w:rPr>
              <w:t xml:space="preserve"> missing. If an OBSS STA/AP's frame exchange lasts beyond the protected BF duration, it will cause unfairness to STAs that support TXOP spatial re-use. The </w:t>
            </w:r>
            <w:proofErr w:type="spellStart"/>
            <w:r w:rsidRPr="00C6354A">
              <w:rPr>
                <w:rFonts w:ascii="Arial" w:eastAsia="굴림" w:hAnsi="Arial" w:cs="Arial"/>
                <w:sz w:val="20"/>
                <w:lang w:val="en-US" w:eastAsia="ko-KR"/>
              </w:rPr>
              <w:t>backoff</w:t>
            </w:r>
            <w:proofErr w:type="spellEnd"/>
            <w:r w:rsidRPr="00C6354A">
              <w:rPr>
                <w:rFonts w:ascii="Arial" w:eastAsia="굴림" w:hAnsi="Arial" w:cs="Arial"/>
                <w:sz w:val="20"/>
                <w:lang w:val="en-US" w:eastAsia="ko-KR"/>
              </w:rPr>
              <w:t xml:space="preserve"> procedure of OBSS STA/AP in protected BF duration should be </w:t>
            </w:r>
            <w:proofErr w:type="gramStart"/>
            <w:r w:rsidRPr="00C6354A">
              <w:rPr>
                <w:rFonts w:ascii="Arial" w:eastAsia="굴림" w:hAnsi="Arial" w:cs="Arial"/>
                <w:sz w:val="20"/>
                <w:lang w:val="en-US" w:eastAsia="ko-KR"/>
              </w:rPr>
              <w:t>defined.?</w:t>
            </w:r>
            <w:proofErr w:type="gramEnd"/>
          </w:p>
        </w:tc>
        <w:tc>
          <w:tcPr>
            <w:tcW w:w="2155" w:type="dxa"/>
            <w:hideMark/>
          </w:tcPr>
          <w:p w:rsidR="00BF13FF" w:rsidRPr="00C6354A" w:rsidRDefault="00BF13FF" w:rsidP="00DF2C2B">
            <w:pPr>
              <w:rPr>
                <w:rFonts w:ascii="Arial" w:eastAsia="굴림" w:hAnsi="Arial" w:cs="Arial"/>
                <w:sz w:val="20"/>
                <w:lang w:val="en-US" w:eastAsia="ko-KR"/>
              </w:rPr>
            </w:pPr>
            <w:r w:rsidRPr="00C6354A">
              <w:rPr>
                <w:rFonts w:ascii="Arial" w:eastAsia="굴림" w:hAnsi="Arial" w:cs="Arial"/>
                <w:sz w:val="20"/>
                <w:lang w:val="en-US" w:eastAsia="ko-KR"/>
              </w:rPr>
              <w:t>Detailed rules will be offered within a comment resolution.</w:t>
            </w:r>
          </w:p>
        </w:tc>
        <w:tc>
          <w:tcPr>
            <w:tcW w:w="1813" w:type="dxa"/>
            <w:hideMark/>
          </w:tcPr>
          <w:p w:rsidR="00BF13FF" w:rsidRDefault="00BF13FF" w:rsidP="00DF2C2B">
            <w:pPr>
              <w:rPr>
                <w:rFonts w:ascii="Arial" w:hAnsi="Arial" w:cs="Arial"/>
                <w:sz w:val="20"/>
                <w:lang w:val="en-US" w:eastAsia="ko-KR"/>
              </w:rPr>
            </w:pPr>
            <w:r>
              <w:rPr>
                <w:rFonts w:ascii="Arial" w:eastAsia="굴림" w:hAnsi="Arial" w:cs="Arial" w:hint="eastAsia"/>
                <w:sz w:val="20"/>
                <w:lang w:val="en-US" w:eastAsia="ko-KR"/>
              </w:rPr>
              <w:t>Revised-</w:t>
            </w:r>
            <w:r>
              <w:rPr>
                <w:rFonts w:ascii="Arial" w:hAnsi="Arial" w:cs="Arial" w:hint="eastAsia"/>
                <w:sz w:val="20"/>
                <w:lang w:val="en-US" w:eastAsia="ko-KR"/>
              </w:rPr>
              <w:t xml:space="preserve"> </w:t>
            </w:r>
          </w:p>
          <w:p w:rsidR="00BF13FF" w:rsidRDefault="00BF13FF" w:rsidP="00DF2C2B">
            <w:pPr>
              <w:rPr>
                <w:rFonts w:ascii="Arial" w:hAnsi="Arial" w:cs="Arial"/>
                <w:sz w:val="20"/>
                <w:lang w:val="en-US" w:eastAsia="ko-KR"/>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1F221E">
              <w:rPr>
                <w:rFonts w:ascii="Arial" w:hAnsi="Arial" w:cs="Arial" w:hint="eastAsia"/>
                <w:sz w:val="20"/>
                <w:lang w:val="en-US" w:eastAsia="ko-KR"/>
              </w:rPr>
              <w:t>0076</w:t>
            </w:r>
            <w:r w:rsidRPr="00857F13">
              <w:rPr>
                <w:rFonts w:ascii="Arial" w:hAnsi="Arial" w:cs="Arial"/>
                <w:sz w:val="20"/>
                <w:lang w:val="en-US" w:eastAsia="ko-KR"/>
              </w:rPr>
              <w:t>r0 under the heading for CID 2129</w:t>
            </w:r>
          </w:p>
          <w:p w:rsidR="00BF13FF" w:rsidRPr="00763001" w:rsidRDefault="00BF13FF" w:rsidP="00DF2C2B">
            <w:pPr>
              <w:rPr>
                <w:rFonts w:ascii="Arial" w:eastAsia="굴림" w:hAnsi="Arial" w:cs="Arial"/>
                <w:sz w:val="20"/>
                <w:lang w:val="en-US" w:eastAsia="ko-KR"/>
              </w:rPr>
            </w:pPr>
          </w:p>
        </w:tc>
      </w:tr>
    </w:tbl>
    <w:p w:rsidR="00C151D0" w:rsidRPr="00BF5553" w:rsidRDefault="00C151D0" w:rsidP="00F2637D">
      <w:pPr>
        <w:rPr>
          <w:b/>
          <w:bCs/>
          <w:i/>
          <w:iCs/>
          <w:lang w:val="en-US" w:eastAsia="ko-KR"/>
        </w:rPr>
      </w:pPr>
    </w:p>
    <w:p w:rsidR="005A4504" w:rsidRPr="00F0664C" w:rsidRDefault="005A4504" w:rsidP="005A4504">
      <w:pPr>
        <w:rPr>
          <w:b/>
          <w:szCs w:val="22"/>
          <w:u w:val="single"/>
        </w:rPr>
      </w:pPr>
      <w:r w:rsidRPr="00F0664C">
        <w:rPr>
          <w:b/>
          <w:szCs w:val="22"/>
          <w:u w:val="single"/>
        </w:rPr>
        <w:t xml:space="preserve">CID </w:t>
      </w:r>
      <w:r w:rsidR="00853048" w:rsidRPr="00853048">
        <w:rPr>
          <w:b/>
          <w:szCs w:val="22"/>
          <w:u w:val="single"/>
        </w:rPr>
        <w:t>1541</w:t>
      </w:r>
    </w:p>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p>
    <w:p w:rsidR="00832700" w:rsidRDefault="00832700" w:rsidP="005A4504">
      <w:pPr>
        <w:rPr>
          <w:lang w:eastAsia="ko-KR"/>
        </w:rPr>
      </w:pPr>
    </w:p>
    <w:p w:rsidR="00542ABB" w:rsidRDefault="00B677B3" w:rsidP="005A4504">
      <w:pPr>
        <w:rPr>
          <w:lang w:eastAsia="ko-KR"/>
        </w:rPr>
      </w:pPr>
      <w:r w:rsidRPr="00B677B3">
        <w:rPr>
          <w:lang w:eastAsia="ko-KR"/>
        </w:rPr>
        <w:t xml:space="preserve">Regarding CID 1541, when the SO condition is met, the RID should be also reset in order to allow simultaneous transmissions. And, it does not have any restriction about a Speed Frame (SF) exchange. Because a responding STA of a SF exchange does not make any inference according to the </w:t>
      </w:r>
      <w:proofErr w:type="spellStart"/>
      <w:r w:rsidRPr="00B677B3">
        <w:rPr>
          <w:lang w:eastAsia="ko-KR"/>
        </w:rPr>
        <w:t>the</w:t>
      </w:r>
      <w:proofErr w:type="spellEnd"/>
      <w:r w:rsidRPr="00B677B3">
        <w:rPr>
          <w:lang w:eastAsia="ko-KR"/>
        </w:rPr>
        <w:t xml:space="preserve"> following highlighted rule.</w:t>
      </w:r>
    </w:p>
    <w:p w:rsidR="00542ABB" w:rsidRPr="00B677B3" w:rsidRDefault="00542ABB" w:rsidP="005A4504">
      <w:pPr>
        <w:rPr>
          <w:szCs w:val="22"/>
          <w:lang w:eastAsia="ko-KR"/>
        </w:rPr>
      </w:pPr>
    </w:p>
    <w:p w:rsidR="00B677B3" w:rsidRPr="001132F1" w:rsidRDefault="00B677B3" w:rsidP="00C6177D">
      <w:pPr>
        <w:widowControl w:val="0"/>
        <w:autoSpaceDE w:val="0"/>
        <w:autoSpaceDN w:val="0"/>
        <w:adjustRightInd w:val="0"/>
        <w:rPr>
          <w:szCs w:val="22"/>
          <w:lang w:eastAsia="ko-KR"/>
        </w:rPr>
      </w:pPr>
      <w:r w:rsidRPr="00C6177D">
        <w:rPr>
          <w:szCs w:val="22"/>
          <w:lang w:val="en-US" w:eastAsia="ko-KR"/>
        </w:rPr>
        <w:t xml:space="preserve">“Note that an OBSS station or OBSS AP infers its spatial </w:t>
      </w:r>
      <w:proofErr w:type="spellStart"/>
      <w:r w:rsidRPr="00C6177D">
        <w:rPr>
          <w:szCs w:val="22"/>
          <w:lang w:val="en-US" w:eastAsia="ko-KR"/>
        </w:rPr>
        <w:t>orthogonality</w:t>
      </w:r>
      <w:proofErr w:type="spellEnd"/>
      <w:r w:rsidRPr="00C6177D">
        <w:rPr>
          <w:szCs w:val="22"/>
          <w:lang w:val="en-US" w:eastAsia="ko-KR"/>
        </w:rPr>
        <w:t xml:space="preserve"> with the AP by observing the first </w:t>
      </w:r>
      <w:proofErr w:type="spellStart"/>
      <w:r w:rsidRPr="00C6177D">
        <w:rPr>
          <w:szCs w:val="22"/>
          <w:lang w:val="en-US" w:eastAsia="ko-KR"/>
        </w:rPr>
        <w:t>omni</w:t>
      </w:r>
      <w:proofErr w:type="spellEnd"/>
      <w:r w:rsidRPr="00C6177D">
        <w:rPr>
          <w:szCs w:val="22"/>
          <w:lang w:val="en-US" w:eastAsia="ko-KR"/>
        </w:rPr>
        <w:t xml:space="preserve">-beam packet and the </w:t>
      </w:r>
      <w:proofErr w:type="spellStart"/>
      <w:r w:rsidRPr="00C6177D">
        <w:rPr>
          <w:szCs w:val="22"/>
          <w:lang w:val="en-US" w:eastAsia="ko-KR"/>
        </w:rPr>
        <w:t>omni</w:t>
      </w:r>
      <w:proofErr w:type="spellEnd"/>
      <w:r w:rsidRPr="00C6177D">
        <w:rPr>
          <w:szCs w:val="22"/>
          <w:lang w:val="en-US" w:eastAsia="ko-KR"/>
        </w:rPr>
        <w:t xml:space="preserve">-preamble of the long preamble but not observing the subsequent </w:t>
      </w:r>
      <w:proofErr w:type="spellStart"/>
      <w:r w:rsidRPr="00C6177D">
        <w:rPr>
          <w:szCs w:val="22"/>
          <w:lang w:val="en-US" w:eastAsia="ko-KR"/>
        </w:rPr>
        <w:t>sectorized</w:t>
      </w:r>
      <w:proofErr w:type="spellEnd"/>
      <w:r w:rsidRPr="00C6177D">
        <w:rPr>
          <w:szCs w:val="22"/>
          <w:lang w:val="en-US" w:eastAsia="ko-KR"/>
        </w:rPr>
        <w:t xml:space="preserve"> beam transmission and with the station </w:t>
      </w:r>
      <w:r w:rsidRPr="00BA37CA">
        <w:rPr>
          <w:szCs w:val="22"/>
          <w:lang w:val="en-US" w:eastAsia="ko-KR"/>
        </w:rPr>
        <w:t xml:space="preserve">by observing a gap of no transmission between the first </w:t>
      </w:r>
      <w:proofErr w:type="spellStart"/>
      <w:r w:rsidRPr="00BA37CA">
        <w:rPr>
          <w:szCs w:val="22"/>
          <w:lang w:val="en-US" w:eastAsia="ko-KR"/>
        </w:rPr>
        <w:t>omni</w:t>
      </w:r>
      <w:proofErr w:type="spellEnd"/>
      <w:r w:rsidRPr="00BA37CA">
        <w:rPr>
          <w:szCs w:val="22"/>
          <w:lang w:val="en-US" w:eastAsia="ko-KR"/>
        </w:rPr>
        <w:t xml:space="preserve">-beam packet and the </w:t>
      </w:r>
      <w:proofErr w:type="spellStart"/>
      <w:r w:rsidRPr="00BA37CA">
        <w:rPr>
          <w:szCs w:val="22"/>
          <w:lang w:val="en-US" w:eastAsia="ko-KR"/>
        </w:rPr>
        <w:t>omni</w:t>
      </w:r>
      <w:proofErr w:type="spellEnd"/>
      <w:r w:rsidRPr="00BA37CA">
        <w:rPr>
          <w:szCs w:val="22"/>
          <w:lang w:val="en-US" w:eastAsia="ko-KR"/>
        </w:rPr>
        <w:t>-preamble of the long preamble.”</w:t>
      </w:r>
    </w:p>
    <w:p w:rsidR="00B677B3" w:rsidRDefault="00B677B3" w:rsidP="005A4504">
      <w:pPr>
        <w:rPr>
          <w:szCs w:val="22"/>
          <w:lang w:eastAsia="ko-KR"/>
        </w:rPr>
      </w:pPr>
    </w:p>
    <w:p w:rsidR="00B677B3" w:rsidRDefault="00B677B3" w:rsidP="005A4504">
      <w:pPr>
        <w:rPr>
          <w:szCs w:val="22"/>
          <w:lang w:eastAsia="ko-KR"/>
        </w:rPr>
      </w:pPr>
      <w:r>
        <w:rPr>
          <w:rFonts w:hint="eastAsia"/>
          <w:b/>
          <w:szCs w:val="22"/>
          <w:u w:val="single"/>
          <w:lang w:eastAsia="ko-KR"/>
        </w:rPr>
        <w:t>CID</w:t>
      </w:r>
      <w:r w:rsidRPr="00853048">
        <w:rPr>
          <w:b/>
          <w:szCs w:val="22"/>
          <w:u w:val="single"/>
        </w:rPr>
        <w:t xml:space="preserve"> 2847</w:t>
      </w:r>
    </w:p>
    <w:p w:rsidR="00B677B3" w:rsidRDefault="00B677B3" w:rsidP="005A4504">
      <w:pPr>
        <w:rPr>
          <w:szCs w:val="22"/>
          <w:lang w:eastAsia="ko-KR"/>
        </w:rPr>
      </w:pPr>
    </w:p>
    <w:p w:rsidR="006013F2" w:rsidRPr="00F0664C" w:rsidRDefault="006013F2" w:rsidP="006013F2">
      <w:pPr>
        <w:rPr>
          <w:b/>
          <w:u w:val="single"/>
          <w:lang w:eastAsia="ko-KR"/>
        </w:rPr>
      </w:pPr>
      <w:r w:rsidRPr="00F0664C">
        <w:rPr>
          <w:b/>
          <w:u w:val="single"/>
        </w:rPr>
        <w:t>Discussion:</w:t>
      </w:r>
    </w:p>
    <w:p w:rsidR="006013F2" w:rsidRPr="00B677B3" w:rsidRDefault="006013F2" w:rsidP="005A4504">
      <w:pPr>
        <w:rPr>
          <w:szCs w:val="22"/>
          <w:lang w:eastAsia="ko-KR"/>
        </w:rPr>
      </w:pPr>
    </w:p>
    <w:p w:rsidR="00535BBB" w:rsidRDefault="00A12431" w:rsidP="00A12431">
      <w:pPr>
        <w:rPr>
          <w:lang w:eastAsia="ko-KR"/>
        </w:rPr>
      </w:pPr>
      <w:r>
        <w:rPr>
          <w:lang w:eastAsia="ko-KR"/>
        </w:rPr>
        <w:t>Regarding the NAV resetting of the TXOP-based sectorization operation, the problem is the TXOP-based sectorization operation shall not be allowed when the NAV of the OBSS STA is already set to a non-zero value.</w:t>
      </w:r>
      <w:r>
        <w:rPr>
          <w:rFonts w:hint="eastAsia"/>
          <w:lang w:eastAsia="ko-KR"/>
        </w:rPr>
        <w:t xml:space="preserve"> </w:t>
      </w:r>
    </w:p>
    <w:p w:rsidR="00A12431" w:rsidRDefault="00535BBB" w:rsidP="00A12431">
      <w:pPr>
        <w:rPr>
          <w:lang w:eastAsia="ko-KR"/>
        </w:rPr>
      </w:pPr>
      <w:r w:rsidRPr="00535BBB">
        <w:rPr>
          <w:lang w:eastAsia="ko-KR"/>
        </w:rPr>
        <w:t>The following figure shows an example. In the figure, STA2 sets the NAV after overhearing CTS frame transmitted from AP1. Then, STA2 receives a CTS frame with the early sector indicator set to 1. When the SO condition of STA2 is met, current procedure defined Draft 1.0 is saying that it can reset its NAV. However, as shown in the following, if the NAV of STA2 is reset and STA2 immediately accesses the medium, it can make a collision with transmission of STA1.</w:t>
      </w:r>
    </w:p>
    <w:p w:rsidR="00A12431" w:rsidRPr="00A12431" w:rsidRDefault="00A12431" w:rsidP="00A12431">
      <w:pPr>
        <w:rPr>
          <w:lang w:eastAsia="ko-KR"/>
        </w:rPr>
      </w:pPr>
    </w:p>
    <w:p w:rsidR="00B83960" w:rsidRDefault="00591EC7" w:rsidP="00591EC7">
      <w:pPr>
        <w:rPr>
          <w:b/>
          <w:lang w:eastAsia="ko-KR"/>
        </w:rPr>
      </w:pPr>
      <w:r>
        <w:object w:dxaOrig="10892" w:dyaOrig="4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38.6pt" o:ole="">
            <v:imagedata r:id="rId11" o:title=""/>
          </v:shape>
          <o:OLEObject Type="Embed" ProgID="Visio.Drawing.11" ShapeID="_x0000_i1025" DrawAspect="Content" ObjectID="_1451557912" r:id="rId12"/>
        </w:object>
      </w:r>
    </w:p>
    <w:p w:rsidR="00535BBB" w:rsidRPr="00535BBB" w:rsidRDefault="00535BBB" w:rsidP="005A4504">
      <w:pPr>
        <w:rPr>
          <w:lang w:eastAsia="ko-KR"/>
        </w:rPr>
      </w:pPr>
    </w:p>
    <w:p w:rsidR="00535BBB" w:rsidRDefault="00636A0A" w:rsidP="005A4504">
      <w:pPr>
        <w:rPr>
          <w:lang w:eastAsia="ko-KR"/>
        </w:rPr>
      </w:pPr>
      <w:r w:rsidRPr="00636A0A">
        <w:rPr>
          <w:lang w:eastAsia="ko-KR"/>
        </w:rPr>
        <w:t xml:space="preserve">When the NAV has been updated from the same BSS transmission, the resetting the NAV </w:t>
      </w:r>
      <w:r>
        <w:rPr>
          <w:rFonts w:hint="eastAsia"/>
          <w:lang w:eastAsia="ko-KR"/>
        </w:rPr>
        <w:t xml:space="preserve">from the SO condition </w:t>
      </w:r>
      <w:r w:rsidRPr="00636A0A">
        <w:rPr>
          <w:lang w:eastAsia="ko-KR"/>
        </w:rPr>
        <w:t>sh</w:t>
      </w:r>
      <w:r>
        <w:rPr>
          <w:rFonts w:hint="eastAsia"/>
          <w:lang w:eastAsia="ko-KR"/>
        </w:rPr>
        <w:t xml:space="preserve">ould </w:t>
      </w:r>
      <w:r w:rsidRPr="00636A0A">
        <w:rPr>
          <w:lang w:eastAsia="ko-KR"/>
        </w:rPr>
        <w:t>not be allowed.</w:t>
      </w:r>
    </w:p>
    <w:p w:rsidR="00D96975" w:rsidRDefault="00D96975" w:rsidP="005A4504">
      <w:pPr>
        <w:rPr>
          <w:lang w:eastAsia="ko-KR"/>
        </w:rPr>
      </w:pPr>
    </w:p>
    <w:p w:rsidR="006013F2" w:rsidRDefault="006013F2" w:rsidP="005A4504">
      <w:pPr>
        <w:rPr>
          <w:lang w:eastAsia="ko-KR"/>
        </w:rPr>
      </w:pPr>
      <w:r>
        <w:rPr>
          <w:rFonts w:hint="eastAsia"/>
          <w:b/>
          <w:szCs w:val="22"/>
          <w:u w:val="single"/>
          <w:lang w:eastAsia="ko-KR"/>
        </w:rPr>
        <w:t>CID</w:t>
      </w:r>
      <w:r w:rsidRPr="00853048">
        <w:rPr>
          <w:b/>
          <w:szCs w:val="22"/>
          <w:u w:val="single"/>
        </w:rPr>
        <w:t xml:space="preserve"> 2848</w:t>
      </w:r>
    </w:p>
    <w:p w:rsidR="00926368" w:rsidRDefault="00926368" w:rsidP="005A4504">
      <w:pPr>
        <w:rPr>
          <w:lang w:eastAsia="ko-KR"/>
        </w:rPr>
      </w:pPr>
      <w:r>
        <w:rPr>
          <w:rFonts w:hint="eastAsia"/>
          <w:lang w:eastAsia="ko-KR"/>
        </w:rPr>
        <w:lastRenderedPageBreak/>
        <w:t xml:space="preserve">When a PSDU is transmitted in </w:t>
      </w:r>
      <w:proofErr w:type="spellStart"/>
      <w:r w:rsidRPr="00926368">
        <w:rPr>
          <w:lang w:eastAsia="ko-KR"/>
        </w:rPr>
        <w:t>Sectorized</w:t>
      </w:r>
      <w:proofErr w:type="spellEnd"/>
      <w:r w:rsidRPr="00926368">
        <w:rPr>
          <w:lang w:eastAsia="ko-KR"/>
        </w:rPr>
        <w:t xml:space="preserve"> Beam</w:t>
      </w:r>
      <w:r>
        <w:rPr>
          <w:rFonts w:hint="eastAsia"/>
          <w:lang w:eastAsia="ko-KR"/>
        </w:rPr>
        <w:t xml:space="preserve">, the STA </w:t>
      </w:r>
      <w:proofErr w:type="spellStart"/>
      <w:r>
        <w:rPr>
          <w:rFonts w:hint="eastAsia"/>
          <w:lang w:eastAsia="ko-KR"/>
        </w:rPr>
        <w:t>can not</w:t>
      </w:r>
      <w:proofErr w:type="spellEnd"/>
      <w:r>
        <w:rPr>
          <w:rFonts w:hint="eastAsia"/>
          <w:lang w:eastAsia="ko-KR"/>
        </w:rPr>
        <w:t xml:space="preserve"> listen to the MAC header of the </w:t>
      </w:r>
      <w:proofErr w:type="spellStart"/>
      <w:r w:rsidRPr="00926368">
        <w:rPr>
          <w:lang w:eastAsia="ko-KR"/>
        </w:rPr>
        <w:t>sectorized</w:t>
      </w:r>
      <w:proofErr w:type="spellEnd"/>
      <w:r w:rsidRPr="00926368">
        <w:rPr>
          <w:lang w:eastAsia="ko-KR"/>
        </w:rPr>
        <w:t xml:space="preserve"> beam transmission</w:t>
      </w:r>
      <w:r>
        <w:rPr>
          <w:rFonts w:hint="eastAsia"/>
          <w:lang w:eastAsia="ko-KR"/>
        </w:rPr>
        <w:t xml:space="preserve">. So, it is hard to </w:t>
      </w:r>
      <w:r>
        <w:rPr>
          <w:lang w:eastAsia="ko-KR"/>
        </w:rPr>
        <w:t>confirm</w:t>
      </w:r>
      <w:r>
        <w:rPr>
          <w:rFonts w:hint="eastAsia"/>
          <w:lang w:eastAsia="ko-KR"/>
        </w:rPr>
        <w:t xml:space="preserve"> that the PPDU corresponds to the OBSS transmission. In that case, the RXVECTOR parameter COLOR is useful to classify the OBSS transmission. </w:t>
      </w:r>
    </w:p>
    <w:p w:rsidR="006013F2" w:rsidRDefault="006013F2" w:rsidP="005A4504">
      <w:pPr>
        <w:rPr>
          <w:b/>
          <w:lang w:eastAsia="ko-KR"/>
        </w:rPr>
      </w:pPr>
    </w:p>
    <w:p w:rsidR="00BF13FF" w:rsidRPr="00F0664C" w:rsidRDefault="00BF13FF" w:rsidP="00BF13FF">
      <w:pPr>
        <w:rPr>
          <w:b/>
          <w:szCs w:val="22"/>
          <w:u w:val="single"/>
        </w:rPr>
      </w:pPr>
      <w:r w:rsidRPr="00F0664C">
        <w:rPr>
          <w:b/>
          <w:szCs w:val="22"/>
          <w:u w:val="single"/>
        </w:rPr>
        <w:t xml:space="preserve">CID </w:t>
      </w:r>
      <w:r>
        <w:rPr>
          <w:rFonts w:hint="eastAsia"/>
          <w:b/>
          <w:szCs w:val="22"/>
          <w:u w:val="single"/>
          <w:lang w:eastAsia="ko-KR"/>
        </w:rPr>
        <w:t>2129</w:t>
      </w:r>
    </w:p>
    <w:p w:rsidR="00BF13FF" w:rsidRPr="00EE11B8" w:rsidRDefault="00BF13FF" w:rsidP="00BF13FF">
      <w:pPr>
        <w:rPr>
          <w:szCs w:val="22"/>
          <w:lang w:eastAsia="ko-KR"/>
        </w:rPr>
      </w:pPr>
    </w:p>
    <w:p w:rsidR="00BF13FF" w:rsidRPr="00F0664C" w:rsidRDefault="00BF13FF" w:rsidP="00BF13FF">
      <w:pPr>
        <w:rPr>
          <w:b/>
          <w:u w:val="single"/>
          <w:lang w:eastAsia="ko-KR"/>
        </w:rPr>
      </w:pPr>
      <w:r w:rsidRPr="00F0664C">
        <w:rPr>
          <w:b/>
          <w:u w:val="single"/>
        </w:rPr>
        <w:t>Discussion:</w:t>
      </w:r>
    </w:p>
    <w:p w:rsidR="00BF13FF" w:rsidRDefault="00BF13FF" w:rsidP="00BF13FF">
      <w:pPr>
        <w:rPr>
          <w:szCs w:val="22"/>
          <w:lang w:eastAsia="zh-CN"/>
        </w:rPr>
      </w:pPr>
      <w:r w:rsidRPr="00C93579">
        <w:rPr>
          <w:szCs w:val="22"/>
          <w:lang w:eastAsia="ko-KR"/>
        </w:rPr>
        <w:t xml:space="preserve">Commenter suggests </w:t>
      </w:r>
      <w:proofErr w:type="spellStart"/>
      <w:r w:rsidRPr="00C93579">
        <w:rPr>
          <w:szCs w:val="22"/>
          <w:lang w:eastAsia="ko-KR"/>
        </w:rPr>
        <w:t>tolimit</w:t>
      </w:r>
      <w:proofErr w:type="spellEnd"/>
      <w:r w:rsidRPr="00C93579">
        <w:rPr>
          <w:szCs w:val="22"/>
          <w:lang w:eastAsia="ko-KR"/>
        </w:rPr>
        <w:t xml:space="preserve"> the </w:t>
      </w:r>
      <w:proofErr w:type="spellStart"/>
      <w:r w:rsidRPr="00C93579">
        <w:rPr>
          <w:szCs w:val="22"/>
          <w:lang w:eastAsia="ko-KR"/>
        </w:rPr>
        <w:t>spacial</w:t>
      </w:r>
      <w:proofErr w:type="spellEnd"/>
      <w:r w:rsidRPr="00C93579">
        <w:rPr>
          <w:szCs w:val="22"/>
          <w:lang w:eastAsia="ko-KR"/>
        </w:rPr>
        <w:t xml:space="preserve"> reuse within the current </w:t>
      </w:r>
      <w:r>
        <w:rPr>
          <w:rFonts w:hint="eastAsia"/>
          <w:szCs w:val="22"/>
          <w:lang w:eastAsia="ko-KR"/>
        </w:rPr>
        <w:t>TXOP</w:t>
      </w:r>
      <w:r w:rsidRPr="00C93579">
        <w:rPr>
          <w:szCs w:val="22"/>
          <w:lang w:eastAsia="ko-KR"/>
        </w:rPr>
        <w:t xml:space="preserve"> in order to avoid asynchronous overlapping TXOPs. </w:t>
      </w:r>
    </w:p>
    <w:p w:rsidR="00BF13FF" w:rsidRDefault="00BF13FF" w:rsidP="00BF13FF">
      <w:pPr>
        <w:rPr>
          <w:szCs w:val="22"/>
          <w:lang w:eastAsia="zh-CN"/>
        </w:rPr>
      </w:pPr>
      <w:r w:rsidRPr="008C076E">
        <w:rPr>
          <w:szCs w:val="22"/>
          <w:lang w:eastAsia="ko-KR"/>
        </w:rPr>
        <w:t xml:space="preserve">As shown in the figure below, STA2 has its NAV set by RTS till time t1, and then has its NAV updated till time t2 by OBSS STA/AP who met the SO condition and started an SO frame exchange. Therefore STA2 </w:t>
      </w:r>
      <w:proofErr w:type="spellStart"/>
      <w:r w:rsidRPr="008C076E">
        <w:rPr>
          <w:szCs w:val="22"/>
          <w:lang w:eastAsia="ko-KR"/>
        </w:rPr>
        <w:t>can not</w:t>
      </w:r>
      <w:proofErr w:type="spellEnd"/>
      <w:r w:rsidRPr="008C076E">
        <w:rPr>
          <w:szCs w:val="22"/>
          <w:lang w:eastAsia="ko-KR"/>
        </w:rPr>
        <w:t xml:space="preserve"> contend the medium until t2. However AP1 and STA1 and OBSS STA/AP who are enjoying </w:t>
      </w:r>
      <w:proofErr w:type="spellStart"/>
      <w:r w:rsidRPr="008C076E">
        <w:rPr>
          <w:szCs w:val="22"/>
          <w:lang w:eastAsia="ko-KR"/>
        </w:rPr>
        <w:t>spacial</w:t>
      </w:r>
      <w:proofErr w:type="spellEnd"/>
      <w:r w:rsidRPr="008C076E">
        <w:rPr>
          <w:szCs w:val="22"/>
          <w:lang w:eastAsia="ko-KR"/>
        </w:rPr>
        <w:t xml:space="preserve"> reuse can start to contend again after t1 whereas STA2 </w:t>
      </w:r>
      <w:proofErr w:type="spellStart"/>
      <w:r w:rsidRPr="008C076E">
        <w:rPr>
          <w:szCs w:val="22"/>
          <w:lang w:eastAsia="ko-KR"/>
        </w:rPr>
        <w:t>can not</w:t>
      </w:r>
      <w:proofErr w:type="spellEnd"/>
      <w:r w:rsidRPr="008C076E">
        <w:rPr>
          <w:szCs w:val="22"/>
          <w:lang w:eastAsia="ko-KR"/>
        </w:rPr>
        <w:t xml:space="preserve">. </w:t>
      </w:r>
    </w:p>
    <w:p w:rsidR="00BF13FF" w:rsidRPr="00C93579" w:rsidRDefault="00BF13FF" w:rsidP="00BF13FF">
      <w:pPr>
        <w:rPr>
          <w:szCs w:val="22"/>
          <w:lang w:eastAsia="ko-KR"/>
        </w:rPr>
      </w:pPr>
    </w:p>
    <w:p w:rsidR="00BF13FF" w:rsidRDefault="00BF13FF" w:rsidP="00BF13FF">
      <w:pPr>
        <w:rPr>
          <w:lang w:eastAsia="zh-CN"/>
        </w:rPr>
      </w:pPr>
      <w:r>
        <w:rPr>
          <w:noProof/>
          <w:lang w:val="en-US" w:eastAsia="ko-KR"/>
        </w:rPr>
        <w:drawing>
          <wp:inline distT="0" distB="0" distL="0" distR="0" wp14:anchorId="2DF979F7" wp14:editId="56C8B725">
            <wp:extent cx="5461254" cy="2936579"/>
            <wp:effectExtent l="19050" t="0" r="6096"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470169" cy="2941373"/>
                    </a:xfrm>
                    <a:prstGeom prst="rect">
                      <a:avLst/>
                    </a:prstGeom>
                    <a:noFill/>
                    <a:ln w="9525">
                      <a:noFill/>
                      <a:miter lim="800000"/>
                      <a:headEnd/>
                      <a:tailEnd/>
                    </a:ln>
                  </pic:spPr>
                </pic:pic>
              </a:graphicData>
            </a:graphic>
          </wp:inline>
        </w:drawing>
      </w:r>
    </w:p>
    <w:p w:rsidR="00BF13FF" w:rsidRDefault="00BF13FF" w:rsidP="00BF13FF">
      <w:pPr>
        <w:rPr>
          <w:lang w:eastAsia="zh-CN"/>
        </w:rPr>
      </w:pPr>
    </w:p>
    <w:p w:rsidR="00BF13FF" w:rsidRPr="00C93579" w:rsidRDefault="00BF13FF" w:rsidP="00BF13FF">
      <w:pPr>
        <w:rPr>
          <w:szCs w:val="22"/>
          <w:lang w:eastAsia="zh-CN"/>
        </w:rPr>
      </w:pPr>
      <w:r w:rsidRPr="00C93579">
        <w:rPr>
          <w:szCs w:val="22"/>
          <w:lang w:eastAsia="ko-KR"/>
        </w:rPr>
        <w:t>Even without using a Spatially Orthogonal (SO) condition, asynchronous overlapping TXOPs can occur</w:t>
      </w:r>
      <w:r>
        <w:rPr>
          <w:rFonts w:hint="eastAsia"/>
          <w:szCs w:val="22"/>
          <w:lang w:eastAsia="zh-CN"/>
        </w:rPr>
        <w:t>.</w:t>
      </w:r>
    </w:p>
    <w:p w:rsidR="00BF13FF" w:rsidRPr="00280069" w:rsidRDefault="00BF13FF" w:rsidP="00BF13FF">
      <w:pPr>
        <w:rPr>
          <w:rFonts w:eastAsia="SimSun"/>
          <w:szCs w:val="22"/>
          <w:lang w:eastAsia="zh-CN"/>
        </w:rPr>
      </w:pPr>
      <w:r w:rsidRPr="00C93579">
        <w:rPr>
          <w:szCs w:val="22"/>
          <w:lang w:eastAsia="ko-KR"/>
        </w:rPr>
        <w:t>But, the SO initiator has all of the information necessary to avoid creating this problem in this case and it should use this information to avoid creating an asynchronous overlap for the unfortunate victim that lies between the two links.</w:t>
      </w:r>
      <w:r>
        <w:rPr>
          <w:rFonts w:eastAsia="SimSun" w:hint="eastAsia"/>
          <w:szCs w:val="22"/>
          <w:lang w:eastAsia="zh-CN"/>
        </w:rPr>
        <w:t xml:space="preserve"> </w:t>
      </w:r>
      <w:r>
        <w:rPr>
          <w:rFonts w:eastAsia="SimSun"/>
          <w:szCs w:val="22"/>
          <w:lang w:eastAsia="zh-CN"/>
        </w:rPr>
        <w:t xml:space="preserve">An </w:t>
      </w:r>
      <w:r>
        <w:rPr>
          <w:rFonts w:eastAsia="SimSun" w:hint="eastAsia"/>
          <w:szCs w:val="22"/>
          <w:lang w:eastAsia="zh-CN"/>
        </w:rPr>
        <w:t xml:space="preserve">SO </w:t>
      </w:r>
      <w:proofErr w:type="spellStart"/>
      <w:r>
        <w:rPr>
          <w:rFonts w:eastAsia="SimSun" w:hint="eastAsia"/>
          <w:szCs w:val="22"/>
          <w:lang w:eastAsia="zh-CN"/>
        </w:rPr>
        <w:t>backoff</w:t>
      </w:r>
      <w:proofErr w:type="spellEnd"/>
      <w:r>
        <w:rPr>
          <w:rFonts w:eastAsia="SimSun" w:hint="eastAsia"/>
          <w:szCs w:val="22"/>
          <w:lang w:eastAsia="zh-CN"/>
        </w:rPr>
        <w:t xml:space="preserve"> procedure should be introduced </w:t>
      </w:r>
    </w:p>
    <w:p w:rsidR="00BF13FF" w:rsidRPr="00D96975" w:rsidRDefault="00BF13FF"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proofErr w:type="gramStart"/>
      <w:r>
        <w:rPr>
          <w:rFonts w:hint="eastAsia"/>
          <w:lang w:eastAsia="ko-KR"/>
        </w:rPr>
        <w:t xml:space="preserve">Revised for CID </w:t>
      </w:r>
      <w:r w:rsidR="00853048" w:rsidRPr="00853048">
        <w:rPr>
          <w:lang w:eastAsia="ko-KR"/>
        </w:rPr>
        <w:t>1541, 2847, 2848</w:t>
      </w:r>
      <w:r>
        <w:rPr>
          <w:rFonts w:hint="eastAsia"/>
          <w:lang w:eastAsia="ko-KR"/>
        </w:rPr>
        <w:t>,</w:t>
      </w:r>
      <w:r w:rsidR="00BF13FF">
        <w:rPr>
          <w:rFonts w:hint="eastAsia"/>
          <w:lang w:eastAsia="ko-KR"/>
        </w:rPr>
        <w:t xml:space="preserve"> 2129</w:t>
      </w:r>
      <w:r>
        <w:rPr>
          <w:rFonts w:hint="eastAsia"/>
          <w:lang w:eastAsia="ko-KR"/>
        </w:rPr>
        <w:t xml:space="preserve"> per discussion and editing </w:t>
      </w:r>
      <w:r>
        <w:rPr>
          <w:lang w:eastAsia="ko-KR"/>
        </w:rPr>
        <w:t>instructions</w:t>
      </w:r>
      <w:r>
        <w:rPr>
          <w:rFonts w:hint="eastAsia"/>
          <w:lang w:eastAsia="ko-KR"/>
        </w:rPr>
        <w:t xml:space="preserve"> in 11-1</w:t>
      </w:r>
      <w:r w:rsidR="00853048">
        <w:rPr>
          <w:rFonts w:hint="eastAsia"/>
          <w:lang w:eastAsia="ko-KR"/>
        </w:rPr>
        <w:t>4</w:t>
      </w:r>
      <w:r>
        <w:rPr>
          <w:rFonts w:hint="eastAsia"/>
          <w:lang w:eastAsia="ko-KR"/>
        </w:rPr>
        <w:t>/</w:t>
      </w:r>
      <w:r w:rsidR="001F221E">
        <w:rPr>
          <w:rFonts w:hint="eastAsia"/>
          <w:lang w:eastAsia="ko-KR"/>
        </w:rPr>
        <w:t>0076</w:t>
      </w:r>
      <w:proofErr w:type="gramEnd"/>
      <w:r>
        <w:rPr>
          <w:rFonts w:hint="eastAsia"/>
          <w:lang w:eastAsia="ko-KR"/>
        </w:rPr>
        <w:t>r0.</w:t>
      </w:r>
    </w:p>
    <w:p w:rsidR="005A4504" w:rsidRPr="00832700" w:rsidRDefault="005A4504" w:rsidP="005A4504">
      <w:pPr>
        <w:rPr>
          <w:lang w:eastAsia="ko-KR"/>
        </w:rPr>
      </w:pPr>
    </w:p>
    <w:p w:rsidR="00BF13FF" w:rsidRPr="00C83044" w:rsidRDefault="00BF13FF" w:rsidP="00BF13FF">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9.47.4 </w:t>
      </w:r>
      <w:r w:rsidRPr="00C83044">
        <w:rPr>
          <w:rFonts w:hint="eastAsia"/>
          <w:b/>
          <w:i/>
          <w:lang w:eastAsia="ko-KR"/>
        </w:rPr>
        <w:t xml:space="preserve">as the following: </w:t>
      </w:r>
    </w:p>
    <w:p w:rsidR="00BF13FF" w:rsidRDefault="00BF13FF" w:rsidP="00BF13FF">
      <w:pPr>
        <w:rPr>
          <w:szCs w:val="22"/>
          <w:lang w:eastAsia="ko-KR"/>
        </w:rPr>
      </w:pPr>
    </w:p>
    <w:p w:rsidR="00BF13FF" w:rsidRDefault="00BF13FF" w:rsidP="00BF13F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w:t>
      </w:r>
      <w:r>
        <w:rPr>
          <w:rFonts w:ascii="Arial-BoldMT" w:hAnsi="Arial-BoldMT" w:cs="Arial-BoldMT" w:hint="eastAsia"/>
          <w:b/>
          <w:bCs/>
          <w:sz w:val="20"/>
          <w:lang w:val="en-US" w:eastAsia="ko-KR"/>
        </w:rPr>
        <w:t>47</w:t>
      </w:r>
      <w:r>
        <w:rPr>
          <w:rFonts w:ascii="Arial-BoldMT" w:hAnsi="Arial-BoldMT" w:cs="Arial-BoldMT"/>
          <w:b/>
          <w:bCs/>
          <w:sz w:val="20"/>
          <w:lang w:val="en-US" w:eastAsia="ko-KR"/>
        </w:rPr>
        <w:t>.</w:t>
      </w:r>
      <w:r>
        <w:rPr>
          <w:rFonts w:ascii="Arial-BoldMT" w:hAnsi="Arial-BoldMT" w:cs="Arial-BoldMT" w:hint="eastAsia"/>
          <w:b/>
          <w:bCs/>
          <w:sz w:val="20"/>
          <w:lang w:val="en-US" w:eastAsia="ko-KR"/>
        </w:rPr>
        <w:t>4</w:t>
      </w:r>
      <w:r>
        <w:rPr>
          <w:rFonts w:ascii="Arial-BoldMT" w:hAnsi="Arial-BoldMT" w:cs="Arial-BoldMT"/>
          <w:b/>
          <w:bCs/>
          <w:sz w:val="20"/>
          <w:lang w:val="en-US" w:eastAsia="ko-KR"/>
        </w:rPr>
        <w:t xml:space="preserve"> </w:t>
      </w:r>
      <w:r w:rsidRPr="00853048">
        <w:rPr>
          <w:rFonts w:ascii="Arial-BoldMT" w:hAnsi="Arial-BoldMT" w:cs="Arial-BoldMT"/>
          <w:b/>
          <w:bCs/>
          <w:sz w:val="20"/>
          <w:lang w:val="en-US" w:eastAsia="ko-KR"/>
        </w:rPr>
        <w:t xml:space="preserve">TXOP-based </w:t>
      </w:r>
      <w:proofErr w:type="spellStart"/>
      <w:r w:rsidRPr="00853048">
        <w:rPr>
          <w:rFonts w:ascii="Arial-BoldMT" w:hAnsi="Arial-BoldMT" w:cs="Arial-BoldMT"/>
          <w:b/>
          <w:bCs/>
          <w:sz w:val="20"/>
          <w:lang w:val="en-US" w:eastAsia="ko-KR"/>
        </w:rPr>
        <w:t>sectorization</w:t>
      </w:r>
      <w:proofErr w:type="spellEnd"/>
      <w:r w:rsidRPr="00853048">
        <w:rPr>
          <w:rFonts w:ascii="Arial-BoldMT" w:hAnsi="Arial-BoldMT" w:cs="Arial-BoldMT"/>
          <w:b/>
          <w:bCs/>
          <w:sz w:val="20"/>
          <w:lang w:val="en-US" w:eastAsia="ko-KR"/>
        </w:rPr>
        <w:t xml:space="preserve"> operation</w:t>
      </w:r>
    </w:p>
    <w:p w:rsidR="00BF13FF" w:rsidRDefault="00BF13FF" w:rsidP="00BF13FF">
      <w:pPr>
        <w:rPr>
          <w:rFonts w:ascii="TimesNewRomanPS-BoldItalicMT" w:hAnsi="TimesNewRomanPS-BoldItalicMT" w:cs="TimesNewRomanPS-BoldItalicMT"/>
          <w:b/>
          <w:bCs/>
          <w:i/>
          <w:iCs/>
          <w:sz w:val="20"/>
          <w:lang w:val="en-US" w:eastAsia="ko-KR"/>
        </w:rPr>
      </w:pPr>
    </w:p>
    <w:p w:rsidR="00BF13FF" w:rsidRDefault="00BF13FF" w:rsidP="00BF13FF">
      <w:pPr>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b/>
          <w:bCs/>
          <w:i/>
          <w:iCs/>
          <w:sz w:val="20"/>
          <w:lang w:val="en-US" w:eastAsia="ko-KR"/>
        </w:rPr>
        <w:t>Change the following paragraph</w:t>
      </w:r>
      <w:r>
        <w:rPr>
          <w:rFonts w:ascii="TimesNewRomanPS-BoldItalicMT" w:hAnsi="TimesNewRomanPS-BoldItalicMT" w:cs="TimesNewRomanPS-BoldItalicMT" w:hint="eastAsia"/>
          <w:b/>
          <w:bCs/>
          <w:i/>
          <w:iCs/>
          <w:sz w:val="20"/>
          <w:lang w:val="en-US" w:eastAsia="ko-KR"/>
        </w:rPr>
        <w:t xml:space="preserve"> (Page 199, Lines 6-10)</w:t>
      </w:r>
      <w:r>
        <w:rPr>
          <w:rFonts w:ascii="TimesNewRomanPS-BoldItalicMT" w:hAnsi="TimesNewRomanPS-BoldItalicMT" w:cs="TimesNewRomanPS-BoldItalicMT"/>
          <w:b/>
          <w:bCs/>
          <w:i/>
          <w:iCs/>
          <w:sz w:val="20"/>
          <w:lang w:val="en-US" w:eastAsia="ko-KR"/>
        </w:rPr>
        <w:t xml:space="preserve"> in the sub-clause 9.</w:t>
      </w:r>
      <w:r>
        <w:rPr>
          <w:rFonts w:ascii="TimesNewRomanPS-BoldItalicMT" w:hAnsi="TimesNewRomanPS-BoldItalicMT" w:cs="TimesNewRomanPS-BoldItalicMT" w:hint="eastAsia"/>
          <w:b/>
          <w:bCs/>
          <w:i/>
          <w:iCs/>
          <w:sz w:val="20"/>
          <w:lang w:val="en-US" w:eastAsia="ko-KR"/>
        </w:rPr>
        <w:t>47</w:t>
      </w:r>
      <w:r>
        <w:rPr>
          <w:rFonts w:ascii="TimesNewRomanPS-BoldItalicMT" w:hAnsi="TimesNewRomanPS-BoldItalicMT" w:cs="TimesNewRomanPS-BoldItalicMT"/>
          <w:b/>
          <w:bCs/>
          <w:i/>
          <w:iCs/>
          <w:sz w:val="20"/>
          <w:lang w:val="en-US" w:eastAsia="ko-KR"/>
        </w:rPr>
        <w:t>.</w:t>
      </w:r>
      <w:r>
        <w:rPr>
          <w:rFonts w:ascii="TimesNewRomanPS-BoldItalicMT" w:hAnsi="TimesNewRomanPS-BoldItalicMT" w:cs="TimesNewRomanPS-BoldItalicMT" w:hint="eastAsia"/>
          <w:b/>
          <w:bCs/>
          <w:i/>
          <w:iCs/>
          <w:sz w:val="20"/>
          <w:lang w:val="en-US" w:eastAsia="ko-KR"/>
        </w:rPr>
        <w:t>4</w:t>
      </w:r>
      <w:r>
        <w:rPr>
          <w:rFonts w:ascii="TimesNewRomanPS-BoldItalicMT" w:hAnsi="TimesNewRomanPS-BoldItalicMT" w:cs="TimesNewRomanPS-BoldItalicMT"/>
          <w:b/>
          <w:bCs/>
          <w:i/>
          <w:iCs/>
          <w:sz w:val="20"/>
          <w:lang w:val="en-US" w:eastAsia="ko-KR"/>
        </w:rPr>
        <w:t xml:space="preserve"> as follows:</w:t>
      </w:r>
    </w:p>
    <w:p w:rsidR="00BF13FF" w:rsidRDefault="00BF13FF" w:rsidP="00BF13FF">
      <w:pPr>
        <w:rPr>
          <w:rFonts w:ascii="TimesNewRomanPSMT" w:eastAsia="SimSun" w:hAnsi="TimesNewRomanPSMT" w:cs="TimesNewRomanPSMT"/>
          <w:sz w:val="20"/>
          <w:u w:val="single"/>
          <w:lang w:val="en-US" w:eastAsia="zh-CN"/>
        </w:rPr>
      </w:pPr>
    </w:p>
    <w:p w:rsidR="00BF13FF" w:rsidRPr="00CE2A72" w:rsidRDefault="00BF13FF" w:rsidP="00BF13FF">
      <w:pPr>
        <w:rPr>
          <w:rFonts w:ascii="TimesNewRomanPSMT" w:hAnsi="TimesNewRomanPSMT" w:cs="TimesNewRomanPSMT"/>
          <w:sz w:val="20"/>
          <w:lang w:val="en-US" w:eastAsia="ko-KR"/>
        </w:rPr>
      </w:pPr>
      <w:r w:rsidRPr="00CE2A72">
        <w:rPr>
          <w:rFonts w:eastAsia="SimSun"/>
          <w:color w:val="000000"/>
          <w:sz w:val="20"/>
          <w:lang w:val="en-US" w:eastAsia="ko-KR"/>
        </w:rPr>
        <w:t xml:space="preserve">When </w:t>
      </w:r>
      <w:r w:rsidRPr="00CE2A72">
        <w:rPr>
          <w:rFonts w:eastAsia="SimSun"/>
          <w:strike/>
          <w:color w:val="000000"/>
          <w:sz w:val="20"/>
          <w:lang w:val="en-US" w:eastAsia="ko-KR"/>
        </w:rPr>
        <w:t>the</w:t>
      </w:r>
      <w:r w:rsidRPr="00CE2A72">
        <w:rPr>
          <w:rFonts w:eastAsia="SimSun"/>
          <w:color w:val="000000"/>
          <w:sz w:val="20"/>
          <w:lang w:val="en-US" w:eastAsia="ko-KR"/>
        </w:rPr>
        <w:t xml:space="preserve"> </w:t>
      </w:r>
      <w:r w:rsidRPr="00CE2A72">
        <w:rPr>
          <w:rFonts w:eastAsia="SimSun" w:hint="eastAsia"/>
          <w:color w:val="000000"/>
          <w:sz w:val="20"/>
          <w:u w:val="single"/>
          <w:lang w:val="en-US" w:eastAsia="zh-CN"/>
        </w:rPr>
        <w:t>a</w:t>
      </w:r>
      <w:r w:rsidRPr="00CE2A72">
        <w:rPr>
          <w:rFonts w:eastAsia="SimSun" w:hint="eastAsia"/>
          <w:color w:val="000000"/>
          <w:sz w:val="20"/>
          <w:lang w:val="en-US" w:eastAsia="zh-CN"/>
        </w:rPr>
        <w:t xml:space="preserve"> </w:t>
      </w:r>
      <w:r w:rsidRPr="00CE2A72">
        <w:rPr>
          <w:rFonts w:eastAsia="SimSun"/>
          <w:color w:val="000000"/>
          <w:sz w:val="20"/>
          <w:lang w:val="en-US" w:eastAsia="ko-KR"/>
        </w:rPr>
        <w:t xml:space="preserve">protection </w:t>
      </w:r>
      <w:r w:rsidRPr="00CE2A72">
        <w:rPr>
          <w:rFonts w:ascii="TimesNewRomanPSMT" w:hAnsi="TimesNewRomanPSMT" w:cs="TimesNewRomanPSMT"/>
          <w:sz w:val="20"/>
          <w:u w:val="single"/>
          <w:lang w:val="en-US" w:eastAsia="ko-KR"/>
        </w:rPr>
        <w:t>NAV and RID</w:t>
      </w:r>
      <w:r w:rsidRPr="00CE2A72">
        <w:rPr>
          <w:rFonts w:eastAsia="SimSun"/>
          <w:color w:val="000000"/>
          <w:sz w:val="20"/>
          <w:u w:val="single"/>
          <w:lang w:val="en-US" w:eastAsia="ko-KR"/>
        </w:rPr>
        <w:t xml:space="preserve"> for a TXOP</w:t>
      </w:r>
      <w:r w:rsidRPr="00CE2A72">
        <w:rPr>
          <w:rFonts w:eastAsia="SimSun"/>
          <w:color w:val="000000"/>
          <w:sz w:val="20"/>
          <w:lang w:val="en-US" w:eastAsia="ko-KR"/>
        </w:rPr>
        <w:t xml:space="preserve"> is set up by </w:t>
      </w:r>
      <w:proofErr w:type="spellStart"/>
      <w:r w:rsidRPr="00CE2A72">
        <w:rPr>
          <w:rFonts w:eastAsia="SimSun"/>
          <w:color w:val="000000"/>
          <w:sz w:val="20"/>
          <w:u w:val="single"/>
          <w:lang w:val="en-US" w:eastAsia="ko-KR"/>
        </w:rPr>
        <w:t>an</w:t>
      </w:r>
      <w:r w:rsidRPr="00CE2A72">
        <w:rPr>
          <w:rFonts w:eastAsia="SimSun"/>
          <w:strike/>
          <w:color w:val="000000"/>
          <w:sz w:val="20"/>
          <w:lang w:val="en-US" w:eastAsia="ko-KR"/>
        </w:rPr>
        <w:t>the</w:t>
      </w:r>
      <w:proofErr w:type="spellEnd"/>
      <w:r w:rsidRPr="00CE2A72">
        <w:rPr>
          <w:rFonts w:eastAsia="SimSun"/>
          <w:color w:val="000000"/>
          <w:sz w:val="20"/>
          <w:lang w:val="en-US" w:eastAsia="ko-KR"/>
        </w:rPr>
        <w:t xml:space="preserve"> AP's </w:t>
      </w:r>
      <w:proofErr w:type="spellStart"/>
      <w:r w:rsidRPr="00CE2A72">
        <w:rPr>
          <w:rFonts w:eastAsia="SimSun"/>
          <w:color w:val="000000"/>
          <w:sz w:val="20"/>
          <w:lang w:val="en-US" w:eastAsia="ko-KR"/>
        </w:rPr>
        <w:t>omni</w:t>
      </w:r>
      <w:proofErr w:type="spellEnd"/>
      <w:r w:rsidRPr="00CE2A72">
        <w:rPr>
          <w:rFonts w:eastAsia="SimSun"/>
          <w:color w:val="000000"/>
          <w:sz w:val="20"/>
          <w:lang w:val="en-US" w:eastAsia="ko-KR"/>
        </w:rPr>
        <w:t xml:space="preserve">-directional beam transmission </w:t>
      </w:r>
      <w:r w:rsidRPr="00CE2A72">
        <w:rPr>
          <w:rFonts w:eastAsia="SimSun"/>
          <w:strike/>
          <w:color w:val="000000"/>
          <w:sz w:val="20"/>
          <w:lang w:val="en-US" w:eastAsia="ko-KR"/>
        </w:rPr>
        <w:t xml:space="preserve">for a duration within a </w:t>
      </w:r>
      <w:proofErr w:type="spellStart"/>
      <w:r w:rsidRPr="00CE2A72">
        <w:rPr>
          <w:rFonts w:eastAsia="SimSun"/>
          <w:strike/>
          <w:color w:val="000000"/>
          <w:sz w:val="20"/>
          <w:lang w:val="en-US" w:eastAsia="ko-KR"/>
        </w:rPr>
        <w:t>TXOP</w:t>
      </w:r>
      <w:r w:rsidRPr="00CE2A72">
        <w:rPr>
          <w:rFonts w:eastAsia="SimSun"/>
          <w:color w:val="000000"/>
          <w:sz w:val="20"/>
          <w:lang w:val="en-US" w:eastAsia="ko-KR"/>
        </w:rPr>
        <w:t>and</w:t>
      </w:r>
      <w:proofErr w:type="spellEnd"/>
      <w:r w:rsidRPr="00CE2A72">
        <w:rPr>
          <w:rFonts w:eastAsia="SimSun"/>
          <w:color w:val="000000"/>
          <w:sz w:val="20"/>
          <w:lang w:val="en-US" w:eastAsia="ko-KR"/>
        </w:rPr>
        <w:t xml:space="preserve"> </w:t>
      </w:r>
      <w:proofErr w:type="spellStart"/>
      <w:r w:rsidRPr="00CE2A72">
        <w:rPr>
          <w:rFonts w:eastAsia="SimSun"/>
          <w:color w:val="000000"/>
          <w:sz w:val="20"/>
          <w:u w:val="single"/>
          <w:lang w:val="en-US" w:eastAsia="ko-KR"/>
        </w:rPr>
        <w:t>a</w:t>
      </w:r>
      <w:proofErr w:type="spellEnd"/>
      <w:r w:rsidRPr="00CE2A72">
        <w:rPr>
          <w:rFonts w:eastAsia="SimSun"/>
          <w:color w:val="000000"/>
          <w:sz w:val="20"/>
          <w:lang w:val="en-US" w:eastAsia="ko-KR"/>
        </w:rPr>
        <w:t xml:space="preserve"> </w:t>
      </w:r>
      <w:r w:rsidRPr="00CE2A72">
        <w:rPr>
          <w:rFonts w:eastAsia="SimSun"/>
          <w:strike/>
          <w:color w:val="000000"/>
          <w:sz w:val="20"/>
          <w:lang w:val="en-US" w:eastAsia="ko-KR"/>
        </w:rPr>
        <w:t>if the</w:t>
      </w:r>
      <w:r w:rsidRPr="00CE2A72">
        <w:rPr>
          <w:rFonts w:eastAsia="SimSun"/>
          <w:color w:val="000000"/>
          <w:sz w:val="20"/>
          <w:lang w:val="en-US" w:eastAsia="ko-KR"/>
        </w:rPr>
        <w:t xml:space="preserve"> spatially orthogonal (SO) condition is confirmed by an OBSS </w:t>
      </w:r>
      <w:r w:rsidRPr="00CE2A72">
        <w:rPr>
          <w:rFonts w:eastAsia="SimSun"/>
          <w:color w:val="000000"/>
          <w:sz w:val="20"/>
          <w:u w:val="single"/>
          <w:lang w:val="en-US" w:eastAsia="ko-KR"/>
        </w:rPr>
        <w:t xml:space="preserve">non-AP </w:t>
      </w:r>
      <w:proofErr w:type="spellStart"/>
      <w:r w:rsidRPr="00CE2A72">
        <w:rPr>
          <w:rFonts w:eastAsia="SimSun"/>
          <w:color w:val="000000"/>
          <w:sz w:val="20"/>
          <w:u w:val="single"/>
          <w:lang w:val="en-US" w:eastAsia="ko-KR"/>
        </w:rPr>
        <w:t>STA</w:t>
      </w:r>
      <w:r w:rsidRPr="00CE2A72">
        <w:rPr>
          <w:rFonts w:eastAsia="SimSun"/>
          <w:strike/>
          <w:color w:val="000000"/>
          <w:sz w:val="20"/>
          <w:lang w:val="en-US" w:eastAsia="ko-KR"/>
        </w:rPr>
        <w:t>station</w:t>
      </w:r>
      <w:proofErr w:type="spellEnd"/>
      <w:r w:rsidRPr="00CE2A72">
        <w:rPr>
          <w:rFonts w:eastAsia="SimSun"/>
          <w:color w:val="000000"/>
          <w:sz w:val="20"/>
          <w:lang w:val="en-US" w:eastAsia="ko-KR"/>
        </w:rPr>
        <w:t xml:space="preserve"> or OBSS AP, the OBSS </w:t>
      </w:r>
      <w:r w:rsidRPr="00CE2A72">
        <w:rPr>
          <w:rFonts w:eastAsia="SimSun"/>
          <w:color w:val="000000"/>
          <w:sz w:val="20"/>
          <w:u w:val="single"/>
          <w:lang w:val="en-US" w:eastAsia="ko-KR"/>
        </w:rPr>
        <w:t xml:space="preserve">non-AP </w:t>
      </w:r>
      <w:proofErr w:type="spellStart"/>
      <w:r w:rsidRPr="00CE2A72">
        <w:rPr>
          <w:rFonts w:eastAsia="SimSun"/>
          <w:color w:val="000000"/>
          <w:sz w:val="20"/>
          <w:u w:val="single"/>
          <w:lang w:val="en-US" w:eastAsia="ko-KR"/>
        </w:rPr>
        <w:t>STA</w:t>
      </w:r>
      <w:r w:rsidRPr="00CE2A72">
        <w:rPr>
          <w:rFonts w:eastAsia="SimSun"/>
          <w:strike/>
          <w:color w:val="000000"/>
          <w:sz w:val="20"/>
          <w:lang w:val="en-US" w:eastAsia="ko-KR"/>
        </w:rPr>
        <w:t>station</w:t>
      </w:r>
      <w:proofErr w:type="spellEnd"/>
      <w:r w:rsidRPr="00CE2A72">
        <w:rPr>
          <w:rFonts w:eastAsia="SimSun"/>
          <w:color w:val="000000"/>
          <w:sz w:val="20"/>
          <w:lang w:val="en-US" w:eastAsia="ko-KR"/>
        </w:rPr>
        <w:t xml:space="preserve"> or OBSS AP </w:t>
      </w:r>
      <w:r w:rsidRPr="00CE2A72">
        <w:rPr>
          <w:rFonts w:eastAsia="SimSun"/>
          <w:strike/>
          <w:color w:val="000000"/>
          <w:sz w:val="20"/>
          <w:lang w:val="en-US" w:eastAsia="ko-KR"/>
        </w:rPr>
        <w:t>can reset its NAV to</w:t>
      </w:r>
      <w:r w:rsidRPr="00CE2A72">
        <w:rPr>
          <w:rFonts w:eastAsia="SimSun"/>
          <w:color w:val="000000"/>
          <w:sz w:val="20"/>
          <w:lang w:val="en-US" w:eastAsia="ko-KR"/>
        </w:rPr>
        <w:t xml:space="preserve"> </w:t>
      </w:r>
      <w:r w:rsidRPr="00CE2A72">
        <w:rPr>
          <w:rFonts w:eastAsia="SimSun"/>
          <w:color w:val="000000"/>
          <w:sz w:val="20"/>
          <w:u w:val="single"/>
          <w:lang w:val="en-US" w:eastAsia="ko-KR"/>
        </w:rPr>
        <w:t>may</w:t>
      </w:r>
      <w:r w:rsidRPr="00CE2A72">
        <w:rPr>
          <w:rFonts w:eastAsia="SimSun"/>
          <w:color w:val="000000"/>
          <w:sz w:val="20"/>
          <w:lang w:val="en-US" w:eastAsia="ko-KR"/>
        </w:rPr>
        <w:t xml:space="preserve"> initiate </w:t>
      </w:r>
      <w:r w:rsidRPr="00CE2A72">
        <w:rPr>
          <w:rFonts w:ascii="TimesNewRomanPSMT" w:hAnsi="TimesNewRomanPSMT" w:cs="TimesNewRomanPSMT"/>
          <w:sz w:val="20"/>
          <w:lang w:val="en-US" w:eastAsia="ko-KR"/>
        </w:rPr>
        <w:t>a</w:t>
      </w:r>
      <w:r w:rsidRPr="00CE2A72">
        <w:rPr>
          <w:rFonts w:ascii="TimesNewRomanPSMT" w:eastAsia="SimSun" w:hAnsi="TimesNewRomanPSMT" w:cs="TimesNewRomanPSMT" w:hint="eastAsia"/>
          <w:sz w:val="20"/>
          <w:u w:val="single"/>
          <w:lang w:val="en-US" w:eastAsia="zh-CN"/>
        </w:rPr>
        <w:t>n</w:t>
      </w:r>
      <w:r w:rsidRPr="00CE2A72">
        <w:rPr>
          <w:rFonts w:ascii="TimesNewRomanPSMT" w:hAnsi="TimesNewRomanPSMT" w:cs="TimesNewRomanPSMT"/>
          <w:sz w:val="20"/>
          <w:lang w:val="en-US" w:eastAsia="ko-KR"/>
        </w:rPr>
        <w:t xml:space="preserve"> </w:t>
      </w:r>
      <w:r w:rsidRPr="00CE2A72">
        <w:rPr>
          <w:rFonts w:ascii="TimesNewRomanPSMT" w:hAnsi="TimesNewRomanPSMT" w:cs="TimesNewRomanPSMT"/>
          <w:strike/>
          <w:sz w:val="20"/>
          <w:lang w:val="en-US" w:eastAsia="ko-KR"/>
        </w:rPr>
        <w:t>new spatially orthogonal</w:t>
      </w:r>
      <w:r w:rsidRPr="00CE2A72">
        <w:rPr>
          <w:rFonts w:ascii="TimesNewRomanPSMT" w:hAnsi="TimesNewRomanPSMT" w:cs="TimesNewRomanPSMT" w:hint="eastAsia"/>
          <w:sz w:val="20"/>
          <w:lang w:val="en-US" w:eastAsia="ko-KR"/>
        </w:rPr>
        <w:t xml:space="preserve"> </w:t>
      </w:r>
      <w:r w:rsidRPr="00CE2A72">
        <w:rPr>
          <w:rFonts w:ascii="TimesNewRomanPSMT" w:eastAsia="SimSun" w:hAnsi="TimesNewRomanPSMT" w:cs="TimesNewRomanPSMT" w:hint="eastAsia"/>
          <w:sz w:val="20"/>
          <w:u w:val="single"/>
          <w:lang w:val="en-US" w:eastAsia="zh-CN"/>
        </w:rPr>
        <w:t>SO</w:t>
      </w:r>
      <w:r w:rsidRPr="00CE2A72">
        <w:rPr>
          <w:rFonts w:ascii="TimesNewRomanPSMT" w:eastAsia="SimSun" w:hAnsi="TimesNewRomanPSMT" w:cs="TimesNewRomanPSMT" w:hint="eastAsia"/>
          <w:sz w:val="20"/>
          <w:lang w:val="en-US" w:eastAsia="zh-CN"/>
        </w:rPr>
        <w:t xml:space="preserve"> </w:t>
      </w:r>
      <w:r w:rsidRPr="00CE2A72">
        <w:rPr>
          <w:rFonts w:ascii="TimesNewRomanPSMT" w:hAnsi="TimesNewRomanPSMT" w:cs="TimesNewRomanPSMT"/>
          <w:sz w:val="20"/>
          <w:lang w:val="en-US" w:eastAsia="ko-KR"/>
        </w:rPr>
        <w:t>exchange</w:t>
      </w:r>
      <w:r w:rsidRPr="00CE2A72">
        <w:rPr>
          <w:rFonts w:eastAsia="SimSun"/>
          <w:color w:val="000000"/>
          <w:sz w:val="20"/>
          <w:u w:val="single"/>
          <w:lang w:val="en-US" w:eastAsia="ko-KR"/>
        </w:rPr>
        <w:t xml:space="preserve"> after an SO-</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w:t>
      </w:r>
      <w:r w:rsidRPr="00CE2A72">
        <w:rPr>
          <w:rFonts w:eastAsia="SimSun" w:hint="eastAsia"/>
          <w:color w:val="000000"/>
          <w:sz w:val="20"/>
          <w:u w:val="single"/>
          <w:lang w:val="en-US" w:eastAsia="zh-CN"/>
        </w:rPr>
        <w:t>. For a non-AP STA the SO-</w:t>
      </w:r>
      <w:proofErr w:type="spellStart"/>
      <w:r w:rsidRPr="00CE2A72">
        <w:rPr>
          <w:rFonts w:eastAsia="SimSun" w:hint="eastAsia"/>
          <w:color w:val="000000"/>
          <w:sz w:val="20"/>
          <w:u w:val="single"/>
          <w:lang w:val="en-US" w:eastAsia="zh-CN"/>
        </w:rPr>
        <w:t>Backoff</w:t>
      </w:r>
      <w:proofErr w:type="spellEnd"/>
      <w:r w:rsidRPr="00CE2A72">
        <w:rPr>
          <w:rFonts w:eastAsia="SimSun" w:hint="eastAsia"/>
          <w:color w:val="000000"/>
          <w:sz w:val="20"/>
          <w:u w:val="single"/>
          <w:lang w:val="en-US" w:eastAsia="zh-CN"/>
        </w:rPr>
        <w:t xml:space="preserve"> is initialized with</w:t>
      </w:r>
      <w:r w:rsidRPr="00CE2A72">
        <w:rPr>
          <w:rFonts w:eastAsia="SimSun"/>
          <w:color w:val="000000"/>
          <w:sz w:val="20"/>
          <w:u w:val="single"/>
          <w:lang w:val="en-US" w:eastAsia="ko-KR"/>
        </w:rPr>
        <w:t xml:space="preserve"> </w:t>
      </w:r>
      <w:r w:rsidRPr="00CE2A72">
        <w:rPr>
          <w:rFonts w:eastAsia="SimSun" w:hint="eastAsia"/>
          <w:color w:val="000000"/>
          <w:sz w:val="20"/>
          <w:u w:val="single"/>
          <w:lang w:val="en-US" w:eastAsia="zh-CN"/>
        </w:rPr>
        <w:t>the AC_VO parameters from the most recently received EDCA parameter set element sent by the AP with which the STA is associated</w:t>
      </w:r>
      <w:r w:rsidRPr="00CE2A72">
        <w:rPr>
          <w:rFonts w:eastAsia="SimSun"/>
          <w:color w:val="000000"/>
          <w:sz w:val="20"/>
          <w:u w:val="single"/>
          <w:lang w:val="en-US" w:eastAsia="ko-KR"/>
        </w:rPr>
        <w:t xml:space="preserve">. </w:t>
      </w:r>
      <w:r w:rsidRPr="00CE2A72">
        <w:rPr>
          <w:rFonts w:eastAsia="SimSun" w:hint="eastAsia"/>
          <w:color w:val="000000"/>
          <w:sz w:val="20"/>
          <w:u w:val="single"/>
          <w:lang w:val="en-US" w:eastAsia="zh-CN"/>
        </w:rPr>
        <w:t>For an AP the SO-</w:t>
      </w:r>
      <w:proofErr w:type="spellStart"/>
      <w:r w:rsidRPr="00CE2A72">
        <w:rPr>
          <w:rFonts w:eastAsia="SimSun" w:hint="eastAsia"/>
          <w:color w:val="000000"/>
          <w:sz w:val="20"/>
          <w:u w:val="single"/>
          <w:lang w:val="en-US" w:eastAsia="zh-CN"/>
        </w:rPr>
        <w:t>Backoff</w:t>
      </w:r>
      <w:proofErr w:type="spellEnd"/>
      <w:r w:rsidRPr="00CE2A72">
        <w:rPr>
          <w:rFonts w:eastAsia="SimSun" w:hint="eastAsia"/>
          <w:color w:val="000000"/>
          <w:sz w:val="20"/>
          <w:u w:val="single"/>
          <w:lang w:val="en-US" w:eastAsia="zh-CN"/>
        </w:rPr>
        <w:t xml:space="preserve"> is initialized with</w:t>
      </w:r>
      <w:r w:rsidRPr="00CE2A72">
        <w:rPr>
          <w:rFonts w:eastAsia="SimSun"/>
          <w:color w:val="000000"/>
          <w:sz w:val="20"/>
          <w:u w:val="single"/>
          <w:lang w:val="en-US" w:eastAsia="ko-KR"/>
        </w:rPr>
        <w:t xml:space="preserve"> </w:t>
      </w:r>
      <w:r w:rsidRPr="00CE2A72">
        <w:rPr>
          <w:rFonts w:eastAsia="SimSun" w:hint="eastAsia"/>
          <w:color w:val="000000"/>
          <w:sz w:val="20"/>
          <w:u w:val="single"/>
          <w:lang w:val="en-US" w:eastAsia="zh-CN"/>
        </w:rPr>
        <w:t>the AC_VO parameters of the AP</w:t>
      </w:r>
      <w:r w:rsidRPr="00CE2A72">
        <w:rPr>
          <w:rFonts w:eastAsia="SimSun"/>
          <w:color w:val="000000"/>
          <w:sz w:val="20"/>
          <w:u w:val="single"/>
          <w:lang w:val="en-US" w:eastAsia="ko-KR"/>
        </w:rPr>
        <w:t>. The SO-</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w:t>
      </w:r>
      <w:r w:rsidRPr="00CE2A72">
        <w:rPr>
          <w:rFonts w:eastAsia="SimSun"/>
          <w:color w:val="000000"/>
          <w:sz w:val="20"/>
          <w:u w:val="single"/>
          <w:lang w:val="en-US" w:eastAsia="ko-KR"/>
        </w:rPr>
        <w:lastRenderedPageBreak/>
        <w:t>function begins or resumes when the SO condition is confirmed. The SO-</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function is independent of all other </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functions but follows the EDCAF </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procedure</w:t>
      </w:r>
      <w:r w:rsidRPr="00CE2A72">
        <w:rPr>
          <w:rFonts w:eastAsia="SimSun" w:hint="eastAsia"/>
          <w:color w:val="000000"/>
          <w:sz w:val="20"/>
          <w:u w:val="single"/>
          <w:lang w:val="en-US" w:eastAsia="zh-CN"/>
        </w:rPr>
        <w:t xml:space="preserve"> as defined in 9.2.5</w:t>
      </w:r>
      <w:r w:rsidRPr="00CE2A72">
        <w:rPr>
          <w:rFonts w:eastAsia="SimSun"/>
          <w:color w:val="000000"/>
          <w:sz w:val="20"/>
          <w:u w:val="single"/>
          <w:lang w:val="en-US" w:eastAsia="ko-KR"/>
        </w:rPr>
        <w:t>.</w:t>
      </w:r>
      <w:r w:rsidRPr="00CE2A72">
        <w:rPr>
          <w:rFonts w:eastAsia="SimSun" w:hint="eastAsia"/>
          <w:color w:val="000000"/>
          <w:sz w:val="20"/>
          <w:u w:val="single"/>
          <w:lang w:val="en-US" w:eastAsia="zh-CN"/>
        </w:rPr>
        <w:t xml:space="preserve"> </w:t>
      </w:r>
      <w:r w:rsidRPr="00CE2A72">
        <w:rPr>
          <w:rFonts w:eastAsia="SimSun"/>
          <w:color w:val="000000"/>
          <w:sz w:val="20"/>
          <w:u w:val="single"/>
          <w:lang w:val="en-US" w:eastAsia="ko-KR"/>
        </w:rPr>
        <w:t xml:space="preserve">An OBSS non-AP STA or OBSS AP that invokes </w:t>
      </w:r>
      <w:r w:rsidRPr="00CE2A72">
        <w:rPr>
          <w:rFonts w:eastAsia="SimSun" w:hint="eastAsia"/>
          <w:color w:val="000000"/>
          <w:sz w:val="20"/>
          <w:u w:val="single"/>
          <w:lang w:val="en-US" w:eastAsia="zh-CN"/>
        </w:rPr>
        <w:t xml:space="preserve">or resumes </w:t>
      </w:r>
      <w:r w:rsidRPr="00CE2A72">
        <w:rPr>
          <w:rFonts w:eastAsia="SimSun"/>
          <w:color w:val="000000"/>
          <w:sz w:val="20"/>
          <w:u w:val="single"/>
          <w:lang w:val="en-US" w:eastAsia="ko-KR"/>
        </w:rPr>
        <w:t>an SO-</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w:t>
      </w:r>
      <w:r w:rsidRPr="00CE2A72">
        <w:rPr>
          <w:rFonts w:eastAsia="SimSun" w:hint="eastAsia"/>
          <w:color w:val="000000"/>
          <w:sz w:val="20"/>
          <w:u w:val="single"/>
          <w:lang w:val="en-US" w:eastAsia="zh-CN"/>
        </w:rPr>
        <w:t xml:space="preserve">at the confirmation of an SO condition </w:t>
      </w:r>
      <w:r w:rsidRPr="00CE2A72">
        <w:rPr>
          <w:rFonts w:eastAsia="SimSun"/>
          <w:color w:val="000000"/>
          <w:sz w:val="20"/>
          <w:u w:val="single"/>
          <w:lang w:val="en-US" w:eastAsia="ko-KR"/>
        </w:rPr>
        <w:t>shall set an SO timer to MAX(NAV, RID) and reset its NAV and RID</w:t>
      </w:r>
      <w:r w:rsidRPr="00CE2A72">
        <w:rPr>
          <w:rFonts w:eastAsia="SimSun"/>
          <w:b/>
          <w:bCs/>
          <w:i/>
          <w:iCs/>
          <w:color w:val="000000"/>
          <w:sz w:val="20"/>
          <w:u w:val="single"/>
          <w:lang w:val="en-US" w:eastAsia="ko-KR"/>
        </w:rPr>
        <w:t xml:space="preserve"> </w:t>
      </w:r>
      <w:r w:rsidRPr="00CE2A72">
        <w:rPr>
          <w:rFonts w:eastAsia="SimSun"/>
          <w:color w:val="000000"/>
          <w:sz w:val="20"/>
          <w:u w:val="single"/>
          <w:lang w:val="en-US" w:eastAsia="ko-KR"/>
        </w:rPr>
        <w:t>and suspend</w:t>
      </w:r>
      <w:r w:rsidRPr="00CE2A72">
        <w:rPr>
          <w:rFonts w:eastAsia="SimSun" w:hint="eastAsia"/>
          <w:color w:val="000000"/>
          <w:sz w:val="20"/>
          <w:u w:val="single"/>
          <w:lang w:val="en-US" w:eastAsia="zh-CN"/>
        </w:rPr>
        <w:t xml:space="preserve"> </w:t>
      </w:r>
      <w:r w:rsidRPr="00CE2A72">
        <w:rPr>
          <w:rFonts w:eastAsia="SimSun"/>
          <w:color w:val="000000"/>
          <w:sz w:val="20"/>
          <w:u w:val="single"/>
          <w:lang w:val="en-US" w:eastAsia="ko-KR"/>
        </w:rPr>
        <w:t xml:space="preserve">EDCAF </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procedures.  At the expiry of the SO timer, the SO-</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is suspended and the suspended EDCAF </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procedures resume. An OBSS non-AP STA or OBSS AP that initiates a new spatially orthogonal frame exchange after an SO-</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procedure shall start the exchange</w:t>
      </w:r>
      <w:r w:rsidRPr="00CE2A72">
        <w:rPr>
          <w:rFonts w:eastAsia="SimSun"/>
          <w:color w:val="000000"/>
          <w:sz w:val="20"/>
          <w:lang w:val="en-US" w:eastAsia="ko-KR"/>
        </w:rPr>
        <w:t xml:space="preserve"> </w:t>
      </w:r>
      <w:proofErr w:type="spellStart"/>
      <w:r w:rsidRPr="00CE2A72">
        <w:rPr>
          <w:rFonts w:eastAsia="SimSun"/>
          <w:strike/>
          <w:color w:val="000000"/>
          <w:sz w:val="20"/>
          <w:lang w:val="en-US" w:eastAsia="ko-KR"/>
        </w:rPr>
        <w:t>starting</w:t>
      </w:r>
      <w:r w:rsidRPr="00CE2A72">
        <w:rPr>
          <w:rFonts w:eastAsia="SimSun"/>
          <w:color w:val="000000"/>
          <w:sz w:val="20"/>
          <w:lang w:val="en-US" w:eastAsia="ko-KR"/>
        </w:rPr>
        <w:t>with</w:t>
      </w:r>
      <w:proofErr w:type="spellEnd"/>
      <w:r w:rsidRPr="00CE2A72">
        <w:rPr>
          <w:rFonts w:eastAsia="SimSun"/>
          <w:color w:val="000000"/>
          <w:sz w:val="20"/>
          <w:lang w:val="en-US" w:eastAsia="ko-KR"/>
        </w:rPr>
        <w:t xml:space="preserve"> a </w:t>
      </w:r>
      <w:proofErr w:type="spellStart"/>
      <w:r w:rsidRPr="00CE2A72">
        <w:rPr>
          <w:rFonts w:eastAsia="SimSun"/>
          <w:color w:val="000000"/>
          <w:sz w:val="20"/>
          <w:lang w:val="en-US" w:eastAsia="ko-KR"/>
        </w:rPr>
        <w:t>nonbeamformed</w:t>
      </w:r>
      <w:proofErr w:type="spellEnd"/>
      <w:r w:rsidRPr="00CE2A72">
        <w:rPr>
          <w:rFonts w:eastAsia="SimSun"/>
          <w:color w:val="000000"/>
          <w:sz w:val="20"/>
          <w:lang w:val="en-US" w:eastAsia="ko-KR"/>
        </w:rPr>
        <w:t xml:space="preserve"> RTS/CTS</w:t>
      </w:r>
      <w:r w:rsidRPr="00CE2A72">
        <w:rPr>
          <w:rFonts w:eastAsia="SimSun"/>
          <w:color w:val="000000"/>
          <w:sz w:val="20"/>
          <w:u w:val="single"/>
          <w:lang w:val="en-US" w:eastAsia="ko-KR"/>
        </w:rPr>
        <w:t xml:space="preserve"> and shall limit the duration of the exchange such that it ends before the expiry of the SO timer. The new spatially orthogonal frame exchange initiator may transmit frames from any AC</w:t>
      </w:r>
      <w:r w:rsidRPr="00CE2A72">
        <w:rPr>
          <w:rFonts w:eastAsia="SimSun" w:hint="eastAsia"/>
          <w:color w:val="000000"/>
          <w:sz w:val="20"/>
          <w:u w:val="single"/>
          <w:lang w:val="en-US" w:eastAsia="zh-CN"/>
        </w:rPr>
        <w:t xml:space="preserve">. </w:t>
      </w:r>
      <w:r w:rsidRPr="00CE2A72">
        <w:rPr>
          <w:rFonts w:eastAsia="SimSun"/>
          <w:color w:val="000000"/>
          <w:sz w:val="20"/>
          <w:u w:val="single"/>
          <w:lang w:val="en-US" w:eastAsia="zh-CN"/>
        </w:rPr>
        <w:t>T</w:t>
      </w:r>
      <w:r w:rsidRPr="00CE2A72">
        <w:rPr>
          <w:rFonts w:eastAsia="SimSun" w:hint="eastAsia"/>
          <w:color w:val="000000"/>
          <w:sz w:val="20"/>
          <w:u w:val="single"/>
          <w:lang w:val="en-US" w:eastAsia="zh-CN"/>
        </w:rPr>
        <w:t xml:space="preserve">he STA shall obey the </w:t>
      </w:r>
      <w:r w:rsidRPr="00CE2A72">
        <w:rPr>
          <w:rFonts w:eastAsia="SimSun"/>
          <w:color w:val="000000"/>
          <w:sz w:val="20"/>
          <w:u w:val="single"/>
          <w:lang w:val="en-US" w:eastAsia="ko-KR"/>
        </w:rPr>
        <w:t>TXOP limit</w:t>
      </w:r>
      <w:r w:rsidRPr="00CE2A72">
        <w:rPr>
          <w:rFonts w:eastAsia="SimSun" w:hint="eastAsia"/>
          <w:color w:val="000000"/>
          <w:sz w:val="20"/>
          <w:u w:val="single"/>
          <w:lang w:val="en-US" w:eastAsia="zh-CN"/>
        </w:rPr>
        <w:t xml:space="preserve"> of the AC of the frames transmitted within the SO frame exchange</w:t>
      </w:r>
      <w:r w:rsidRPr="00CE2A72">
        <w:rPr>
          <w:rFonts w:eastAsia="SimSun"/>
          <w:color w:val="000000"/>
          <w:sz w:val="20"/>
          <w:u w:val="single"/>
          <w:lang w:val="en-US" w:eastAsia="ko-KR"/>
        </w:rPr>
        <w:t xml:space="preserve">. </w:t>
      </w:r>
      <w:r w:rsidRPr="00CE2A72">
        <w:rPr>
          <w:rFonts w:eastAsia="SimSun" w:hint="eastAsia"/>
          <w:color w:val="000000"/>
          <w:sz w:val="20"/>
          <w:u w:val="single"/>
          <w:lang w:val="en-US" w:eastAsia="zh-CN"/>
        </w:rPr>
        <w:t>A STA that transmits an SO frame exchange may transmit additional SO frame exchanges by continuing to use the SO-</w:t>
      </w:r>
      <w:proofErr w:type="spellStart"/>
      <w:r w:rsidRPr="00CE2A72">
        <w:rPr>
          <w:rFonts w:eastAsia="SimSun" w:hint="eastAsia"/>
          <w:color w:val="000000"/>
          <w:sz w:val="20"/>
          <w:u w:val="single"/>
          <w:lang w:val="en-US" w:eastAsia="zh-CN"/>
        </w:rPr>
        <w:t>Backoff</w:t>
      </w:r>
      <w:proofErr w:type="spellEnd"/>
      <w:r w:rsidRPr="00CE2A72">
        <w:rPr>
          <w:rFonts w:eastAsia="SimSun" w:hint="eastAsia"/>
          <w:color w:val="000000"/>
          <w:sz w:val="20"/>
          <w:u w:val="single"/>
          <w:lang w:val="en-US" w:eastAsia="zh-CN"/>
        </w:rPr>
        <w:t xml:space="preserve">  </w:t>
      </w:r>
      <w:r w:rsidRPr="00CE2A72">
        <w:rPr>
          <w:rFonts w:eastAsia="SimSun"/>
          <w:color w:val="000000"/>
          <w:sz w:val="20"/>
          <w:u w:val="single"/>
          <w:lang w:val="en-US" w:eastAsia="zh-CN"/>
        </w:rPr>
        <w:t>function</w:t>
      </w:r>
      <w:r w:rsidRPr="00CE2A72">
        <w:rPr>
          <w:rFonts w:eastAsia="SimSun" w:hint="eastAsia"/>
          <w:color w:val="000000"/>
          <w:sz w:val="20"/>
          <w:u w:val="single"/>
          <w:lang w:val="en-US" w:eastAsia="zh-CN"/>
        </w:rPr>
        <w:t xml:space="preserve"> until the expiry of the SO timer.</w:t>
      </w:r>
      <w:r w:rsidRPr="00CE2A72">
        <w:rPr>
          <w:rFonts w:hint="eastAsia"/>
          <w:color w:val="000000"/>
          <w:sz w:val="20"/>
          <w:u w:val="single"/>
          <w:lang w:val="en-US" w:eastAsia="ko-KR"/>
        </w:rPr>
        <w:t xml:space="preserve"> </w:t>
      </w:r>
      <w:r w:rsidRPr="00CE2A72">
        <w:rPr>
          <w:rFonts w:ascii="TimesNewRomanPSMT" w:hAnsi="TimesNewRomanPSMT" w:cs="TimesNewRomanPSMT"/>
          <w:sz w:val="20"/>
          <w:u w:val="single"/>
          <w:lang w:val="en-US" w:eastAsia="ko-KR"/>
        </w:rPr>
        <w:t>If the ongoing frame exchange transmission is between a pair of STAs</w:t>
      </w:r>
      <w:r w:rsidRPr="00CE2A72">
        <w:rPr>
          <w:rFonts w:ascii="TimesNewRomanPSMT" w:hAnsi="TimesNewRomanPSMT" w:cs="TimesNewRomanPSMT" w:hint="eastAsia"/>
          <w:sz w:val="20"/>
          <w:u w:val="single"/>
          <w:lang w:val="en-US" w:eastAsia="ko-KR"/>
        </w:rPr>
        <w:t xml:space="preserve"> within </w:t>
      </w:r>
      <w:r w:rsidRPr="00CE2A72">
        <w:rPr>
          <w:rFonts w:ascii="TimesNewRomanPSMT" w:hAnsi="TimesNewRomanPSMT" w:cs="TimesNewRomanPSMT"/>
          <w:sz w:val="20"/>
          <w:u w:val="single"/>
          <w:lang w:val="en-US" w:eastAsia="ko-KR"/>
        </w:rPr>
        <w:t>its BSS, the STA cannot reset</w:t>
      </w:r>
      <w:r w:rsidRPr="00CE2A72">
        <w:rPr>
          <w:rFonts w:ascii="TimesNewRomanPSMT" w:hAnsi="TimesNewRomanPSMT" w:cs="TimesNewRomanPSMT" w:hint="eastAsia"/>
          <w:sz w:val="20"/>
          <w:u w:val="single"/>
          <w:lang w:val="en-US" w:eastAsia="ko-KR"/>
        </w:rPr>
        <w:t xml:space="preserve"> its NAV and its RID</w:t>
      </w:r>
      <w:r w:rsidRPr="00CE2A72">
        <w:rPr>
          <w:rFonts w:ascii="TimesNewRomanPSMT" w:hAnsi="TimesNewRomanPSMT" w:cs="TimesNewRomanPSMT"/>
          <w:sz w:val="20"/>
          <w:u w:val="single"/>
          <w:lang w:val="en-US" w:eastAsia="ko-KR"/>
        </w:rPr>
        <w:t xml:space="preserve"> even though the Spatially Orthogonal conditions are met.</w:t>
      </w:r>
    </w:p>
    <w:p w:rsidR="00BF13FF" w:rsidRPr="00CE2A72" w:rsidRDefault="00BF13FF" w:rsidP="00BF13FF">
      <w:pPr>
        <w:rPr>
          <w:rFonts w:ascii="TimesNewRomanPSMT" w:hAnsi="TimesNewRomanPSMT" w:cs="TimesNewRomanPSMT"/>
          <w:sz w:val="20"/>
          <w:u w:val="single"/>
          <w:lang w:val="en-US" w:eastAsia="ko-KR"/>
        </w:rPr>
      </w:pPr>
    </w:p>
    <w:p w:rsidR="00BF13FF" w:rsidRPr="00CE2A72" w:rsidRDefault="00BF13FF" w:rsidP="00BF13FF">
      <w:pPr>
        <w:rPr>
          <w:rFonts w:ascii="TimesNewRomanPS-BoldItalicMT" w:hAnsi="TimesNewRomanPS-BoldItalicMT" w:cs="TimesNewRomanPS-BoldItalicMT"/>
          <w:b/>
          <w:bCs/>
          <w:i/>
          <w:iCs/>
          <w:sz w:val="20"/>
          <w:lang w:val="en-US" w:eastAsia="ko-KR"/>
        </w:rPr>
      </w:pPr>
      <w:r w:rsidRPr="00CE2A72">
        <w:rPr>
          <w:rFonts w:ascii="TimesNewRomanPS-BoldItalicMT" w:hAnsi="TimesNewRomanPS-BoldItalicMT" w:cs="TimesNewRomanPS-BoldItalicMT"/>
          <w:b/>
          <w:bCs/>
          <w:i/>
          <w:iCs/>
          <w:sz w:val="20"/>
          <w:lang w:val="en-US" w:eastAsia="ko-KR"/>
        </w:rPr>
        <w:t>Change the following paragrap</w:t>
      </w:r>
      <w:r w:rsidRPr="00CE2A72">
        <w:rPr>
          <w:rFonts w:ascii="TimesNewRomanPS-BoldItalicMT" w:hAnsi="TimesNewRomanPS-BoldItalicMT" w:cs="TimesNewRomanPS-BoldItalicMT" w:hint="eastAsia"/>
          <w:b/>
          <w:bCs/>
          <w:i/>
          <w:iCs/>
          <w:sz w:val="20"/>
          <w:lang w:val="en-US" w:eastAsia="ko-KR"/>
        </w:rPr>
        <w:t>h (Page 202, Lines 30-38)</w:t>
      </w:r>
      <w:r w:rsidRPr="00CE2A72">
        <w:rPr>
          <w:rFonts w:ascii="TimesNewRomanPS-BoldItalicMT" w:hAnsi="TimesNewRomanPS-BoldItalicMT" w:cs="TimesNewRomanPS-BoldItalicMT"/>
          <w:b/>
          <w:bCs/>
          <w:i/>
          <w:iCs/>
          <w:sz w:val="20"/>
          <w:lang w:val="en-US" w:eastAsia="ko-KR"/>
        </w:rPr>
        <w:t xml:space="preserve"> in the sub-clause 9.</w:t>
      </w:r>
      <w:r w:rsidRPr="00CE2A72">
        <w:rPr>
          <w:rFonts w:ascii="TimesNewRomanPS-BoldItalicMT" w:hAnsi="TimesNewRomanPS-BoldItalicMT" w:cs="TimesNewRomanPS-BoldItalicMT" w:hint="eastAsia"/>
          <w:b/>
          <w:bCs/>
          <w:i/>
          <w:iCs/>
          <w:sz w:val="20"/>
          <w:lang w:val="en-US" w:eastAsia="ko-KR"/>
        </w:rPr>
        <w:t>47</w:t>
      </w:r>
      <w:r w:rsidRPr="00CE2A72">
        <w:rPr>
          <w:rFonts w:ascii="TimesNewRomanPS-BoldItalicMT" w:hAnsi="TimesNewRomanPS-BoldItalicMT" w:cs="TimesNewRomanPS-BoldItalicMT"/>
          <w:b/>
          <w:bCs/>
          <w:i/>
          <w:iCs/>
          <w:sz w:val="20"/>
          <w:lang w:val="en-US" w:eastAsia="ko-KR"/>
        </w:rPr>
        <w:t>.</w:t>
      </w:r>
      <w:r w:rsidRPr="00CE2A72">
        <w:rPr>
          <w:rFonts w:ascii="TimesNewRomanPS-BoldItalicMT" w:hAnsi="TimesNewRomanPS-BoldItalicMT" w:cs="TimesNewRomanPS-BoldItalicMT" w:hint="eastAsia"/>
          <w:b/>
          <w:bCs/>
          <w:i/>
          <w:iCs/>
          <w:sz w:val="20"/>
          <w:lang w:val="en-US" w:eastAsia="ko-KR"/>
        </w:rPr>
        <w:t>4</w:t>
      </w:r>
      <w:r w:rsidRPr="00CE2A72">
        <w:rPr>
          <w:rFonts w:ascii="TimesNewRomanPS-BoldItalicMT" w:hAnsi="TimesNewRomanPS-BoldItalicMT" w:cs="TimesNewRomanPS-BoldItalicMT"/>
          <w:b/>
          <w:bCs/>
          <w:i/>
          <w:iCs/>
          <w:sz w:val="20"/>
          <w:lang w:val="en-US" w:eastAsia="ko-KR"/>
        </w:rPr>
        <w:t xml:space="preserve"> as follows:</w:t>
      </w:r>
    </w:p>
    <w:p w:rsidR="00BF13FF" w:rsidRPr="00CE2A72" w:rsidRDefault="00BF13FF" w:rsidP="00BF13FF">
      <w:pPr>
        <w:rPr>
          <w:szCs w:val="22"/>
          <w:lang w:val="en-US" w:eastAsia="ko-KR"/>
        </w:rPr>
      </w:pPr>
    </w:p>
    <w:p w:rsidR="00BF13FF" w:rsidRPr="00CE2A72" w:rsidRDefault="00BF13FF" w:rsidP="00BF13FF">
      <w:pPr>
        <w:widowControl w:val="0"/>
        <w:autoSpaceDE w:val="0"/>
        <w:autoSpaceDN w:val="0"/>
        <w:adjustRightInd w:val="0"/>
        <w:rPr>
          <w:rFonts w:ascii="TimesNewRomanPSMT" w:hAnsi="TimesNewRomanPSMT" w:cs="TimesNewRomanPSMT"/>
          <w:sz w:val="20"/>
          <w:lang w:val="en-US" w:eastAsia="ko-KR"/>
        </w:rPr>
      </w:pPr>
      <w:r w:rsidRPr="00CE2A72">
        <w:rPr>
          <w:rFonts w:ascii="TimesNewRomanPSMT" w:hAnsi="TimesNewRomanPSMT" w:cs="TimesNewRomanPSMT"/>
          <w:sz w:val="20"/>
          <w:lang w:val="en-US" w:eastAsia="ko-KR"/>
        </w:rPr>
        <w:t>To facilitate the detection of the spatially orthogonal conditions by OBSS stations or OBSS APs, the short</w:t>
      </w:r>
      <w:r w:rsidRPr="00CE2A72">
        <w:rPr>
          <w:rFonts w:ascii="TimesNewRomanPSMT" w:hAnsi="TimesNewRomanPSMT" w:cs="TimesNewRomanPSMT" w:hint="eastAsia"/>
          <w:sz w:val="20"/>
          <w:lang w:val="en-US" w:eastAsia="ko-KR"/>
        </w:rPr>
        <w:t xml:space="preserve"> </w:t>
      </w:r>
      <w:r w:rsidRPr="00CE2A72">
        <w:rPr>
          <w:rFonts w:ascii="TimesNewRomanPSMT" w:hAnsi="TimesNewRomanPSMT" w:cs="TimesNewRomanPSMT"/>
          <w:sz w:val="20"/>
          <w:lang w:val="en-US" w:eastAsia="ko-KR"/>
        </w:rPr>
        <w:t>CTS NDP may be transmitted preceding the SO frame exchange. If the Early Sector Indicator in the CTS</w:t>
      </w:r>
      <w:r w:rsidRPr="00CE2A72">
        <w:rPr>
          <w:rFonts w:ascii="TimesNewRomanPSMT" w:hAnsi="TimesNewRomanPSMT" w:cs="TimesNewRomanPSMT" w:hint="eastAsia"/>
          <w:sz w:val="20"/>
          <w:lang w:val="en-US" w:eastAsia="ko-KR"/>
        </w:rPr>
        <w:t xml:space="preserve"> </w:t>
      </w:r>
      <w:r w:rsidRPr="00CE2A72">
        <w:rPr>
          <w:rFonts w:ascii="TimesNewRomanPSMT" w:hAnsi="TimesNewRomanPSMT" w:cs="TimesNewRomanPSMT"/>
          <w:sz w:val="20"/>
          <w:lang w:val="en-US" w:eastAsia="ko-KR"/>
        </w:rPr>
        <w:t xml:space="preserve">frame is set to 1, it indicates that the NDP CTS frame is followed by the </w:t>
      </w:r>
      <w:proofErr w:type="spellStart"/>
      <w:r w:rsidRPr="00CE2A72">
        <w:rPr>
          <w:rFonts w:ascii="TimesNewRomanPSMT" w:hAnsi="TimesNewRomanPSMT" w:cs="TimesNewRomanPSMT"/>
          <w:sz w:val="20"/>
          <w:lang w:val="en-US" w:eastAsia="ko-KR"/>
        </w:rPr>
        <w:t>sectorized</w:t>
      </w:r>
      <w:proofErr w:type="spellEnd"/>
      <w:r w:rsidRPr="00CE2A72">
        <w:rPr>
          <w:rFonts w:ascii="TimesNewRomanPSMT" w:hAnsi="TimesNewRomanPSMT" w:cs="TimesNewRomanPSMT"/>
          <w:sz w:val="20"/>
          <w:lang w:val="en-US" w:eastAsia="ko-KR"/>
        </w:rPr>
        <w:t xml:space="preserve"> beam frame exchange.</w:t>
      </w:r>
      <w:r w:rsidRPr="00CE2A72">
        <w:rPr>
          <w:rFonts w:ascii="TimesNewRomanPSMT" w:hAnsi="TimesNewRomanPSMT" w:cs="TimesNewRomanPSMT" w:hint="eastAsia"/>
          <w:sz w:val="20"/>
          <w:lang w:val="en-US" w:eastAsia="ko-KR"/>
        </w:rPr>
        <w:t xml:space="preserve"> </w:t>
      </w:r>
      <w:r w:rsidRPr="00CE2A72">
        <w:rPr>
          <w:rFonts w:ascii="TimesNewRomanPSMT" w:hAnsi="TimesNewRomanPSMT" w:cs="TimesNewRomanPSMT"/>
          <w:sz w:val="20"/>
          <w:lang w:val="en-US" w:eastAsia="ko-KR"/>
        </w:rPr>
        <w:t xml:space="preserve">Setting the early sector indicator to 1 also indicates to the OBSS STAs that it can cancel its NAV </w:t>
      </w:r>
      <w:r w:rsidRPr="00CE2A72">
        <w:rPr>
          <w:rFonts w:ascii="TimesNewRomanPSMT" w:hAnsi="TimesNewRomanPSMT" w:cs="TimesNewRomanPSMT" w:hint="eastAsia"/>
          <w:sz w:val="20"/>
          <w:u w:val="single"/>
          <w:lang w:val="en-US" w:eastAsia="ko-KR"/>
        </w:rPr>
        <w:t>and its RID</w:t>
      </w:r>
      <w:r w:rsidRPr="00CE2A72">
        <w:rPr>
          <w:rFonts w:ascii="TimesNewRomanPSMT" w:hAnsi="TimesNewRomanPSMT" w:cs="TimesNewRomanPSMT" w:hint="eastAsia"/>
          <w:sz w:val="20"/>
          <w:lang w:val="en-US" w:eastAsia="ko-KR"/>
        </w:rPr>
        <w:t xml:space="preserve"> </w:t>
      </w:r>
      <w:r w:rsidRPr="00CE2A72">
        <w:rPr>
          <w:rFonts w:ascii="TimesNewRomanPSMT" w:hAnsi="TimesNewRomanPSMT" w:cs="TimesNewRomanPSMT"/>
          <w:sz w:val="20"/>
          <w:lang w:val="en-US" w:eastAsia="ko-KR"/>
        </w:rPr>
        <w:t>setting if</w:t>
      </w:r>
      <w:r w:rsidRPr="00CE2A72">
        <w:rPr>
          <w:rFonts w:ascii="TimesNewRomanPSMT" w:hAnsi="TimesNewRomanPSMT" w:cs="TimesNewRomanPSMT" w:hint="eastAsia"/>
          <w:sz w:val="20"/>
          <w:lang w:val="en-US" w:eastAsia="ko-KR"/>
        </w:rPr>
        <w:t xml:space="preserve"> </w:t>
      </w:r>
      <w:r w:rsidRPr="00CE2A72">
        <w:rPr>
          <w:rFonts w:ascii="TimesNewRomanPSMT" w:hAnsi="TimesNewRomanPSMT" w:cs="TimesNewRomanPSMT"/>
          <w:sz w:val="20"/>
          <w:lang w:val="en-US" w:eastAsia="ko-KR"/>
        </w:rPr>
        <w:t xml:space="preserve">the Spatially </w:t>
      </w:r>
      <w:bookmarkStart w:id="0" w:name="_GoBack"/>
      <w:bookmarkEnd w:id="0"/>
      <w:r w:rsidRPr="00CE2A72">
        <w:rPr>
          <w:rFonts w:ascii="TimesNewRomanPSMT" w:hAnsi="TimesNewRomanPSMT" w:cs="TimesNewRomanPSMT"/>
          <w:sz w:val="20"/>
          <w:lang w:val="en-US" w:eastAsia="ko-KR"/>
        </w:rPr>
        <w:t xml:space="preserve">Orthogonal conditions are subsequently met. </w:t>
      </w:r>
      <w:r w:rsidRPr="00CE2A72">
        <w:rPr>
          <w:rFonts w:ascii="TimesNewRomanPSMT" w:hAnsi="TimesNewRomanPSMT" w:cs="TimesNewRomanPSMT"/>
          <w:sz w:val="20"/>
          <w:u w:val="single"/>
          <w:lang w:val="en-US" w:eastAsia="ko-KR"/>
        </w:rPr>
        <w:t xml:space="preserve">If the ongoing frame exchange transmission preceding the CTS NDP is between a pair of STAs within its BSS, the STA cannot reset its NAV and its RID even though the Spatially Orthogonal conditions are met. The RXVECTOR parameter COLOR is utilized to detect the SO condition by classifying the received PPDU between a same BSS transmission and an OBSS transmission. </w:t>
      </w:r>
      <w:r w:rsidRPr="00CE2A72">
        <w:rPr>
          <w:rFonts w:ascii="TimesNewRomanPSMT" w:hAnsi="TimesNewRomanPSMT" w:cs="TimesNewRomanPSMT"/>
          <w:sz w:val="20"/>
          <w:lang w:val="en-US" w:eastAsia="ko-KR"/>
        </w:rPr>
        <w:t>Hence, if the early sector indicator is set to 0,</w:t>
      </w:r>
      <w:r w:rsidRPr="00CE2A72">
        <w:rPr>
          <w:rFonts w:ascii="TimesNewRomanPSMT" w:hAnsi="TimesNewRomanPSMT" w:cs="TimesNewRomanPSMT" w:hint="eastAsia"/>
          <w:sz w:val="20"/>
          <w:lang w:val="en-US" w:eastAsia="ko-KR"/>
        </w:rPr>
        <w:t xml:space="preserve"> </w:t>
      </w:r>
      <w:r w:rsidRPr="00CE2A72">
        <w:rPr>
          <w:rFonts w:ascii="TimesNewRomanPSMT" w:hAnsi="TimesNewRomanPSMT" w:cs="TimesNewRomanPSMT"/>
          <w:sz w:val="20"/>
          <w:lang w:val="en-US" w:eastAsia="ko-KR"/>
        </w:rPr>
        <w:t>OBSS STA need not check for spatially orthogonal conditions. Figure 9-96 (CTS-to-self preceding SO</w:t>
      </w:r>
      <w:r w:rsidRPr="00CE2A72">
        <w:rPr>
          <w:rFonts w:ascii="TimesNewRomanPSMT" w:hAnsi="TimesNewRomanPSMT" w:cs="TimesNewRomanPSMT" w:hint="eastAsia"/>
          <w:sz w:val="20"/>
          <w:lang w:val="en-US" w:eastAsia="ko-KR"/>
        </w:rPr>
        <w:t xml:space="preserve"> </w:t>
      </w:r>
      <w:r w:rsidRPr="00CE2A72">
        <w:rPr>
          <w:rFonts w:ascii="TimesNewRomanPSMT" w:hAnsi="TimesNewRomanPSMT" w:cs="TimesNewRomanPSMT"/>
          <w:sz w:val="20"/>
          <w:lang w:val="en-US" w:eastAsia="ko-KR"/>
        </w:rPr>
        <w:t>frame exchange sequence) illustrates the frame exchange preceded by CTS-to-self using CTS NDP.</w:t>
      </w:r>
    </w:p>
    <w:p w:rsidR="00BF13FF" w:rsidRPr="00CE2A72" w:rsidRDefault="00BF13FF" w:rsidP="00BF13FF">
      <w:pPr>
        <w:widowControl w:val="0"/>
        <w:autoSpaceDE w:val="0"/>
        <w:autoSpaceDN w:val="0"/>
        <w:adjustRightInd w:val="0"/>
        <w:rPr>
          <w:rFonts w:ascii="TimesNewRomanPSMT" w:hAnsi="TimesNewRomanPSMT" w:cs="TimesNewRomanPSMT"/>
          <w:sz w:val="20"/>
          <w:lang w:val="en-US" w:eastAsia="ko-KR"/>
        </w:rPr>
      </w:pPr>
    </w:p>
    <w:p w:rsidR="00BF13FF" w:rsidRPr="00C83044" w:rsidRDefault="00BF13FF" w:rsidP="00BF13FF">
      <w:pPr>
        <w:rPr>
          <w:b/>
          <w:i/>
          <w:lang w:eastAsia="zh-CN"/>
        </w:rPr>
      </w:pPr>
      <w:proofErr w:type="spellStart"/>
      <w:r w:rsidRPr="00CE2A72">
        <w:rPr>
          <w:rFonts w:hint="eastAsia"/>
          <w:b/>
          <w:i/>
          <w:lang w:eastAsia="ko-KR"/>
        </w:rPr>
        <w:t>TGah</w:t>
      </w:r>
      <w:proofErr w:type="spellEnd"/>
      <w:r w:rsidRPr="00CE2A72">
        <w:rPr>
          <w:rFonts w:hint="eastAsia"/>
          <w:b/>
          <w:i/>
          <w:lang w:eastAsia="ko-KR"/>
        </w:rPr>
        <w:t xml:space="preserve"> editor: </w:t>
      </w:r>
      <w:r w:rsidRPr="00CE2A72">
        <w:rPr>
          <w:rFonts w:hint="eastAsia"/>
          <w:b/>
          <w:i/>
          <w:lang w:eastAsia="zh-CN"/>
        </w:rPr>
        <w:t xml:space="preserve">change all the </w:t>
      </w:r>
      <w:proofErr w:type="spellStart"/>
      <w:r w:rsidRPr="00CE2A72">
        <w:rPr>
          <w:rFonts w:hint="eastAsia"/>
          <w:b/>
          <w:i/>
          <w:lang w:eastAsia="zh-CN"/>
        </w:rPr>
        <w:t>occurances</w:t>
      </w:r>
      <w:proofErr w:type="spellEnd"/>
      <w:r w:rsidRPr="00CE2A72">
        <w:rPr>
          <w:rFonts w:hint="eastAsia"/>
          <w:b/>
          <w:i/>
          <w:lang w:eastAsia="zh-CN"/>
        </w:rPr>
        <w:t xml:space="preserve"> of </w:t>
      </w:r>
      <w:r w:rsidRPr="00CE2A72">
        <w:rPr>
          <w:b/>
          <w:i/>
          <w:lang w:eastAsia="zh-CN"/>
        </w:rPr>
        <w:t>“</w:t>
      </w:r>
      <w:r w:rsidRPr="00CE2A72">
        <w:rPr>
          <w:rFonts w:hint="eastAsia"/>
          <w:b/>
          <w:i/>
          <w:lang w:eastAsia="zh-CN"/>
        </w:rPr>
        <w:t>OBSS station</w:t>
      </w:r>
      <w:r w:rsidRPr="00CE2A72">
        <w:rPr>
          <w:b/>
          <w:i/>
          <w:lang w:eastAsia="zh-CN"/>
        </w:rPr>
        <w:t>”</w:t>
      </w:r>
      <w:r w:rsidRPr="00CE2A72">
        <w:rPr>
          <w:rFonts w:hint="eastAsia"/>
          <w:b/>
          <w:i/>
          <w:lang w:eastAsia="zh-CN"/>
        </w:rPr>
        <w:t xml:space="preserve"> to </w:t>
      </w:r>
      <w:r w:rsidRPr="00CE2A72">
        <w:rPr>
          <w:b/>
          <w:i/>
          <w:lang w:eastAsia="zh-CN"/>
        </w:rPr>
        <w:t>“</w:t>
      </w:r>
      <w:r w:rsidRPr="00CE2A72">
        <w:rPr>
          <w:rFonts w:hint="eastAsia"/>
          <w:b/>
          <w:i/>
          <w:lang w:eastAsia="zh-CN"/>
        </w:rPr>
        <w:t>OBSS non-AP STA</w:t>
      </w:r>
      <w:r w:rsidRPr="00CE2A72">
        <w:rPr>
          <w:b/>
          <w:i/>
          <w:lang w:eastAsia="zh-CN"/>
        </w:rPr>
        <w:t>”</w:t>
      </w:r>
      <w:r w:rsidRPr="00CE2A72">
        <w:rPr>
          <w:rFonts w:hint="eastAsia"/>
          <w:b/>
          <w:i/>
          <w:lang w:eastAsia="zh-CN"/>
        </w:rPr>
        <w:t xml:space="preserve"> throughout</w:t>
      </w:r>
      <w:r w:rsidRPr="00CE2A72">
        <w:rPr>
          <w:rFonts w:hint="eastAsia"/>
          <w:b/>
          <w:i/>
          <w:lang w:eastAsia="ko-KR"/>
        </w:rPr>
        <w:t xml:space="preserve"> the sub-clause 9.47.4</w:t>
      </w:r>
      <w:r w:rsidRPr="00CE2A72">
        <w:rPr>
          <w:rFonts w:hint="eastAsia"/>
          <w:b/>
          <w:i/>
          <w:lang w:eastAsia="zh-CN"/>
        </w:rPr>
        <w:t>.</w:t>
      </w:r>
    </w:p>
    <w:p w:rsidR="00BF13FF" w:rsidRPr="00BF5553" w:rsidRDefault="00BF13FF" w:rsidP="00BF13FF">
      <w:pPr>
        <w:widowControl w:val="0"/>
        <w:autoSpaceDE w:val="0"/>
        <w:autoSpaceDN w:val="0"/>
        <w:adjustRightInd w:val="0"/>
        <w:rPr>
          <w:szCs w:val="22"/>
          <w:lang w:eastAsia="ko-KR"/>
        </w:rPr>
      </w:pPr>
    </w:p>
    <w:sectPr w:rsidR="00BF13FF" w:rsidRPr="00BF5553" w:rsidSect="00654B3B">
      <w:headerReference w:type="default" r:id="rId14"/>
      <w:footerReference w:type="default" r:id="rId15"/>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3A9" w:rsidRDefault="005843A9">
      <w:r>
        <w:separator/>
      </w:r>
    </w:p>
  </w:endnote>
  <w:endnote w:type="continuationSeparator" w:id="0">
    <w:p w:rsidR="005843A9" w:rsidRDefault="0058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8" w:rsidRDefault="005843A9">
    <w:pPr>
      <w:pStyle w:val="a3"/>
      <w:tabs>
        <w:tab w:val="clear" w:pos="6480"/>
        <w:tab w:val="center" w:pos="4680"/>
        <w:tab w:val="right" w:pos="9360"/>
      </w:tabs>
    </w:pPr>
    <w:r>
      <w:fldChar w:fldCharType="begin"/>
    </w:r>
    <w:r>
      <w:instrText xml:space="preserve"> SUBJECT  \* MERGEFORMAT </w:instrText>
    </w:r>
    <w:r>
      <w:fldChar w:fldCharType="separate"/>
    </w:r>
    <w:r w:rsidR="00E07608">
      <w:t>Submission</w:t>
    </w:r>
    <w:r>
      <w:fldChar w:fldCharType="end"/>
    </w:r>
    <w:r w:rsidR="00E07608">
      <w:tab/>
      <w:t xml:space="preserve">page </w:t>
    </w:r>
    <w:r w:rsidR="00C01500">
      <w:fldChar w:fldCharType="begin"/>
    </w:r>
    <w:r w:rsidR="00DB78ED">
      <w:instrText xml:space="preserve">page </w:instrText>
    </w:r>
    <w:r w:rsidR="00C01500">
      <w:fldChar w:fldCharType="separate"/>
    </w:r>
    <w:r w:rsidR="00B9460A">
      <w:rPr>
        <w:noProof/>
      </w:rPr>
      <w:t>5</w:t>
    </w:r>
    <w:r w:rsidR="00C01500">
      <w:rPr>
        <w:noProof/>
      </w:rPr>
      <w:fldChar w:fldCharType="end"/>
    </w:r>
    <w:r w:rsidR="00E07608">
      <w:tab/>
    </w:r>
    <w:proofErr w:type="spellStart"/>
    <w:r w:rsidR="00E07608">
      <w:rPr>
        <w:rFonts w:hint="eastAsia"/>
        <w:lang w:eastAsia="ko-KR"/>
      </w:rPr>
      <w:t>Yongho</w:t>
    </w:r>
    <w:proofErr w:type="spellEnd"/>
    <w:r w:rsidR="00E07608">
      <w:rPr>
        <w:rFonts w:hint="eastAsia"/>
        <w:lang w:eastAsia="ko-KR"/>
      </w:rPr>
      <w:t xml:space="preserve"> </w:t>
    </w:r>
    <w:proofErr w:type="spellStart"/>
    <w:r w:rsidR="00E07608">
      <w:rPr>
        <w:rFonts w:hint="eastAsia"/>
        <w:lang w:eastAsia="ko-KR"/>
      </w:rPr>
      <w:t>Seok</w:t>
    </w:r>
    <w:proofErr w:type="spellEnd"/>
    <w:r w:rsidR="00E07608">
      <w:t xml:space="preserve">, </w:t>
    </w:r>
    <w:r w:rsidR="00E07608">
      <w:rPr>
        <w:rFonts w:hint="eastAsia"/>
        <w:lang w:eastAsia="ko-KR"/>
      </w:rPr>
      <w:t>LG Electronics</w:t>
    </w:r>
  </w:p>
  <w:p w:rsidR="00E07608" w:rsidRDefault="00E076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3A9" w:rsidRDefault="005843A9">
      <w:r>
        <w:separator/>
      </w:r>
    </w:p>
  </w:footnote>
  <w:footnote w:type="continuationSeparator" w:id="0">
    <w:p w:rsidR="005843A9" w:rsidRDefault="00584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8" w:rsidRDefault="00E07608">
    <w:pPr>
      <w:pStyle w:val="a4"/>
      <w:tabs>
        <w:tab w:val="clear" w:pos="6480"/>
        <w:tab w:val="center" w:pos="4680"/>
        <w:tab w:val="right" w:pos="9360"/>
      </w:tabs>
    </w:pPr>
    <w:r>
      <w:rPr>
        <w:rFonts w:hint="eastAsia"/>
        <w:lang w:eastAsia="ko-KR"/>
      </w:rPr>
      <w:t xml:space="preserve">January </w:t>
    </w:r>
    <w:r>
      <w:t>201</w:t>
    </w:r>
    <w:r>
      <w:rPr>
        <w:rFonts w:hint="eastAsia"/>
        <w:lang w:eastAsia="ko-KR"/>
      </w:rPr>
      <w:t>4</w:t>
    </w:r>
    <w:r>
      <w:tab/>
    </w:r>
    <w:r>
      <w:tab/>
    </w:r>
    <w:r w:rsidR="005843A9">
      <w:fldChar w:fldCharType="begin"/>
    </w:r>
    <w:r w:rsidR="005843A9">
      <w:instrText xml:space="preserve"> TITLE  \* MERGEFORMAT </w:instrText>
    </w:r>
    <w:r w:rsidR="005843A9">
      <w:fldChar w:fldCharType="separate"/>
    </w:r>
    <w:r>
      <w:t>doc.: IEEE 802.11-1</w:t>
    </w:r>
    <w:r>
      <w:rPr>
        <w:rFonts w:hint="eastAsia"/>
        <w:lang w:eastAsia="ko-KR"/>
      </w:rPr>
      <w:t>4</w:t>
    </w:r>
    <w:r>
      <w:t>/</w:t>
    </w:r>
    <w:r w:rsidR="001F221E">
      <w:rPr>
        <w:rFonts w:hint="eastAsia"/>
        <w:lang w:eastAsia="ko-KR"/>
      </w:rPr>
      <w:t>0076</w:t>
    </w:r>
    <w:r>
      <w:t>r</w:t>
    </w:r>
    <w:r w:rsidR="005843A9">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45FA"/>
    <w:rsid w:val="00006DBB"/>
    <w:rsid w:val="0000743C"/>
    <w:rsid w:val="00013F87"/>
    <w:rsid w:val="000157CC"/>
    <w:rsid w:val="00017D25"/>
    <w:rsid w:val="00017E92"/>
    <w:rsid w:val="00024344"/>
    <w:rsid w:val="00024487"/>
    <w:rsid w:val="0002737A"/>
    <w:rsid w:val="00027D05"/>
    <w:rsid w:val="000405C4"/>
    <w:rsid w:val="00052123"/>
    <w:rsid w:val="00053FC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4FFA"/>
    <w:rsid w:val="00097928"/>
    <w:rsid w:val="000B03AE"/>
    <w:rsid w:val="000D174A"/>
    <w:rsid w:val="000D276A"/>
    <w:rsid w:val="000D2F1B"/>
    <w:rsid w:val="000D4F5F"/>
    <w:rsid w:val="000D5EBD"/>
    <w:rsid w:val="000D674F"/>
    <w:rsid w:val="000E0494"/>
    <w:rsid w:val="000E1C37"/>
    <w:rsid w:val="000E1D7B"/>
    <w:rsid w:val="000E4B82"/>
    <w:rsid w:val="000E720C"/>
    <w:rsid w:val="000F4937"/>
    <w:rsid w:val="000F5088"/>
    <w:rsid w:val="000F5903"/>
    <w:rsid w:val="000F685B"/>
    <w:rsid w:val="0010027A"/>
    <w:rsid w:val="001015F8"/>
    <w:rsid w:val="00105918"/>
    <w:rsid w:val="001079B1"/>
    <w:rsid w:val="001109AA"/>
    <w:rsid w:val="00112C6A"/>
    <w:rsid w:val="001132A8"/>
    <w:rsid w:val="001132F1"/>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0E5D"/>
    <w:rsid w:val="0019164F"/>
    <w:rsid w:val="00192C6E"/>
    <w:rsid w:val="00193C39"/>
    <w:rsid w:val="001943F7"/>
    <w:rsid w:val="001A2240"/>
    <w:rsid w:val="001A3306"/>
    <w:rsid w:val="001A7DFA"/>
    <w:rsid w:val="001B252D"/>
    <w:rsid w:val="001B2904"/>
    <w:rsid w:val="001B63BC"/>
    <w:rsid w:val="001C7CCE"/>
    <w:rsid w:val="001D15ED"/>
    <w:rsid w:val="001D328B"/>
    <w:rsid w:val="001D4A93"/>
    <w:rsid w:val="001E0946"/>
    <w:rsid w:val="001E7C32"/>
    <w:rsid w:val="001E7D03"/>
    <w:rsid w:val="001F0210"/>
    <w:rsid w:val="001F10F7"/>
    <w:rsid w:val="001F13CA"/>
    <w:rsid w:val="001F221E"/>
    <w:rsid w:val="001F3DB9"/>
    <w:rsid w:val="001F491C"/>
    <w:rsid w:val="001F5C29"/>
    <w:rsid w:val="001F5D16"/>
    <w:rsid w:val="001F7B8B"/>
    <w:rsid w:val="0020013A"/>
    <w:rsid w:val="0020462A"/>
    <w:rsid w:val="00210DDD"/>
    <w:rsid w:val="00214B50"/>
    <w:rsid w:val="00215A82"/>
    <w:rsid w:val="00215E32"/>
    <w:rsid w:val="0022139A"/>
    <w:rsid w:val="00222AD4"/>
    <w:rsid w:val="002239F2"/>
    <w:rsid w:val="00225508"/>
    <w:rsid w:val="00225570"/>
    <w:rsid w:val="00225682"/>
    <w:rsid w:val="002323FE"/>
    <w:rsid w:val="00234C13"/>
    <w:rsid w:val="002369FD"/>
    <w:rsid w:val="00236A7E"/>
    <w:rsid w:val="0023760F"/>
    <w:rsid w:val="00237985"/>
    <w:rsid w:val="00241AD7"/>
    <w:rsid w:val="002470AC"/>
    <w:rsid w:val="00252D47"/>
    <w:rsid w:val="00255A8B"/>
    <w:rsid w:val="002662A5"/>
    <w:rsid w:val="00273257"/>
    <w:rsid w:val="00274C77"/>
    <w:rsid w:val="00275BBA"/>
    <w:rsid w:val="00281A5D"/>
    <w:rsid w:val="00282053"/>
    <w:rsid w:val="00284C5E"/>
    <w:rsid w:val="00291A10"/>
    <w:rsid w:val="00294B37"/>
    <w:rsid w:val="00295DAE"/>
    <w:rsid w:val="002A195C"/>
    <w:rsid w:val="002A2BFA"/>
    <w:rsid w:val="002A4A61"/>
    <w:rsid w:val="002B6A84"/>
    <w:rsid w:val="002C239F"/>
    <w:rsid w:val="002C6B4F"/>
    <w:rsid w:val="002C6C28"/>
    <w:rsid w:val="002C72E1"/>
    <w:rsid w:val="002D1D40"/>
    <w:rsid w:val="002D518F"/>
    <w:rsid w:val="002D7ED5"/>
    <w:rsid w:val="002E08ED"/>
    <w:rsid w:val="002E1B18"/>
    <w:rsid w:val="002E6FF6"/>
    <w:rsid w:val="002F25B2"/>
    <w:rsid w:val="002F2BC5"/>
    <w:rsid w:val="002F376B"/>
    <w:rsid w:val="002F5C8C"/>
    <w:rsid w:val="002F7199"/>
    <w:rsid w:val="002F7D11"/>
    <w:rsid w:val="00305D6E"/>
    <w:rsid w:val="0030782E"/>
    <w:rsid w:val="00307F5F"/>
    <w:rsid w:val="003214E2"/>
    <w:rsid w:val="00325AB6"/>
    <w:rsid w:val="003308A8"/>
    <w:rsid w:val="003449F9"/>
    <w:rsid w:val="003479E4"/>
    <w:rsid w:val="00347C43"/>
    <w:rsid w:val="00360C87"/>
    <w:rsid w:val="00366AF0"/>
    <w:rsid w:val="003713CA"/>
    <w:rsid w:val="003729FC"/>
    <w:rsid w:val="00372FCA"/>
    <w:rsid w:val="003766B9"/>
    <w:rsid w:val="00382C54"/>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5FE"/>
    <w:rsid w:val="003B4DAD"/>
    <w:rsid w:val="003B52F2"/>
    <w:rsid w:val="003B76BD"/>
    <w:rsid w:val="003C47D1"/>
    <w:rsid w:val="003C74FF"/>
    <w:rsid w:val="003D1D90"/>
    <w:rsid w:val="003D26A5"/>
    <w:rsid w:val="003D3623"/>
    <w:rsid w:val="003D5013"/>
    <w:rsid w:val="003D78F7"/>
    <w:rsid w:val="003E5916"/>
    <w:rsid w:val="003E5CD9"/>
    <w:rsid w:val="003E667C"/>
    <w:rsid w:val="003E7414"/>
    <w:rsid w:val="003E7F99"/>
    <w:rsid w:val="003F2D6C"/>
    <w:rsid w:val="004014AE"/>
    <w:rsid w:val="00403645"/>
    <w:rsid w:val="004051EE"/>
    <w:rsid w:val="00407C5B"/>
    <w:rsid w:val="00421159"/>
    <w:rsid w:val="004215D0"/>
    <w:rsid w:val="0043604F"/>
    <w:rsid w:val="00440FF1"/>
    <w:rsid w:val="004417F2"/>
    <w:rsid w:val="00442799"/>
    <w:rsid w:val="00443FBF"/>
    <w:rsid w:val="004452DF"/>
    <w:rsid w:val="004507E7"/>
    <w:rsid w:val="00450CC0"/>
    <w:rsid w:val="00457028"/>
    <w:rsid w:val="00457FA3"/>
    <w:rsid w:val="00462172"/>
    <w:rsid w:val="0047267B"/>
    <w:rsid w:val="00475A71"/>
    <w:rsid w:val="00482AD0"/>
    <w:rsid w:val="00483999"/>
    <w:rsid w:val="0049468A"/>
    <w:rsid w:val="00495BFC"/>
    <w:rsid w:val="004A0AF4"/>
    <w:rsid w:val="004B493F"/>
    <w:rsid w:val="004C0F0A"/>
    <w:rsid w:val="004C10FB"/>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7ED6"/>
    <w:rsid w:val="00520B8C"/>
    <w:rsid w:val="0052151C"/>
    <w:rsid w:val="005243B4"/>
    <w:rsid w:val="0052574F"/>
    <w:rsid w:val="00527489"/>
    <w:rsid w:val="00527BB3"/>
    <w:rsid w:val="00530A98"/>
    <w:rsid w:val="00531734"/>
    <w:rsid w:val="0053254A"/>
    <w:rsid w:val="00535BBB"/>
    <w:rsid w:val="0054235E"/>
    <w:rsid w:val="00542ABB"/>
    <w:rsid w:val="0054425D"/>
    <w:rsid w:val="0055459B"/>
    <w:rsid w:val="005545A1"/>
    <w:rsid w:val="00554995"/>
    <w:rsid w:val="00554EEF"/>
    <w:rsid w:val="0055527D"/>
    <w:rsid w:val="00567934"/>
    <w:rsid w:val="0057025E"/>
    <w:rsid w:val="005702B6"/>
    <w:rsid w:val="005703A1"/>
    <w:rsid w:val="00571583"/>
    <w:rsid w:val="00572E7A"/>
    <w:rsid w:val="00583212"/>
    <w:rsid w:val="005843A9"/>
    <w:rsid w:val="00585D8F"/>
    <w:rsid w:val="00586072"/>
    <w:rsid w:val="0058644C"/>
    <w:rsid w:val="00587F10"/>
    <w:rsid w:val="00591351"/>
    <w:rsid w:val="00591EC7"/>
    <w:rsid w:val="00596413"/>
    <w:rsid w:val="00596B6A"/>
    <w:rsid w:val="005A16CF"/>
    <w:rsid w:val="005A2ECA"/>
    <w:rsid w:val="005A4504"/>
    <w:rsid w:val="005B151D"/>
    <w:rsid w:val="005B31EA"/>
    <w:rsid w:val="005B34A6"/>
    <w:rsid w:val="005B6C67"/>
    <w:rsid w:val="005C0CBC"/>
    <w:rsid w:val="005C284A"/>
    <w:rsid w:val="005C4204"/>
    <w:rsid w:val="005C6823"/>
    <w:rsid w:val="005D33B5"/>
    <w:rsid w:val="005D5C6E"/>
    <w:rsid w:val="005E3E49"/>
    <w:rsid w:val="005E768D"/>
    <w:rsid w:val="005F19DD"/>
    <w:rsid w:val="005F292F"/>
    <w:rsid w:val="005F4AD8"/>
    <w:rsid w:val="005F5ADA"/>
    <w:rsid w:val="005F695C"/>
    <w:rsid w:val="00600A10"/>
    <w:rsid w:val="006013F2"/>
    <w:rsid w:val="00615E8C"/>
    <w:rsid w:val="00621286"/>
    <w:rsid w:val="0062254C"/>
    <w:rsid w:val="0062298E"/>
    <w:rsid w:val="0062350A"/>
    <w:rsid w:val="0062440B"/>
    <w:rsid w:val="006254B0"/>
    <w:rsid w:val="006302F7"/>
    <w:rsid w:val="00631EB7"/>
    <w:rsid w:val="00635200"/>
    <w:rsid w:val="006362D2"/>
    <w:rsid w:val="00636A0A"/>
    <w:rsid w:val="00644E29"/>
    <w:rsid w:val="006548B7"/>
    <w:rsid w:val="00654B3B"/>
    <w:rsid w:val="006555C6"/>
    <w:rsid w:val="00656882"/>
    <w:rsid w:val="00657DBD"/>
    <w:rsid w:val="00662343"/>
    <w:rsid w:val="0066483B"/>
    <w:rsid w:val="0067069C"/>
    <w:rsid w:val="00671F29"/>
    <w:rsid w:val="00672F9C"/>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C3C1D"/>
    <w:rsid w:val="006D3377"/>
    <w:rsid w:val="006D3E5E"/>
    <w:rsid w:val="006D5362"/>
    <w:rsid w:val="006E0AC9"/>
    <w:rsid w:val="006E181A"/>
    <w:rsid w:val="006E2D44"/>
    <w:rsid w:val="006F3DD4"/>
    <w:rsid w:val="00703DEF"/>
    <w:rsid w:val="00711E05"/>
    <w:rsid w:val="007220CF"/>
    <w:rsid w:val="00724942"/>
    <w:rsid w:val="00727341"/>
    <w:rsid w:val="00734F1A"/>
    <w:rsid w:val="00736065"/>
    <w:rsid w:val="0074006F"/>
    <w:rsid w:val="00741D75"/>
    <w:rsid w:val="0074621F"/>
    <w:rsid w:val="007463FB"/>
    <w:rsid w:val="007513CD"/>
    <w:rsid w:val="0076063E"/>
    <w:rsid w:val="0076196C"/>
    <w:rsid w:val="00766B1A"/>
    <w:rsid w:val="00766DFE"/>
    <w:rsid w:val="00786A15"/>
    <w:rsid w:val="007914E4"/>
    <w:rsid w:val="007914F3"/>
    <w:rsid w:val="007926D8"/>
    <w:rsid w:val="00794BC4"/>
    <w:rsid w:val="00794F1E"/>
    <w:rsid w:val="007953C2"/>
    <w:rsid w:val="00795C50"/>
    <w:rsid w:val="007A098E"/>
    <w:rsid w:val="007A352B"/>
    <w:rsid w:val="007A5765"/>
    <w:rsid w:val="007A5B89"/>
    <w:rsid w:val="007C0795"/>
    <w:rsid w:val="007C14AD"/>
    <w:rsid w:val="007C6C61"/>
    <w:rsid w:val="007D3D37"/>
    <w:rsid w:val="007D4D44"/>
    <w:rsid w:val="007D50FF"/>
    <w:rsid w:val="007D6B5D"/>
    <w:rsid w:val="007D7EB7"/>
    <w:rsid w:val="007E21DF"/>
    <w:rsid w:val="007E5479"/>
    <w:rsid w:val="007F2366"/>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048"/>
    <w:rsid w:val="008532E6"/>
    <w:rsid w:val="0085795D"/>
    <w:rsid w:val="00866701"/>
    <w:rsid w:val="0086745D"/>
    <w:rsid w:val="00871427"/>
    <w:rsid w:val="00872CEB"/>
    <w:rsid w:val="008776B0"/>
    <w:rsid w:val="0088012D"/>
    <w:rsid w:val="00881C47"/>
    <w:rsid w:val="00884237"/>
    <w:rsid w:val="00887583"/>
    <w:rsid w:val="00891445"/>
    <w:rsid w:val="00897183"/>
    <w:rsid w:val="008A5AFD"/>
    <w:rsid w:val="008B47B4"/>
    <w:rsid w:val="008B5396"/>
    <w:rsid w:val="008C41AF"/>
    <w:rsid w:val="008C4913"/>
    <w:rsid w:val="008C5478"/>
    <w:rsid w:val="008C57E5"/>
    <w:rsid w:val="008C5AD6"/>
    <w:rsid w:val="008C5D4E"/>
    <w:rsid w:val="008C7A4B"/>
    <w:rsid w:val="008D0C05"/>
    <w:rsid w:val="008D71CE"/>
    <w:rsid w:val="008E041E"/>
    <w:rsid w:val="008E0E94"/>
    <w:rsid w:val="008E444B"/>
    <w:rsid w:val="008E54E3"/>
    <w:rsid w:val="008F039B"/>
    <w:rsid w:val="008F1C67"/>
    <w:rsid w:val="008F238D"/>
    <w:rsid w:val="00905A7F"/>
    <w:rsid w:val="00910F8F"/>
    <w:rsid w:val="0091118D"/>
    <w:rsid w:val="0092075E"/>
    <w:rsid w:val="009225A7"/>
    <w:rsid w:val="00926368"/>
    <w:rsid w:val="00927FEB"/>
    <w:rsid w:val="00936D66"/>
    <w:rsid w:val="0094091B"/>
    <w:rsid w:val="00944591"/>
    <w:rsid w:val="00944CAA"/>
    <w:rsid w:val="00951CE8"/>
    <w:rsid w:val="00953565"/>
    <w:rsid w:val="00954C90"/>
    <w:rsid w:val="00962886"/>
    <w:rsid w:val="009709A2"/>
    <w:rsid w:val="009723A1"/>
    <w:rsid w:val="00973614"/>
    <w:rsid w:val="00974DED"/>
    <w:rsid w:val="009752B7"/>
    <w:rsid w:val="0097724C"/>
    <w:rsid w:val="00980866"/>
    <w:rsid w:val="00980D24"/>
    <w:rsid w:val="009824DF"/>
    <w:rsid w:val="0098405A"/>
    <w:rsid w:val="00991A93"/>
    <w:rsid w:val="009A0E5E"/>
    <w:rsid w:val="009A2737"/>
    <w:rsid w:val="009B09CD"/>
    <w:rsid w:val="009B2383"/>
    <w:rsid w:val="009B4356"/>
    <w:rsid w:val="009C30AA"/>
    <w:rsid w:val="009C43D1"/>
    <w:rsid w:val="009C59A6"/>
    <w:rsid w:val="009C6A52"/>
    <w:rsid w:val="009D0AB2"/>
    <w:rsid w:val="009D3276"/>
    <w:rsid w:val="009D444C"/>
    <w:rsid w:val="009D4525"/>
    <w:rsid w:val="009D4D68"/>
    <w:rsid w:val="009E2785"/>
    <w:rsid w:val="009F08F6"/>
    <w:rsid w:val="009F3F07"/>
    <w:rsid w:val="009F4FD3"/>
    <w:rsid w:val="00A00EE5"/>
    <w:rsid w:val="00A049E2"/>
    <w:rsid w:val="00A12431"/>
    <w:rsid w:val="00A1344B"/>
    <w:rsid w:val="00A219E7"/>
    <w:rsid w:val="00A2417A"/>
    <w:rsid w:val="00A26D8D"/>
    <w:rsid w:val="00A328C1"/>
    <w:rsid w:val="00A40884"/>
    <w:rsid w:val="00A43B6B"/>
    <w:rsid w:val="00A45C7E"/>
    <w:rsid w:val="00A477E6"/>
    <w:rsid w:val="00A47C1B"/>
    <w:rsid w:val="00A5337D"/>
    <w:rsid w:val="00A57CE8"/>
    <w:rsid w:val="00A66CBC"/>
    <w:rsid w:val="00A70990"/>
    <w:rsid w:val="00A77009"/>
    <w:rsid w:val="00A844CE"/>
    <w:rsid w:val="00A90385"/>
    <w:rsid w:val="00A91EAA"/>
    <w:rsid w:val="00A9264B"/>
    <w:rsid w:val="00A96DCC"/>
    <w:rsid w:val="00AA188F"/>
    <w:rsid w:val="00AA3C3D"/>
    <w:rsid w:val="00AA5C69"/>
    <w:rsid w:val="00AA63A9"/>
    <w:rsid w:val="00AA64F8"/>
    <w:rsid w:val="00AA6F19"/>
    <w:rsid w:val="00AA7E07"/>
    <w:rsid w:val="00AB17F6"/>
    <w:rsid w:val="00AB25B7"/>
    <w:rsid w:val="00AC76C6"/>
    <w:rsid w:val="00AD268D"/>
    <w:rsid w:val="00AD3749"/>
    <w:rsid w:val="00AD6723"/>
    <w:rsid w:val="00AD6AE6"/>
    <w:rsid w:val="00AE3024"/>
    <w:rsid w:val="00B0051A"/>
    <w:rsid w:val="00B03DB7"/>
    <w:rsid w:val="00B04957"/>
    <w:rsid w:val="00B04CB8"/>
    <w:rsid w:val="00B11981"/>
    <w:rsid w:val="00B16515"/>
    <w:rsid w:val="00B447D8"/>
    <w:rsid w:val="00B45A5E"/>
    <w:rsid w:val="00B51194"/>
    <w:rsid w:val="00B52374"/>
    <w:rsid w:val="00B54777"/>
    <w:rsid w:val="00B5499F"/>
    <w:rsid w:val="00B54BCB"/>
    <w:rsid w:val="00B56B13"/>
    <w:rsid w:val="00B60DD2"/>
    <w:rsid w:val="00B63F1C"/>
    <w:rsid w:val="00B677B3"/>
    <w:rsid w:val="00B7006B"/>
    <w:rsid w:val="00B73C63"/>
    <w:rsid w:val="00B74E3D"/>
    <w:rsid w:val="00B753D1"/>
    <w:rsid w:val="00B77BB8"/>
    <w:rsid w:val="00B83455"/>
    <w:rsid w:val="00B83960"/>
    <w:rsid w:val="00B844E8"/>
    <w:rsid w:val="00B9460A"/>
    <w:rsid w:val="00B94B98"/>
    <w:rsid w:val="00B94CAC"/>
    <w:rsid w:val="00BA37CA"/>
    <w:rsid w:val="00BA787B"/>
    <w:rsid w:val="00BB20F2"/>
    <w:rsid w:val="00BB67AE"/>
    <w:rsid w:val="00BC5869"/>
    <w:rsid w:val="00BD003A"/>
    <w:rsid w:val="00BD1D45"/>
    <w:rsid w:val="00BD3E62"/>
    <w:rsid w:val="00BF13FF"/>
    <w:rsid w:val="00BF321B"/>
    <w:rsid w:val="00BF3773"/>
    <w:rsid w:val="00BF3E14"/>
    <w:rsid w:val="00BF4644"/>
    <w:rsid w:val="00BF5553"/>
    <w:rsid w:val="00C00D18"/>
    <w:rsid w:val="00C01500"/>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CDB"/>
    <w:rsid w:val="00C60A9B"/>
    <w:rsid w:val="00C6108B"/>
    <w:rsid w:val="00C6177D"/>
    <w:rsid w:val="00C6354A"/>
    <w:rsid w:val="00C80D03"/>
    <w:rsid w:val="00C80D37"/>
    <w:rsid w:val="00C8151A"/>
    <w:rsid w:val="00C81770"/>
    <w:rsid w:val="00C82355"/>
    <w:rsid w:val="00C82609"/>
    <w:rsid w:val="00C85C0F"/>
    <w:rsid w:val="00C8795F"/>
    <w:rsid w:val="00C95FF7"/>
    <w:rsid w:val="00C975ED"/>
    <w:rsid w:val="00C97719"/>
    <w:rsid w:val="00CA2591"/>
    <w:rsid w:val="00CA6934"/>
    <w:rsid w:val="00CB285C"/>
    <w:rsid w:val="00CB7A46"/>
    <w:rsid w:val="00CC3806"/>
    <w:rsid w:val="00CD0ABD"/>
    <w:rsid w:val="00CD259C"/>
    <w:rsid w:val="00CE177C"/>
    <w:rsid w:val="00CE2A72"/>
    <w:rsid w:val="00CE3DDC"/>
    <w:rsid w:val="00CE63EE"/>
    <w:rsid w:val="00CF16FB"/>
    <w:rsid w:val="00CF2295"/>
    <w:rsid w:val="00CF3BDE"/>
    <w:rsid w:val="00D0639A"/>
    <w:rsid w:val="00D07ABE"/>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96975"/>
    <w:rsid w:val="00DA3D06"/>
    <w:rsid w:val="00DB6B0C"/>
    <w:rsid w:val="00DB78ED"/>
    <w:rsid w:val="00DB7D1B"/>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33B8F"/>
    <w:rsid w:val="00E53C1B"/>
    <w:rsid w:val="00E54D26"/>
    <w:rsid w:val="00E5708C"/>
    <w:rsid w:val="00E610D6"/>
    <w:rsid w:val="00E65013"/>
    <w:rsid w:val="00E71C91"/>
    <w:rsid w:val="00E74E87"/>
    <w:rsid w:val="00E772DB"/>
    <w:rsid w:val="00E80182"/>
    <w:rsid w:val="00E8027B"/>
    <w:rsid w:val="00E81437"/>
    <w:rsid w:val="00E839F1"/>
    <w:rsid w:val="00E873C2"/>
    <w:rsid w:val="00E9535F"/>
    <w:rsid w:val="00EA2CE4"/>
    <w:rsid w:val="00EA48D0"/>
    <w:rsid w:val="00EA6DCB"/>
    <w:rsid w:val="00EB5ADB"/>
    <w:rsid w:val="00ED6FC5"/>
    <w:rsid w:val="00EE2AF3"/>
    <w:rsid w:val="00EE55B2"/>
    <w:rsid w:val="00EE61C3"/>
    <w:rsid w:val="00EE7DA9"/>
    <w:rsid w:val="00EF34D3"/>
    <w:rsid w:val="00EF6B9E"/>
    <w:rsid w:val="00F0401B"/>
    <w:rsid w:val="00F04FF6"/>
    <w:rsid w:val="00F109FC"/>
    <w:rsid w:val="00F2561F"/>
    <w:rsid w:val="00F2637D"/>
    <w:rsid w:val="00F30AB8"/>
    <w:rsid w:val="00F342FD"/>
    <w:rsid w:val="00F34E9E"/>
    <w:rsid w:val="00F41684"/>
    <w:rsid w:val="00F44755"/>
    <w:rsid w:val="00F453CE"/>
    <w:rsid w:val="00F455E0"/>
    <w:rsid w:val="00F45E7C"/>
    <w:rsid w:val="00F5458D"/>
    <w:rsid w:val="00F54F3A"/>
    <w:rsid w:val="00F659E1"/>
    <w:rsid w:val="00F808C5"/>
    <w:rsid w:val="00F832E1"/>
    <w:rsid w:val="00F85369"/>
    <w:rsid w:val="00F93DC9"/>
    <w:rsid w:val="00F94872"/>
    <w:rsid w:val="00F967E0"/>
    <w:rsid w:val="00F96A6A"/>
    <w:rsid w:val="00F97594"/>
    <w:rsid w:val="00FA5D88"/>
    <w:rsid w:val="00FA6D0A"/>
    <w:rsid w:val="00FA751A"/>
    <w:rsid w:val="00FB0152"/>
    <w:rsid w:val="00FB1482"/>
    <w:rsid w:val="00FB1A63"/>
    <w:rsid w:val="00FB33E4"/>
    <w:rsid w:val="00FC18E0"/>
    <w:rsid w:val="00FC20C3"/>
    <w:rsid w:val="00FC29BA"/>
    <w:rsid w:val="00FC2BFD"/>
    <w:rsid w:val="00FC64E4"/>
    <w:rsid w:val="00FD217E"/>
    <w:rsid w:val="00FD554D"/>
    <w:rsid w:val="00FD5B24"/>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v.kaiying@zte.com.cn" TargetMode="External"/><Relationship Id="rId4" Type="http://schemas.microsoft.com/office/2007/relationships/stylesWithEffects" Target="stylesWithEffects.xml"/><Relationship Id="rId9" Type="http://schemas.openxmlformats.org/officeDocument/2006/relationships/hyperlink" Target="mailto:yongho.seok@lge.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167C8-5707-43A5-B9AA-3B30DFC4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1419</Words>
  <Characters>8093</Characters>
  <Application>Microsoft Office Word</Application>
  <DocSecurity>0</DocSecurity>
  <Lines>67</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9494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USER</cp:lastModifiedBy>
  <cp:revision>23</cp:revision>
  <cp:lastPrinted>2010-05-04T03:47:00Z</cp:lastPrinted>
  <dcterms:created xsi:type="dcterms:W3CDTF">2013-12-16T04:48:00Z</dcterms:created>
  <dcterms:modified xsi:type="dcterms:W3CDTF">2014-01-18T04:45:00Z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