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17BF767E" w:rsidR="00CA09B2" w:rsidRDefault="006C0B6A" w:rsidP="004D01F5">
            <w:pPr>
              <w:pStyle w:val="T2"/>
              <w:suppressLineNumbers/>
            </w:pPr>
            <w:r>
              <w:t xml:space="preserve">Some 11ak </w:t>
            </w:r>
            <w:r w:rsidR="00CD1D47">
              <w:t>EtherT</w:t>
            </w:r>
            <w:bookmarkStart w:id="0" w:name="_GoBack"/>
            <w:bookmarkEnd w:id="0"/>
            <w:r w:rsidR="00DA7595">
              <w:t xml:space="preserve">ype Frame Encoding </w:t>
            </w:r>
            <w:r>
              <w:t>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2B29F4EE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5803">
              <w:rPr>
                <w:b w:val="0"/>
                <w:sz w:val="20"/>
              </w:rPr>
              <w:t>2014-01-0</w:t>
            </w:r>
            <w:r w:rsidR="00527744">
              <w:rPr>
                <w:b w:val="0"/>
                <w:sz w:val="20"/>
              </w:rPr>
              <w:t>6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77777777" w:rsidR="00CA09B2" w:rsidRDefault="005F00FB" w:rsidP="004D01F5">
      <w:pPr>
        <w:pStyle w:val="T1"/>
        <w:suppressLineNumbers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530B91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B10D18" w:rsidRDefault="00B10D1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78D38AD6" w:rsidR="00B10D18" w:rsidRDefault="00B10D18">
                            <w:pPr>
                              <w:jc w:val="both"/>
                            </w:pPr>
                            <w:r>
                              <w:t>This document is a skeleton with a small amount of tentative text concerning Ethertype frame encoding for a P802.11ak draft based on Draft P802.11REVmc_D2.3.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9F930F2" w14:textId="77777777" w:rsidR="00B10D18" w:rsidRDefault="00B10D1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78D38AD6" w:rsidR="00B10D18" w:rsidRDefault="00B10D18">
                      <w:pPr>
                        <w:jc w:val="both"/>
                      </w:pPr>
                      <w:r>
                        <w:t>This document is a skeleton with a small amount of tentative text concerning Ethertype frame encoding for a P802.11ak draft based on Draft P802.11REVmc_D2.3.</w:t>
                      </w:r>
                    </w:p>
                  </w:txbxContent>
                </v:textbox>
              </v:shape>
            </w:pict>
          </mc:Fallback>
        </mc:AlternateContent>
      </w:r>
    </w:p>
    <w:p w14:paraId="6574BF12" w14:textId="723D6832" w:rsidR="006C0B6A" w:rsidRDefault="00CA09B2" w:rsidP="004D01F5">
      <w:pPr>
        <w:suppressLineNumbers/>
      </w:pPr>
      <w:r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publication. They indicate some item of work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7183831B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08995081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CB22659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9761B18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FA3DD0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5222316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A8EA9E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03D9155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4FD2CDD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FAF02F6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How wireless local area networks (WLANs)</w:t>
      </w:r>
      <w:r w:rsidRPr="005745CF">
        <w:rPr>
          <w:noProof/>
          <w:color w:val="218B21"/>
          <w:lang w:val="en-US"/>
        </w:rPr>
        <w:t xml:space="preserve"> </w:t>
      </w:r>
      <w:r w:rsidRPr="005745CF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81167C3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Components of the IEEE Std</w:t>
      </w:r>
      <w:r w:rsidRPr="005745CF">
        <w:rPr>
          <w:noProof/>
          <w:color w:val="218B21"/>
          <w:lang w:val="en-US"/>
        </w:rPr>
        <w:t xml:space="preserve"> </w:t>
      </w:r>
      <w:r w:rsidRPr="005745CF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EC6A038" w14:textId="77777777" w:rsidR="00C351F9" w:rsidRDefault="00C351F9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4FD7244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A15602A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16ED59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79C2AC0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Differences among ESS, PBSS,</w:t>
      </w:r>
      <w:r w:rsidRPr="005745CF">
        <w:rPr>
          <w:noProof/>
          <w:color w:val="218B21"/>
          <w:lang w:val="en-US"/>
        </w:rPr>
        <w:t xml:space="preserve"> </w:t>
      </w:r>
      <w:r w:rsidRPr="005745CF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D20E329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1B78CCF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A1D737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CA0FC1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745CF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5745CF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2CB307D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80FE8ED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567AACF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5109174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A8E934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ordering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6075679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28D069E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43D11C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FBA06B9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EA0C217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842F938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C5FC5C4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132C3C0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38C6488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BF98FB2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00A74C8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C2F03AE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AD210C" w14:textId="77777777" w:rsidR="00C351F9" w:rsidRDefault="00C351F9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8.4.2.X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6D9A67F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6D52783" w14:textId="77777777" w:rsidR="00C351F9" w:rsidRDefault="00C351F9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A598A1B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8140C85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4311492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9EEFF1A" w14:textId="77777777" w:rsidR="00C351F9" w:rsidRDefault="00C351F9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0BD6F05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E590648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852CE7A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BC7DB63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D384039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204D40C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E47CE9D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3CE396B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97DBCA6" w14:textId="77777777" w:rsidR="00C351F9" w:rsidRDefault="00C351F9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7BB1307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ED5F4F3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122B5FD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BAC8F16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 DMG A-PPCU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5FA3993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B7F9C88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9A50F54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C4A0884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F35AB96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904683F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91FE8B2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82EA3CC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04E8641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F81277A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8D4788C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A2144D7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95AA580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58BFE97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6B28739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9FA8187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A48007E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747C38E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725FA00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6F49C8D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126C329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719D223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49F652D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1F94EBB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44E3E8A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8C20F79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7D8588B" w14:textId="77777777" w:rsidR="00C351F9" w:rsidRDefault="00C351F9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1C9A032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F134D85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291B95E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B8111A7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18F30F3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D55A8BB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A36C83B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2AC3F0D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4FB915D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frequiency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2048D1A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3A60313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2D0C7A6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E87D352" w14:textId="77777777" w:rsidR="00C351F9" w:rsidRDefault="00C351F9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Link Principles of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BC2A41E" w14:textId="77777777" w:rsidR="00C351F9" w:rsidRDefault="00C351F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51EEDA3" w14:textId="77777777" w:rsidR="00C351F9" w:rsidRDefault="00C351F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E8F5EC8" w14:textId="77777777" w:rsidR="00C351F9" w:rsidRDefault="00C351F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D33ECF4" w14:textId="77777777" w:rsidR="00C351F9" w:rsidRDefault="00C351F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P,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C1645B9" w14:textId="77777777" w:rsidR="00C351F9" w:rsidRDefault="00C351F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D7DB86E" w14:textId="77777777" w:rsidR="00C351F9" w:rsidRDefault="00C351F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P.2 Ethernet V2.0/IEEE Std 802.3 LAN integratin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B190EDB" w14:textId="77777777" w:rsidR="00C351F9" w:rsidRDefault="00C351F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P.3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B5BB88E" w14:textId="77777777" w:rsidR="00C351F9" w:rsidRDefault="00C351F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P.4 Integration service versus bridging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8C406FE" w14:textId="77777777" w:rsidR="00C351F9" w:rsidRDefault="00C351F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_Toc250645119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C022240" w14:textId="17D4C001" w:rsidR="00F924CB" w:rsidRDefault="00C351F9" w:rsidP="00F924CB">
      <w:r>
        <w:fldChar w:fldCharType="end"/>
      </w:r>
    </w:p>
    <w:p w14:paraId="7B1B6D2B" w14:textId="77777777" w:rsidR="00360413" w:rsidRDefault="00360413" w:rsidP="00F924CB"/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Pr="00CE545E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what is being changed by using </w:t>
      </w:r>
      <w:r w:rsidRPr="00CE545E">
        <w:rPr>
          <w:strike/>
          <w:szCs w:val="24"/>
          <w:lang w:val="en-US"/>
        </w:rPr>
        <w:t>strike through</w:t>
      </w:r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4F32F011" w14:textId="04466F7C" w:rsidR="00360413" w:rsidRDefault="00F924CB" w:rsidP="00360413">
      <w:pPr>
        <w:pStyle w:val="Heading1"/>
      </w:pPr>
      <w:bookmarkStart w:id="1" w:name="_Toc250645015"/>
      <w:r>
        <w:t>Overview</w:t>
      </w:r>
      <w:bookmarkEnd w:id="1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2" w:name="_Toc250645016"/>
      <w:r>
        <w:t>Normative references</w:t>
      </w:r>
      <w:bookmarkEnd w:id="2"/>
    </w:p>
    <w:p w14:paraId="70309FE7" w14:textId="3C553127" w:rsidR="00360413" w:rsidRPr="00CE545E" w:rsidRDefault="00CE545E" w:rsidP="00360413">
      <w:pPr>
        <w:rPr>
          <w:b/>
          <w:i/>
        </w:rPr>
      </w:pPr>
      <w:r w:rsidRPr="00CE545E">
        <w:rPr>
          <w:b/>
          <w:i/>
        </w:rPr>
        <w:t>Insert the following reference (maintaining alphabetic order):</w:t>
      </w:r>
    </w:p>
    <w:p w14:paraId="4E2D2A7E" w14:textId="7ADBEED1" w:rsidR="00CE545E" w:rsidRPr="002A5AF8" w:rsidRDefault="00DD55D6" w:rsidP="002A5AF8">
      <w:pPr>
        <w:rPr>
          <w:lang w:val="en-US"/>
        </w:rPr>
      </w:pPr>
      <w:r>
        <w:t>IEEE Std 802.1Qbz™</w:t>
      </w:r>
      <w:r w:rsidR="00CE545E">
        <w:t xml:space="preserve">-tbd, </w:t>
      </w:r>
      <w:r w:rsidR="002A5AF8">
        <w:rPr>
          <w:lang w:val="en-US"/>
        </w:rPr>
        <w:t>Virtual Bridged Local Area Networks — Amendment: Enhancements to Bridging of 802.11 Media</w:t>
      </w:r>
    </w:p>
    <w:p w14:paraId="2B4B8826" w14:textId="77777777" w:rsidR="00CE545E" w:rsidRPr="00360413" w:rsidRDefault="00CE545E" w:rsidP="00360413"/>
    <w:p w14:paraId="0EC5F7F9" w14:textId="77777777" w:rsidR="00F924CB" w:rsidRDefault="00F924CB" w:rsidP="00F924CB">
      <w:pPr>
        <w:pStyle w:val="Heading1"/>
      </w:pPr>
      <w:bookmarkStart w:id="3" w:name="_Toc250645017"/>
      <w:r w:rsidRPr="003D29E1">
        <w:t>Definitions, acronyms, and abbreviations</w:t>
      </w:r>
      <w:bookmarkEnd w:id="3"/>
    </w:p>
    <w:p w14:paraId="5BC6D2A3" w14:textId="77777777" w:rsidR="00F924CB" w:rsidRDefault="00F924CB" w:rsidP="007D16D3">
      <w:pPr>
        <w:pStyle w:val="Heading2"/>
      </w:pPr>
      <w:bookmarkStart w:id="4" w:name="_Toc250645018"/>
      <w:r>
        <w:t>Definitions</w:t>
      </w:r>
      <w:bookmarkEnd w:id="4"/>
    </w:p>
    <w:p w14:paraId="758BA67B" w14:textId="77777777" w:rsidR="00F924CB" w:rsidRPr="003076D1" w:rsidRDefault="00F924CB" w:rsidP="00F924CB">
      <w:pPr>
        <w:pStyle w:val="Heading2"/>
      </w:pPr>
      <w:bookmarkStart w:id="5" w:name="_Toc250645019"/>
      <w:r>
        <w:t>Definitions specific to IEEE 802.11</w:t>
      </w:r>
      <w:bookmarkEnd w:id="5"/>
    </w:p>
    <w:p w14:paraId="097EB2C6" w14:textId="77777777" w:rsidR="00F924CB" w:rsidRPr="00CE545E" w:rsidRDefault="00F924CB" w:rsidP="00384EEF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 (maintaining alphabetical order):</w:t>
      </w:r>
    </w:p>
    <w:p w14:paraId="5C9D1398" w14:textId="1E20DC48" w:rsidR="00F924CB" w:rsidRDefault="00F924CB" w:rsidP="00F924CB">
      <w:r w:rsidRPr="003076D1">
        <w:rPr>
          <w:b/>
        </w:rPr>
        <w:t>General link (GLK):</w:t>
      </w:r>
      <w:r>
        <w:t xml:space="preserve"> Communication between two stations (STAs) over the wireless medium that can be used as a link in </w:t>
      </w:r>
      <w:r w:rsidR="004D01F5">
        <w:t xml:space="preserve">the middle of </w:t>
      </w:r>
      <w:r>
        <w:t>an IEEE Std. 802.1Q conformant network.</w:t>
      </w:r>
    </w:p>
    <w:p w14:paraId="11059ADE" w14:textId="77777777" w:rsidR="00F924CB" w:rsidRDefault="00F924CB" w:rsidP="00F924CB">
      <w:pPr>
        <w:pStyle w:val="Heading2"/>
      </w:pPr>
      <w:bookmarkStart w:id="6" w:name="_Toc250645020"/>
      <w:r>
        <w:t>Abbreviations and acronyms</w:t>
      </w:r>
      <w:bookmarkEnd w:id="6"/>
    </w:p>
    <w:p w14:paraId="1F12F8AA" w14:textId="77777777" w:rsidR="00F924CB" w:rsidRPr="00CE545E" w:rsidRDefault="00F924CB" w:rsidP="00F924CB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acronym definition (maintaining alphabetical order):</w:t>
      </w:r>
    </w:p>
    <w:p w14:paraId="35DA4635" w14:textId="77777777" w:rsidR="00F924CB" w:rsidRDefault="00F924CB" w:rsidP="00F924CB">
      <w:r>
        <w:t>GLK</w:t>
      </w:r>
      <w:r>
        <w:tab/>
      </w:r>
      <w:r>
        <w:tab/>
      </w:r>
      <w:r>
        <w:tab/>
        <w:t>General Link</w:t>
      </w:r>
    </w:p>
    <w:p w14:paraId="1473580F" w14:textId="77777777" w:rsidR="00360413" w:rsidRDefault="00360413" w:rsidP="00F924CB"/>
    <w:p w14:paraId="33E63853" w14:textId="63DAA734" w:rsidR="00A0395D" w:rsidRPr="00A0395D" w:rsidRDefault="00F924CB" w:rsidP="00A0395D">
      <w:pPr>
        <w:pStyle w:val="Heading1"/>
      </w:pPr>
      <w:bookmarkStart w:id="7" w:name="_Toc250645021"/>
      <w:r>
        <w:lastRenderedPageBreak/>
        <w:t>General Description</w:t>
      </w:r>
      <w:bookmarkEnd w:id="7"/>
    </w:p>
    <w:p w14:paraId="63DD5F06" w14:textId="77777777" w:rsidR="00A0395D" w:rsidRDefault="00A0395D" w:rsidP="00A0395D">
      <w:pPr>
        <w:pStyle w:val="Heading2"/>
      </w:pPr>
      <w:bookmarkStart w:id="8" w:name="_Toc250645022"/>
      <w:r w:rsidRPr="00A0395D">
        <w:t>General description of the architecture</w:t>
      </w:r>
      <w:bookmarkEnd w:id="8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9" w:name="_Toc250645023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9"/>
    </w:p>
    <w:p w14:paraId="227B5276" w14:textId="44D354B8" w:rsidR="00A0395D" w:rsidRDefault="00A0395D" w:rsidP="00A0395D">
      <w:pPr>
        <w:pStyle w:val="Heading2"/>
        <w:rPr>
          <w:lang w:val="en-US"/>
        </w:rPr>
      </w:pPr>
      <w:bookmarkStart w:id="10" w:name="_Toc250645024"/>
      <w:r>
        <w:rPr>
          <w:lang w:val="en-US"/>
        </w:rPr>
        <w:t>Components of the IEEE Std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802.11 architecture</w:t>
      </w:r>
      <w:bookmarkEnd w:id="10"/>
    </w:p>
    <w:p w14:paraId="51DC9F5A" w14:textId="0298DA53" w:rsidR="00CA5F25" w:rsidRDefault="00315D88" w:rsidP="00CA5F25">
      <w:pPr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Note: S</w:t>
      </w:r>
      <w:r w:rsidRPr="00315D88">
        <w:rPr>
          <w:b/>
          <w:i/>
          <w:color w:val="FF0000"/>
          <w:sz w:val="26"/>
          <w:szCs w:val="26"/>
        </w:rPr>
        <w:t>omething</w:t>
      </w:r>
      <w:r w:rsidR="00CA5F25" w:rsidRPr="00315D88">
        <w:rPr>
          <w:b/>
          <w:i/>
          <w:color w:val="FF0000"/>
          <w:sz w:val="26"/>
          <w:szCs w:val="26"/>
        </w:rPr>
        <w:t xml:space="preserve"> </w:t>
      </w:r>
      <w:r>
        <w:rPr>
          <w:b/>
          <w:i/>
          <w:color w:val="FF0000"/>
          <w:sz w:val="26"/>
          <w:szCs w:val="26"/>
        </w:rPr>
        <w:t xml:space="preserve">probably </w:t>
      </w:r>
      <w:r w:rsidR="00CA5F25" w:rsidRPr="00315D88">
        <w:rPr>
          <w:b/>
          <w:i/>
          <w:color w:val="FF0000"/>
          <w:sz w:val="26"/>
          <w:szCs w:val="26"/>
        </w:rPr>
        <w:t xml:space="preserve">needs to be in Clause 4 </w:t>
      </w:r>
      <w:r w:rsidRPr="00315D88">
        <w:rPr>
          <w:b/>
          <w:i/>
          <w:color w:val="FF0000"/>
          <w:sz w:val="26"/>
          <w:szCs w:val="26"/>
        </w:rPr>
        <w:t>a</w:t>
      </w:r>
      <w:r w:rsidR="00CA5F25" w:rsidRPr="00315D88">
        <w:rPr>
          <w:b/>
          <w:i/>
          <w:color w:val="FF0000"/>
          <w:sz w:val="26"/>
          <w:szCs w:val="26"/>
        </w:rPr>
        <w:t xml:space="preserve">bout General Link, probably within Clause 4.3, but I haven’t figured out </w:t>
      </w:r>
      <w:r w:rsidR="00527744">
        <w:rPr>
          <w:b/>
          <w:i/>
          <w:color w:val="FF0000"/>
          <w:sz w:val="26"/>
          <w:szCs w:val="26"/>
        </w:rPr>
        <w:t xml:space="preserve">just </w:t>
      </w:r>
      <w:r w:rsidR="00CA5F25" w:rsidRPr="00315D88">
        <w:rPr>
          <w:b/>
          <w:i/>
          <w:color w:val="FF0000"/>
          <w:sz w:val="26"/>
          <w:szCs w:val="26"/>
        </w:rPr>
        <w:t>what it should say or where it should go.</w:t>
      </w:r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1" w:name="_Toc250645025"/>
      <w:r>
        <w:rPr>
          <w:lang w:val="en-US"/>
        </w:rPr>
        <w:t>4.3.12 STA transmission of Data frames outside the context of a BSS</w:t>
      </w:r>
      <w:bookmarkEnd w:id="11"/>
    </w:p>
    <w:p w14:paraId="31CEF33F" w14:textId="1403CC7D" w:rsidR="00315D88" w:rsidRPr="00315D88" w:rsidRDefault="00315D88" w:rsidP="00315D88">
      <w:pPr>
        <w:pStyle w:val="EditorNote"/>
      </w:pPr>
      <w:r>
        <w:t xml:space="preserve">Note: I am told that users of this service are anxious to save every bit they can. Thus it seems likely they sill want to use </w:t>
      </w:r>
      <w:r w:rsidR="004D01F5">
        <w:t xml:space="preserve">802.11ak (Ethertype) formatted </w:t>
      </w:r>
      <w:r w:rsidR="009F564D">
        <w:t xml:space="preserve">data </w:t>
      </w:r>
      <w:r w:rsidR="004D01F5">
        <w:t>fra</w:t>
      </w:r>
      <w:r>
        <w:t>mes.</w:t>
      </w: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2" w:name="_Toc250645026"/>
      <w:r>
        <w:rPr>
          <w:lang w:val="en-US"/>
        </w:rPr>
        <w:t>Logical service interfaces</w:t>
      </w:r>
      <w:bookmarkEnd w:id="12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3" w:name="_Toc250645027"/>
      <w:r>
        <w:rPr>
          <w:lang w:val="en-US"/>
        </w:rPr>
        <w:t>Overview of the services</w:t>
      </w:r>
      <w:bookmarkEnd w:id="13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4" w:name="_Toc250645028"/>
      <w:r>
        <w:rPr>
          <w:lang w:val="en-US"/>
        </w:rPr>
        <w:t>Multiple logical address spaces</w:t>
      </w:r>
      <w:bookmarkEnd w:id="14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5" w:name="_Toc250645029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5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6" w:name="_Toc250645030"/>
      <w:r>
        <w:rPr>
          <w:lang w:val="en-US"/>
        </w:rPr>
        <w:t>Differences between ESS and MBSS LANs</w:t>
      </w:r>
      <w:bookmarkEnd w:id="16"/>
    </w:p>
    <w:p w14:paraId="17413994" w14:textId="3C4A98A4" w:rsidR="00A0395D" w:rsidRPr="00A0395D" w:rsidRDefault="00A0395D" w:rsidP="00A0395D">
      <w:pPr>
        <w:pStyle w:val="Heading2"/>
      </w:pPr>
      <w:bookmarkStart w:id="17" w:name="_Toc250645031"/>
      <w:r>
        <w:rPr>
          <w:lang w:val="en-US"/>
        </w:rPr>
        <w:t>Reference model</w:t>
      </w:r>
      <w:bookmarkEnd w:id="17"/>
    </w:p>
    <w:p w14:paraId="29692D57" w14:textId="3E934C63" w:rsidR="00A0395D" w:rsidRPr="00A0395D" w:rsidRDefault="00A0395D" w:rsidP="00A0395D">
      <w:pPr>
        <w:pStyle w:val="Heading2"/>
      </w:pPr>
      <w:bookmarkStart w:id="18" w:name="_Toc250645032"/>
      <w:r w:rsidRPr="00A0395D">
        <w:t>IEEE Std 802.11 and IEEE Std 802.1X-2010</w:t>
      </w:r>
      <w:bookmarkEnd w:id="18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19" w:name="_Toc250645033"/>
      <w:r>
        <w:rPr>
          <w:lang w:val="en-US"/>
        </w:rPr>
        <w:t>Generic advertisement service (GAS)</w:t>
      </w:r>
      <w:bookmarkEnd w:id="19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0" w:name="_Toc250645034"/>
      <w:r>
        <w:t>MAC service definition</w:t>
      </w:r>
      <w:bookmarkEnd w:id="20"/>
    </w:p>
    <w:p w14:paraId="74DB8868" w14:textId="77777777" w:rsidR="00F924CB" w:rsidRDefault="00F924CB" w:rsidP="00F924CB">
      <w:pPr>
        <w:pStyle w:val="Heading2"/>
      </w:pPr>
      <w:bookmarkStart w:id="21" w:name="_Toc250645035"/>
      <w:r>
        <w:t>Overview of MAC services</w:t>
      </w:r>
      <w:bookmarkEnd w:id="21"/>
    </w:p>
    <w:p w14:paraId="250CE87B" w14:textId="77777777" w:rsidR="00F924CB" w:rsidRDefault="00F924CB" w:rsidP="00F924CB">
      <w:pPr>
        <w:pStyle w:val="Heading3"/>
      </w:pPr>
      <w:bookmarkStart w:id="22" w:name="_Toc250645036"/>
      <w:r>
        <w:t>Data service</w:t>
      </w:r>
      <w:bookmarkEnd w:id="22"/>
    </w:p>
    <w:p w14:paraId="4420008B" w14:textId="43925102" w:rsidR="00527744" w:rsidRDefault="00527744" w:rsidP="00527744">
      <w:pPr>
        <w:pStyle w:val="EditorNote"/>
      </w:pPr>
      <w:r>
        <w:t xml:space="preserve">Note: In 802.11, the priority for an MSPU sent by a QoS STA is encoded into the TID (TID 0 to 7) or into a TSPEC referenced by the TID (TID 8 to 15). If a frame is tagged, should the TID default to the priority in the tag with some facility for mapping </w:t>
      </w:r>
      <w:r w:rsidR="009F564D">
        <w:t>or the like</w:t>
      </w:r>
      <w:r w:rsidR="00C85AFE">
        <w:t>?</w:t>
      </w:r>
    </w:p>
    <w:p w14:paraId="7DA0ED32" w14:textId="77777777" w:rsidR="00C85AFE" w:rsidRPr="00527744" w:rsidRDefault="00C85AFE" w:rsidP="00527744">
      <w:pPr>
        <w:pStyle w:val="EditorNote"/>
      </w:pPr>
    </w:p>
    <w:p w14:paraId="4E3235DE" w14:textId="5830B5D8" w:rsidR="00C85AFE" w:rsidRDefault="00C85AFE" w:rsidP="00315D88">
      <w:pPr>
        <w:pStyle w:val="EditorNote"/>
        <w:rPr>
          <w:color w:val="auto"/>
          <w:sz w:val="24"/>
          <w:szCs w:val="24"/>
        </w:rPr>
      </w:pPr>
      <w:r w:rsidRPr="00C85AFE">
        <w:rPr>
          <w:color w:val="auto"/>
          <w:sz w:val="24"/>
          <w:szCs w:val="24"/>
        </w:rPr>
        <w:t>Change</w:t>
      </w:r>
      <w:r>
        <w:rPr>
          <w:color w:val="auto"/>
          <w:sz w:val="24"/>
          <w:szCs w:val="24"/>
        </w:rPr>
        <w:t xml:space="preserve"> the first sentence of 5.1.1.2 as follows:</w:t>
      </w:r>
    </w:p>
    <w:p w14:paraId="34811C8A" w14:textId="108248DF" w:rsidR="00C85AFE" w:rsidRDefault="00C85AFE" w:rsidP="00C85AFE">
      <w:pPr>
        <w:widowControl w:val="0"/>
        <w:autoSpaceDE w:val="0"/>
        <w:autoSpaceDN w:val="0"/>
        <w:adjustRightInd w:val="0"/>
        <w:rPr>
          <w:lang w:val="en-US"/>
        </w:rPr>
      </w:pPr>
      <w:r w:rsidRPr="00C85AFE">
        <w:rPr>
          <w:color w:val="000000"/>
          <w:szCs w:val="24"/>
          <w:lang w:val="en-US"/>
        </w:rPr>
        <w:t>The QoS facility supports eight priority values, referred to as UPs . The values a UP may take are the integer</w:t>
      </w:r>
      <w:r>
        <w:rPr>
          <w:color w:val="000000"/>
          <w:szCs w:val="24"/>
          <w:lang w:val="en-US"/>
        </w:rPr>
        <w:t xml:space="preserve"> </w:t>
      </w:r>
      <w:r>
        <w:rPr>
          <w:lang w:val="en-US"/>
        </w:rPr>
        <w:t xml:space="preserve">values from 0 to 7 and are identical to the </w:t>
      </w:r>
      <w:r w:rsidRPr="00C85AFE">
        <w:rPr>
          <w:u w:val="single"/>
          <w:lang w:val="en-US"/>
        </w:rPr>
        <w:t>IEEE Std 802.1Q priority values for GLK STAs and</w:t>
      </w:r>
      <w:r>
        <w:rPr>
          <w:lang w:val="en-US"/>
        </w:rPr>
        <w:t xml:space="preserve"> to the IEEE Std 802.1D priority </w:t>
      </w:r>
      <w:r w:rsidRPr="00C85AFE">
        <w:rPr>
          <w:strike/>
          <w:szCs w:val="24"/>
          <w:lang w:val="en-US"/>
        </w:rPr>
        <w:t>tags</w:t>
      </w:r>
      <w:r>
        <w:rPr>
          <w:lang w:val="en-US"/>
        </w:rPr>
        <w:t xml:space="preserve"> </w:t>
      </w:r>
      <w:r w:rsidRPr="00C85AFE">
        <w:rPr>
          <w:szCs w:val="24"/>
          <w:u w:val="single"/>
          <w:lang w:val="en-US"/>
        </w:rPr>
        <w:t>values for non-GLK STAs</w:t>
      </w:r>
      <w:r>
        <w:rPr>
          <w:lang w:val="en-US"/>
        </w:rPr>
        <w:t>.</w:t>
      </w:r>
    </w:p>
    <w:p w14:paraId="39E7CD72" w14:textId="3D3DA249" w:rsidR="00C85AFE" w:rsidRPr="00C85AFE" w:rsidRDefault="00C85AFE" w:rsidP="00C85AFE">
      <w:pPr>
        <w:pStyle w:val="EditorNote"/>
        <w:rPr>
          <w:color w:val="000000"/>
          <w:sz w:val="24"/>
          <w:szCs w:val="24"/>
          <w:lang w:val="en-US"/>
        </w:rPr>
      </w:pPr>
      <w:r>
        <w:rPr>
          <w:lang w:val="en-US"/>
        </w:rPr>
        <w:t>Note: Or should we just give up on 802.1D priorities above?</w:t>
      </w:r>
    </w:p>
    <w:p w14:paraId="4E9E4D1D" w14:textId="77777777" w:rsidR="00F924CB" w:rsidRDefault="00F924CB" w:rsidP="00F924CB">
      <w:pPr>
        <w:pStyle w:val="Heading3"/>
      </w:pPr>
      <w:bookmarkStart w:id="23" w:name="_Toc250645037"/>
      <w:r>
        <w:lastRenderedPageBreak/>
        <w:t>Security services</w:t>
      </w:r>
      <w:bookmarkEnd w:id="23"/>
    </w:p>
    <w:p w14:paraId="2A01277B" w14:textId="77777777" w:rsidR="00F924CB" w:rsidRDefault="00F924CB" w:rsidP="00F924CB">
      <w:pPr>
        <w:pStyle w:val="Heading3"/>
      </w:pPr>
      <w:bookmarkStart w:id="24" w:name="_Toc250645038"/>
      <w:r>
        <w:t>MSDU ordering</w:t>
      </w:r>
      <w:bookmarkEnd w:id="24"/>
    </w:p>
    <w:p w14:paraId="09545A47" w14:textId="77777777" w:rsidR="00F924CB" w:rsidRDefault="00F924CB" w:rsidP="00F924CB">
      <w:pPr>
        <w:pStyle w:val="Heading3"/>
      </w:pPr>
      <w:bookmarkStart w:id="25" w:name="_Toc250645039"/>
      <w:r>
        <w:t>MSDU format</w:t>
      </w:r>
      <w:bookmarkEnd w:id="25"/>
    </w:p>
    <w:p w14:paraId="11747C41" w14:textId="4CF3FDD7" w:rsidR="002E6CE0" w:rsidRPr="002E6CE0" w:rsidRDefault="002E6CE0" w:rsidP="002E6CE0">
      <w:pPr>
        <w:pStyle w:val="EditorNote"/>
      </w:pPr>
      <w:r>
        <w:t>Note: Further changes are expected to be required here</w:t>
      </w:r>
      <w:r w:rsidR="009F564D">
        <w:t xml:space="preserve"> based on new specification of LLC PDUs</w:t>
      </w:r>
      <w:r>
        <w:t xml:space="preserve"> by 802.1.</w:t>
      </w:r>
    </w:p>
    <w:p w14:paraId="673B5E05" w14:textId="4C79C5FC" w:rsidR="00C85AFE" w:rsidRPr="0076564E" w:rsidRDefault="00C85AFE" w:rsidP="00C85AFE">
      <w:pPr>
        <w:rPr>
          <w:b/>
          <w:i/>
        </w:rPr>
      </w:pPr>
      <w:r w:rsidRPr="0076564E">
        <w:rPr>
          <w:b/>
          <w:i/>
        </w:rPr>
        <w:t>Change Clause 5.1.4 as follows:</w:t>
      </w:r>
    </w:p>
    <w:p w14:paraId="767532B3" w14:textId="22887C01" w:rsidR="0076564E" w:rsidRPr="0076564E" w:rsidRDefault="0076564E" w:rsidP="0076564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DE140E">
        <w:rPr>
          <w:strike/>
          <w:color w:val="000000"/>
          <w:szCs w:val="24"/>
          <w:lang w:val="en-US"/>
        </w:rPr>
        <w:t>This standard is part of the IEEE 802 family of LAN standards, and as such</w:t>
      </w:r>
      <w:r>
        <w:rPr>
          <w:color w:val="000000"/>
          <w:szCs w:val="24"/>
          <w:lang w:val="en-US"/>
        </w:rPr>
        <w:t xml:space="preserve"> </w:t>
      </w:r>
      <w:r w:rsidR="00DE140E" w:rsidRPr="002E6CE0">
        <w:rPr>
          <w:color w:val="000000"/>
          <w:szCs w:val="24"/>
          <w:u w:val="single"/>
          <w:lang w:val="en-US"/>
        </w:rPr>
        <w:t>All GLK STA MSDUs are EtherType encoded as specified in IEEE Std 802-</w:t>
      </w:r>
      <w:r w:rsidR="002E6CE0" w:rsidRPr="002E6CE0">
        <w:rPr>
          <w:color w:val="000000"/>
          <w:szCs w:val="24"/>
          <w:u w:val="single"/>
          <w:lang w:val="en-US"/>
        </w:rPr>
        <w:t xml:space="preserve">2001 and </w:t>
      </w:r>
      <w:r w:rsidRPr="002E6CE0">
        <w:rPr>
          <w:color w:val="000000"/>
          <w:szCs w:val="24"/>
          <w:lang w:val="en-US"/>
        </w:rPr>
        <w:t>all</w:t>
      </w:r>
      <w:r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>non-GLK</w:t>
      </w:r>
      <w:r w:rsidR="002E6CE0">
        <w:rPr>
          <w:color w:val="000000"/>
          <w:szCs w:val="24"/>
          <w:lang w:val="en-US"/>
        </w:rPr>
        <w:t xml:space="preserve"> STA </w:t>
      </w:r>
      <w:r>
        <w:rPr>
          <w:color w:val="000000"/>
          <w:szCs w:val="24"/>
          <w:lang w:val="en-US"/>
        </w:rPr>
        <w:t xml:space="preserve">MSDUs are LLC PDUs as </w:t>
      </w:r>
      <w:r w:rsidRPr="0076564E">
        <w:rPr>
          <w:color w:val="000000"/>
          <w:szCs w:val="24"/>
          <w:lang w:val="en-US"/>
        </w:rPr>
        <w:t>defined in ISO/IEC 8802-2: 1998. In order to achieve interoperability</w:t>
      </w:r>
      <w:r w:rsidR="002E6CE0"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>between non-GLK STAs and networks using EtherType encoding</w:t>
      </w:r>
      <w:r w:rsidRPr="0076564E">
        <w:rPr>
          <w:color w:val="000000"/>
          <w:szCs w:val="24"/>
          <w:lang w:val="en-US"/>
        </w:rPr>
        <w:t>, implementers are recommended to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apply the procedures described in ISO/IEC Technical Report 11802-5:1997(E) (previously known as IEEE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Std 802.1H-1997 [B21]), along with a selective translation table (STT) that handles a few specific network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protocols, with specific attention to the operations required when passing MSDUs to or from LANs or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operating system components that use the Ethernet frame format. Note that such translations might be required in a STA.</w:t>
      </w:r>
    </w:p>
    <w:p w14:paraId="4970A8DE" w14:textId="22017BE1" w:rsidR="00C85AFE" w:rsidRDefault="00C85AFE" w:rsidP="00C85AFE">
      <w:pPr>
        <w:pStyle w:val="Heading3"/>
      </w:pPr>
      <w:bookmarkStart w:id="26" w:name="_Toc250645040"/>
      <w:r>
        <w:t>MAC data service architecture</w:t>
      </w:r>
      <w:bookmarkEnd w:id="26"/>
    </w:p>
    <w:p w14:paraId="26B5C9EF" w14:textId="77777777" w:rsidR="00F924CB" w:rsidRDefault="00F924CB" w:rsidP="00F924CB">
      <w:pPr>
        <w:pStyle w:val="Heading2"/>
      </w:pPr>
      <w:bookmarkStart w:id="27" w:name="_Toc250645041"/>
      <w:r>
        <w:t>MAC data service specification</w:t>
      </w:r>
      <w:bookmarkEnd w:id="27"/>
    </w:p>
    <w:p w14:paraId="504369F8" w14:textId="77777777" w:rsidR="002E6CE0" w:rsidRPr="002E6CE0" w:rsidRDefault="002E6CE0" w:rsidP="002E6CE0">
      <w:pPr>
        <w:pStyle w:val="EditorNote"/>
      </w:pPr>
      <w:r>
        <w:t>Note: Should Drop Eligibility be added to the service primitive interfaces?</w:t>
      </w:r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8" w:name="_Toc250645042"/>
      <w:r>
        <w:t>Layer management</w:t>
      </w:r>
      <w:bookmarkEnd w:id="28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29" w:name="_Toc250645043"/>
      <w:r>
        <w:t>PHY service specification</w:t>
      </w:r>
      <w:bookmarkEnd w:id="29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30" w:name="_Toc250645044"/>
      <w:r>
        <w:t>Frame formats</w:t>
      </w:r>
      <w:bookmarkEnd w:id="30"/>
    </w:p>
    <w:p w14:paraId="793C3C47" w14:textId="77777777" w:rsidR="00F924CB" w:rsidRDefault="00F924CB" w:rsidP="00F924CB">
      <w:pPr>
        <w:pStyle w:val="Heading2"/>
      </w:pPr>
      <w:bookmarkStart w:id="31" w:name="_Toc250645045"/>
      <w:r>
        <w:t>Genral requirements</w:t>
      </w:r>
      <w:bookmarkEnd w:id="31"/>
    </w:p>
    <w:p w14:paraId="16E15E51" w14:textId="77777777" w:rsidR="00F924CB" w:rsidRDefault="00F924CB" w:rsidP="00F924CB">
      <w:pPr>
        <w:pStyle w:val="Heading2"/>
      </w:pPr>
      <w:bookmarkStart w:id="32" w:name="_Toc250645046"/>
      <w:r>
        <w:t>MAC frame formats</w:t>
      </w:r>
      <w:bookmarkEnd w:id="32"/>
    </w:p>
    <w:p w14:paraId="5EEBF9E7" w14:textId="77777777" w:rsidR="00F924CB" w:rsidRDefault="00F924CB" w:rsidP="00F924CB">
      <w:pPr>
        <w:pStyle w:val="Heading2"/>
      </w:pPr>
      <w:bookmarkStart w:id="33" w:name="_Toc250645047"/>
      <w:r>
        <w:t>Format of individual frame types</w:t>
      </w:r>
      <w:bookmarkEnd w:id="33"/>
    </w:p>
    <w:p w14:paraId="1DDF00C4" w14:textId="3AC64C34" w:rsidR="00F924CB" w:rsidRDefault="00F924CB" w:rsidP="00F924CB">
      <w:pPr>
        <w:pStyle w:val="Heading2"/>
      </w:pPr>
      <w:bookmarkStart w:id="34" w:name="_Toc250645048"/>
      <w:r>
        <w:t>Management and Extension</w:t>
      </w:r>
      <w:r w:rsidR="00165629">
        <w:t xml:space="preserve"> </w:t>
      </w:r>
      <w:r>
        <w:t>frame body components</w:t>
      </w:r>
      <w:bookmarkEnd w:id="34"/>
    </w:p>
    <w:p w14:paraId="0F2D1D9F" w14:textId="77777777" w:rsidR="00F924CB" w:rsidRDefault="00F924CB" w:rsidP="00CE545E">
      <w:pPr>
        <w:pStyle w:val="Heading3"/>
      </w:pPr>
      <w:bookmarkStart w:id="35" w:name="_Toc250645049"/>
      <w:r>
        <w:t>Fields that are not elements</w:t>
      </w:r>
      <w:bookmarkEnd w:id="35"/>
    </w:p>
    <w:p w14:paraId="50D61C00" w14:textId="77777777" w:rsidR="00F924CB" w:rsidRDefault="00F924CB" w:rsidP="00F924CB">
      <w:pPr>
        <w:pStyle w:val="Heading3"/>
      </w:pPr>
      <w:bookmarkStart w:id="36" w:name="_Toc250645050"/>
      <w:r>
        <w:t>Elements</w:t>
      </w:r>
      <w:bookmarkEnd w:id="36"/>
    </w:p>
    <w:p w14:paraId="40FD1187" w14:textId="3D959843" w:rsidR="0094060C" w:rsidRPr="009126B7" w:rsidRDefault="0094060C" w:rsidP="0094060C">
      <w:pPr>
        <w:rPr>
          <w:b/>
          <w:i/>
        </w:rPr>
      </w:pPr>
      <w:r w:rsidRPr="009126B7">
        <w:rPr>
          <w:b/>
          <w:i/>
        </w:rPr>
        <w:t xml:space="preserve">Add the following </w:t>
      </w:r>
      <w:r w:rsidR="009126B7" w:rsidRPr="009126B7">
        <w:rPr>
          <w:b/>
          <w:i/>
        </w:rPr>
        <w:t>clause</w:t>
      </w:r>
      <w:r w:rsidRPr="009126B7">
        <w:rPr>
          <w:b/>
          <w:i/>
        </w:rPr>
        <w:t xml:space="preserve"> as a new subsect</w:t>
      </w:r>
      <w:r w:rsidR="00D75CCC" w:rsidRPr="009126B7">
        <w:rPr>
          <w:b/>
          <w:i/>
        </w:rPr>
        <w:t xml:space="preserve">ion and </w:t>
      </w:r>
      <w:r w:rsidR="009126B7" w:rsidRPr="009126B7">
        <w:rPr>
          <w:b/>
          <w:i/>
        </w:rPr>
        <w:t xml:space="preserve">add the specified element </w:t>
      </w:r>
      <w:r w:rsidR="00D75CCC" w:rsidRPr="009126B7">
        <w:rPr>
          <w:b/>
          <w:i/>
        </w:rPr>
        <w:t>to the table in 8.4.2.1:</w:t>
      </w:r>
    </w:p>
    <w:p w14:paraId="250D0A6E" w14:textId="41A1214F" w:rsidR="00384EEF" w:rsidRDefault="00C57707" w:rsidP="00C57707">
      <w:pPr>
        <w:pStyle w:val="Heading4"/>
        <w:numPr>
          <w:ilvl w:val="0"/>
          <w:numId w:val="0"/>
        </w:numPr>
        <w:ind w:left="864" w:hanging="864"/>
      </w:pPr>
      <w:bookmarkStart w:id="37" w:name="_Toc250645051"/>
      <w:r>
        <w:t xml:space="preserve">8.4.2.X </w:t>
      </w:r>
      <w:r w:rsidR="0094060C" w:rsidRPr="00384EEF">
        <w:t xml:space="preserve">GLK </w:t>
      </w:r>
      <w:r w:rsidR="00D75CCC">
        <w:t>Capabilities</w:t>
      </w:r>
      <w:r w:rsidR="00AE448A" w:rsidRPr="00384EEF">
        <w:t xml:space="preserve"> </w:t>
      </w:r>
      <w:r w:rsidR="0094060C" w:rsidRPr="00384EEF">
        <w:t>element</w:t>
      </w:r>
      <w:bookmarkEnd w:id="37"/>
    </w:p>
    <w:p w14:paraId="0270005E" w14:textId="77777777" w:rsidR="00D75CCC" w:rsidRDefault="00D75CCC" w:rsidP="00D75CCC"/>
    <w:p w14:paraId="1DCACD99" w14:textId="254D8CF5" w:rsidR="00D75CCC" w:rsidRPr="00384EEF" w:rsidRDefault="00D75CCC" w:rsidP="00D75CCC">
      <w:r>
        <w:t>The presence of the GLK Capabilities element in a Beacon, Probe, Probe Response, Associate, Association Response, Re-Associate, Reassociation Reponse, Mesh Peering Open, or Mesh Peering Confirm indicates that the transmitting STA</w:t>
      </w:r>
      <w:r w:rsidR="00C57707">
        <w:t xml:space="preserve"> is a GLK</w:t>
      </w:r>
      <w:r>
        <w:t xml:space="preserve"> </w:t>
      </w:r>
      <w:r w:rsidR="00B10D18">
        <w:t xml:space="preserve">STA </w:t>
      </w:r>
      <w:r w:rsidR="00C57707">
        <w:t xml:space="preserve">(and therefore </w:t>
      </w:r>
      <w:r>
        <w:t xml:space="preserve">uses the </w:t>
      </w:r>
      <w:r w:rsidR="00C57707">
        <w:t>EtherType encoded</w:t>
      </w:r>
      <w:r>
        <w:t xml:space="preserve"> MSDU format</w:t>
      </w:r>
      <w:r w:rsidR="00C57707">
        <w:t>)</w:t>
      </w:r>
      <w:r w:rsidR="00B10D18">
        <w:t xml:space="preserve"> and indicates by non-zero bits in the flag octet whether or not that STA is an AP and what </w:t>
      </w:r>
      <w:r>
        <w:t xml:space="preserve">additional GLK capabilities </w:t>
      </w:r>
      <w:r w:rsidR="00B10D18">
        <w:t>it may have if any</w:t>
      </w:r>
      <w:r>
        <w:t>.</w:t>
      </w:r>
      <w:r w:rsidR="00B10D18">
        <w:t xml:space="preserve"> If the STA is a GLK AP, the SSID is also provided.</w:t>
      </w:r>
      <w:r>
        <w:t xml:space="preserve"> </w:t>
      </w:r>
    </w:p>
    <w:p w14:paraId="184055E5" w14:textId="77777777" w:rsidR="00373FBD" w:rsidRDefault="00373FBD" w:rsidP="0094060C">
      <w:pPr>
        <w:rPr>
          <w:rFonts w:ascii="Arial" w:hAnsi="Arial" w:cs="Arial"/>
          <w:b/>
        </w:rPr>
      </w:pPr>
    </w:p>
    <w:p w14:paraId="0D342430" w14:textId="5B152BF9" w:rsidR="00373FBD" w:rsidRDefault="00373FBD" w:rsidP="009406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</w:t>
      </w:r>
      <w:r w:rsidR="00EE2034" w:rsidRPr="00EE2034">
        <w:rPr>
          <w:rFonts w:ascii="Arial" w:hAnsi="Arial" w:cs="Arial"/>
          <w:b/>
          <w:lang w:val="en-US"/>
        </w:rPr>
        <mc:AlternateContent>
          <mc:Choice Requires="wpg">
            <w:drawing>
              <wp:inline distT="0" distB="0" distL="0" distR="0" wp14:anchorId="5644D2F6" wp14:editId="295E099A">
                <wp:extent cx="3580060" cy="979590"/>
                <wp:effectExtent l="0" t="0" r="27305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0060" cy="979590"/>
                          <a:chOff x="0" y="0"/>
                          <a:chExt cx="3580060" cy="97959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39229" y="2960"/>
                            <a:ext cx="3440831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1F06C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Element ID           Length           Flags        SSID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363881"/>
                            <a:ext cx="357949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12DFC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Octets:        1                       1                   1            0-32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314397" y="296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211344" y="296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18233" y="625647"/>
                            <a:ext cx="2425064" cy="353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DF2B7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Figure 8-tbd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795544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7" style="width:281.9pt;height:77.15pt;mso-position-horizontal-relative:char;mso-position-vertical-relative:line" coordsize="3580060,9795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">
                <v:rect id="Rectangle 3" o:spid="_x0000_s1028" style="position:absolute;left:139229;top:2960;width:3440831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i2WlwwAA&#10;ANoAAAAPAAAAZHJzL2Rvd25yZXYueG1sRI9Ba8JAFITvQv/D8gq96aatlhJdpUSEFgUx7cXbI/ua&#10;pM2+DbtrEv+9Kwgeh5n5hlmsBtOIjpyvLSt4niQgiAuray4V/Hxvxu8gfEDW2FgmBWfysFo+jBaY&#10;atvzgbo8lCJC2KeooAqhTaX0RUUG/cS2xNH7tc5giNKVUjvsI9w08iVJ3qTBmuNChS1lFRX/+cko&#10;OM7+5L7OejztvtbbWedskk2tUk+Pw8ccRKAh3MO39qdW8ArXK/EGyO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i2WlwwAAANoAAAAPAAAAAAAAAAAAAAAAAJcCAABkcnMvZG93&#10;bnJldi54bWxQSwUGAAAAAAQABAD1AAAAhwMAAAAA&#10;" filled="f" strokeweight="1pt">
                  <v:textbox>
                    <w:txbxContent>
                      <w:p w14:paraId="1DC1F06C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Element ID           Length           Flags        SSID</w:t>
                        </w:r>
                      </w:p>
                    </w:txbxContent>
                  </v:textbox>
                </v:rect>
                <v:shape id="Text Box 4" o:spid="_x0000_s1029" type="#_x0000_t202" style="position:absolute;top:363881;width:357949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44UwQAA&#10;ANoAAAAPAAAAZHJzL2Rvd25yZXYueG1sRI9Pa8JAFMTvBb/D8gRvdWOx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AuOFMEAAADaAAAADwAAAAAAAAAAAAAAAACXAgAAZHJzL2Rvd25y&#10;ZXYueG1sUEsFBgAAAAAEAAQA9QAAAIUDAAAAAA==&#10;" filled="f" stroked="f">
                  <v:textbox style="mso-fit-shape-to-text:t">
                    <w:txbxContent>
                      <w:p w14:paraId="34312DFC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Octets:        1                       1                   1            0-32</w:t>
                        </w:r>
                      </w:p>
                    </w:txbxContent>
                  </v:textbox>
                </v:shape>
                <v:line id="Straight Connector 5" o:spid="_x0000_s1030" style="position:absolute;visibility:visible;mso-wrap-style:square" from="1314397,2960" to="1314397,3306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RQRM8UAAADaAAAADwAAAAAAAAAA&#10;AAAAAAChAgAAZHJzL2Rvd25yZXYueG1sUEsFBgAAAAAEAAQA+QAAAJMDAAAAAA==&#10;"/>
                <v:line id="Straight Connector 6" o:spid="_x0000_s1031" style="position:absolute;visibility:visible;mso-wrap-style:square" from="2211344,2960" to="2211344,3306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caPRMUAAADaAAAADwAAAAAAAAAA&#10;AAAAAAChAgAAZHJzL2Rvd25yZXYueG1sUEsFBgAAAAAEAAQA+QAAAJMDAAAAAA==&#10;"/>
                <v:shape id="Text Box 7" o:spid="_x0000_s1032" type="#_x0000_t202" style="position:absolute;left:618233;top:625647;width:2425064;height:3539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RBjwQAA&#10;ANoAAAAPAAAAZHJzL2Rvd25yZXYueG1sRI9Pa8JAFMTvBb/D8gRvdWPBtkRXEf+Ah15q4/2RfWaD&#10;2bch+2rit3eFQo/DzPyGWa4H36gbdbEObGA2zUARl8HWXBkofg6vn6CiIFtsApOBO0VYr0YvS8xt&#10;6PmbbiepVIJwzNGAE2lzrWPpyGOchpY4eZfQeZQku0rbDvsE941+y7J37bHmtOCwpa2j8nr69QZE&#10;7GZ2L/Y+Hs/D1653WTnHwpjJeNgsQAkN8h/+ax+tgQ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kQY8EAAADaAAAADwAAAAAAAAAAAAAAAACXAgAAZHJzL2Rvd25y&#10;ZXYueG1sUEsFBgAAAAAEAAQA9QAAAIUDAAAAAA==&#10;" filled="f" stroked="f">
                  <v:textbox style="mso-fit-shape-to-text:t">
                    <w:txbxContent>
                      <w:p w14:paraId="5DBDF2B7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Figure 8-tbd</w:t>
                        </w:r>
                      </w:p>
                    </w:txbxContent>
                  </v:textbox>
                </v:shape>
                <v:line id="Straight Connector 8" o:spid="_x0000_s1033" style="position:absolute;visibility:visible;mso-wrap-style:square" from="2795544,0" to="2795544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14:paraId="55836016" w14:textId="77777777" w:rsidR="00CF2429" w:rsidRDefault="00CF2429" w:rsidP="00CF2429">
      <w:pPr>
        <w:rPr>
          <w:lang w:val="en-US"/>
        </w:rPr>
      </w:pPr>
    </w:p>
    <w:p w14:paraId="230A1990" w14:textId="2C09FD5E" w:rsidR="00CF2429" w:rsidRDefault="00CF2429" w:rsidP="00CF2429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245CFFCF" w14:textId="4E8DE0E8" w:rsidR="00373FBD" w:rsidRDefault="00373FBD" w:rsidP="0094060C">
      <w:pPr>
        <w:rPr>
          <w:rFonts w:ascii="Arial" w:hAnsi="Arial" w:cs="Arial"/>
          <w:b/>
        </w:rPr>
      </w:pPr>
    </w:p>
    <w:p w14:paraId="243B7691" w14:textId="4BC28EC0" w:rsidR="00373FBD" w:rsidRDefault="00C57707" w:rsidP="00C57707">
      <w:r>
        <w:t>The Length field for this element hold</w:t>
      </w:r>
      <w:r w:rsidR="00D327F1">
        <w:t>s a value between 1 and 33.</w:t>
      </w:r>
    </w:p>
    <w:p w14:paraId="79F99A68" w14:textId="77777777" w:rsidR="00C57707" w:rsidRDefault="00C57707" w:rsidP="00C57707"/>
    <w:p w14:paraId="4297D312" w14:textId="466606CC" w:rsidR="00EE2034" w:rsidRDefault="00EE2034" w:rsidP="00C57707">
      <w:r>
        <w:t>The Flag bits are as show in Figure 8-tbd+1.</w:t>
      </w:r>
    </w:p>
    <w:p w14:paraId="3C348884" w14:textId="70226399" w:rsidR="00EE2034" w:rsidRDefault="00EE2034" w:rsidP="00C57707">
      <w:r>
        <w:t xml:space="preserve">    </w:t>
      </w:r>
    </w:p>
    <w:p w14:paraId="11D3D3FA" w14:textId="2C35987A" w:rsidR="00EE2034" w:rsidRDefault="00EE2034" w:rsidP="00C57707">
      <w:r>
        <w:t xml:space="preserve">                       </w:t>
      </w:r>
      <w:r w:rsidRPr="00EE2034">
        <w:rPr>
          <w:lang w:val="en-US"/>
        </w:rPr>
        <mc:AlternateContent>
          <mc:Choice Requires="wpg">
            <w:drawing>
              <wp:inline distT="0" distB="0" distL="0" distR="0" wp14:anchorId="6E28578C" wp14:editId="1CB38D86">
                <wp:extent cx="3579495" cy="1238240"/>
                <wp:effectExtent l="0" t="0" r="0" b="0"/>
                <wp:docPr id="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9495" cy="1238240"/>
                          <a:chOff x="0" y="0"/>
                          <a:chExt cx="3579495" cy="123824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59362" y="261610"/>
                            <a:ext cx="2683935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0D9EDF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GLK AP                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622373"/>
                            <a:ext cx="357949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4A17D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Bits:                    1                            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653070" y="26161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18233" y="884297"/>
                            <a:ext cx="2425064" cy="353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3EF08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Figure 8-tbd+1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59305" y="0"/>
                            <a:ext cx="268351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5EFB5" w14:textId="77777777" w:rsidR="00B10D18" w:rsidRDefault="00B10D18" w:rsidP="00EE20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B0                 B1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4" style="width:281.85pt;height:97.5pt;mso-position-horizontal-relative:char;mso-position-vertical-relative:line" coordsize="3579495,1238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">
                <v:rect id="Rectangle 14" o:spid="_x0000_s1035" style="position:absolute;left:359362;top:261610;width:2683935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4MsRwQAA&#10;ANsAAAAPAAAAZHJzL2Rvd25yZXYueG1sRE9Na8JAEL0X/A/LCN7qRtEi0VUkIigtiLYXb0N2mqRm&#10;Z8PumsR/3y0Ivc3jfc5q05tatOR8ZVnBZJyAIM6trrhQ8PW5f12A8AFZY22ZFDzIw2Y9eFlhqm3H&#10;Z2ovoRAxhH2KCsoQmlRKn5dk0I9tQxy5b+sMhghdIbXDLoabWk6T5E0arDg2lNhQVlJ+u9yNguv8&#10;R56qrMP7x3H3Pm+dTbKZVWo07LdLEIH68C9+ug86zp/B3y/xALn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ODLEcEAAADbAAAADwAAAAAAAAAAAAAAAACXAgAAZHJzL2Rvd25y&#10;ZXYueG1sUEsFBgAAAAAEAAQA9QAAAIUDAAAAAA==&#10;" filled="f" strokeweight="1pt">
                  <v:textbox>
                    <w:txbxContent>
                      <w:p w14:paraId="3F0D9EDF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GLK AP                Reserved</w:t>
                        </w:r>
                      </w:p>
                    </w:txbxContent>
                  </v:textbox>
                </v:rect>
                <v:shape id="Text Box 15" o:spid="_x0000_s1036" type="#_x0000_t202" style="position:absolute;top:622373;width:357949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<v:textbox style="mso-fit-shape-to-text:t">
                    <w:txbxContent>
                      <w:p w14:paraId="0894A17D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Bits:                    1                             7</w:t>
                        </w:r>
                      </w:p>
                    </w:txbxContent>
                  </v:textbox>
                </v:shape>
                <v:line id="Straight Connector 16" o:spid="_x0000_s1037" style="position:absolute;visibility:visible;mso-wrap-style:square" from="1653070,261610" to="1653070,5892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17" o:spid="_x0000_s1038" type="#_x0000_t202" style="position:absolute;left:618233;top:884297;width:2425064;height:3539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v9MvwAA&#10;ANsAAAAPAAAAZHJzL2Rvd25yZXYueG1sRE9La8JAEL4X/A/LCN7qxoJtia4iPsBDL7XxPmTHbDA7&#10;G7JTE/+9KxR6m4/vOcv14Bt1oy7WgQ3Mphko4jLYmisDxc/h9RNUFGSLTWAycKcI69XoZYm5DT1/&#10;0+0klUohHHM04ETaXOtYOvIYp6ElTtwldB4lwa7StsM+hftGv2XZu/ZYc2pw2NLWUXk9/XoDInYz&#10;uxd7H4/n4WvXu6ycY2HMZDxsFqCEBvkX/7mPNs3/gO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Vq/0y/AAAA2wAAAA8AAAAAAAAAAAAAAAAAlwIAAGRycy9kb3ducmV2&#10;LnhtbFBLBQYAAAAABAAEAPUAAACDAwAAAAA=&#10;" filled="f" stroked="f">
                  <v:textbox style="mso-fit-shape-to-text:t">
                    <w:txbxContent>
                      <w:p w14:paraId="4903EF08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Figure 8-tbd+1</w:t>
                        </w:r>
                      </w:p>
                    </w:txbxContent>
                  </v:textbox>
                </v:shape>
                <v:shape id="Text Box 18" o:spid="_x0000_s1039" type="#_x0000_t202" style="position:absolute;left:359305;width:268351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9Ws+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WP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1az7CAAAA2wAAAA8AAAAAAAAAAAAAAAAAlwIAAGRycy9kb3du&#10;cmV2LnhtbFBLBQYAAAAABAAEAPUAAACGAwAAAAA=&#10;" filled="f" stroked="f">
                  <v:textbox style="mso-fit-shape-to-text:t">
                    <w:txbxContent>
                      <w:p w14:paraId="36F5EFB5" w14:textId="77777777" w:rsidR="00B10D18" w:rsidRDefault="00B10D18" w:rsidP="00EE20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B0                 B1                       B7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695791" w14:textId="5860C9BC" w:rsidR="00EE2034" w:rsidRDefault="00EE2034" w:rsidP="00C57707">
      <w:r>
        <w:t>The GLK AP bit indicates that the sending STA is a</w:t>
      </w:r>
      <w:r w:rsidR="00B10D18">
        <w:t>n AP and the SSID sub-element has the same meaning as specified in clause 8.4.2.2</w:t>
      </w:r>
      <w:r>
        <w:t>. If the GLK AP bit is zero</w:t>
      </w:r>
      <w:r w:rsidR="00B10D18">
        <w:t xml:space="preserve">, then the sending STA is a non-AP GLK STA, the Length field should be 1, and the SSID </w:t>
      </w:r>
      <w:r w:rsidR="009F564D">
        <w:t>sub-element</w:t>
      </w:r>
      <w:r w:rsidR="00B10D18">
        <w:t xml:space="preserve"> shall be ignored.</w:t>
      </w:r>
    </w:p>
    <w:p w14:paraId="2E64306F" w14:textId="77777777" w:rsidR="00F924CB" w:rsidRDefault="00F924CB" w:rsidP="00F924CB">
      <w:pPr>
        <w:pStyle w:val="Heading3"/>
      </w:pPr>
      <w:bookmarkStart w:id="38" w:name="_Toc250645052"/>
      <w:r>
        <w:t>Information Subelements</w:t>
      </w:r>
      <w:bookmarkEnd w:id="38"/>
    </w:p>
    <w:p w14:paraId="54A2D1CA" w14:textId="77777777" w:rsidR="0094060C" w:rsidRPr="0094060C" w:rsidRDefault="00F924CB" w:rsidP="0094060C">
      <w:pPr>
        <w:pStyle w:val="Heading3"/>
      </w:pPr>
      <w:bookmarkStart w:id="39" w:name="_Toc250645053"/>
      <w:r>
        <w:t>Access network query protocol (ANQP) elements</w:t>
      </w:r>
      <w:bookmarkEnd w:id="39"/>
    </w:p>
    <w:p w14:paraId="05570675" w14:textId="55E2AC6A" w:rsidR="00F924CB" w:rsidRDefault="00F924CB" w:rsidP="00F924CB">
      <w:pPr>
        <w:pStyle w:val="Heading2"/>
      </w:pPr>
      <w:bookmarkStart w:id="40" w:name="_Toc250645054"/>
      <w:r>
        <w:t>Fields used in Management and Extension frame bodies and Control frames</w:t>
      </w:r>
      <w:bookmarkEnd w:id="40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41" w:name="_Toc250645055"/>
      <w:r>
        <w:t>Action frame format details</w:t>
      </w:r>
      <w:bookmarkEnd w:id="41"/>
    </w:p>
    <w:p w14:paraId="5B8C610C" w14:textId="77777777" w:rsidR="00F924CB" w:rsidRDefault="00F924CB" w:rsidP="00F924CB">
      <w:pPr>
        <w:pStyle w:val="Heading2"/>
      </w:pPr>
      <w:bookmarkStart w:id="42" w:name="_Toc250645056"/>
      <w:r>
        <w:t>Aggregate MPDU (A-MPDU)</w:t>
      </w:r>
      <w:bookmarkEnd w:id="42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43" w:name="_Toc250645057"/>
      <w:r>
        <w:lastRenderedPageBreak/>
        <w:t>MAC sublayer functional description</w:t>
      </w:r>
      <w:bookmarkEnd w:id="43"/>
    </w:p>
    <w:p w14:paraId="7F8F70D1" w14:textId="77777777" w:rsidR="00CB6182" w:rsidRDefault="00CB6182" w:rsidP="00CB6182">
      <w:pPr>
        <w:pStyle w:val="Heading2"/>
      </w:pPr>
      <w:bookmarkStart w:id="44" w:name="_Toc250645058"/>
      <w:r>
        <w:t>Introduction</w:t>
      </w:r>
      <w:bookmarkEnd w:id="44"/>
    </w:p>
    <w:p w14:paraId="3CE801FB" w14:textId="77777777" w:rsidR="00CB6182" w:rsidRDefault="00CB6182" w:rsidP="00CB6182">
      <w:pPr>
        <w:pStyle w:val="Heading2"/>
      </w:pPr>
      <w:bookmarkStart w:id="45" w:name="_Toc250645059"/>
      <w:r>
        <w:t>MAC architecture</w:t>
      </w:r>
      <w:bookmarkEnd w:id="45"/>
    </w:p>
    <w:p w14:paraId="2BA0BDFF" w14:textId="77777777" w:rsidR="00CB6182" w:rsidRDefault="00CB6182" w:rsidP="00CB6182">
      <w:pPr>
        <w:pStyle w:val="Heading2"/>
      </w:pPr>
      <w:bookmarkStart w:id="46" w:name="_Toc250645060"/>
      <w:r>
        <w:t>DCF</w:t>
      </w:r>
      <w:bookmarkEnd w:id="46"/>
    </w:p>
    <w:p w14:paraId="50A5A1DF" w14:textId="77777777" w:rsidR="00CB6182" w:rsidRDefault="00CB6182" w:rsidP="00CB6182">
      <w:pPr>
        <w:pStyle w:val="Heading2"/>
      </w:pPr>
      <w:bookmarkStart w:id="47" w:name="_Toc250645061"/>
      <w:r>
        <w:t>PCF</w:t>
      </w:r>
      <w:bookmarkEnd w:id="47"/>
    </w:p>
    <w:p w14:paraId="7D3FD7BA" w14:textId="77777777" w:rsidR="00CB6182" w:rsidRDefault="00CB6182" w:rsidP="00CB6182">
      <w:pPr>
        <w:pStyle w:val="Heading2"/>
      </w:pPr>
      <w:bookmarkStart w:id="48" w:name="_Toc250645062"/>
      <w:r>
        <w:t>Fragmentation</w:t>
      </w:r>
      <w:bookmarkEnd w:id="48"/>
    </w:p>
    <w:p w14:paraId="1543F41B" w14:textId="77777777" w:rsidR="00CB6182" w:rsidRDefault="00CB6182" w:rsidP="00CB6182">
      <w:pPr>
        <w:pStyle w:val="Heading2"/>
      </w:pPr>
      <w:bookmarkStart w:id="49" w:name="_Toc250645063"/>
      <w:r>
        <w:t>Defragmentation</w:t>
      </w:r>
      <w:bookmarkEnd w:id="49"/>
    </w:p>
    <w:p w14:paraId="6AF87B42" w14:textId="77777777" w:rsidR="00CB6182" w:rsidRDefault="00CB6182" w:rsidP="00CB6182">
      <w:pPr>
        <w:pStyle w:val="Heading2"/>
      </w:pPr>
      <w:bookmarkStart w:id="50" w:name="_Toc250645064"/>
      <w:r>
        <w:t>Multirate support</w:t>
      </w:r>
      <w:bookmarkEnd w:id="50"/>
    </w:p>
    <w:p w14:paraId="599D8FCE" w14:textId="77777777" w:rsidR="00CB6182" w:rsidRDefault="00CB6182" w:rsidP="00CB6182">
      <w:pPr>
        <w:pStyle w:val="Heading2"/>
      </w:pPr>
      <w:bookmarkStart w:id="51" w:name="_Toc250645065"/>
      <w:r>
        <w:t>MSDU transmission restrictions</w:t>
      </w:r>
      <w:bookmarkEnd w:id="51"/>
    </w:p>
    <w:p w14:paraId="0CA2C35B" w14:textId="77777777" w:rsidR="00CB6182" w:rsidRDefault="00CB6182" w:rsidP="00CB6182">
      <w:pPr>
        <w:pStyle w:val="Heading2"/>
      </w:pPr>
      <w:bookmarkStart w:id="52" w:name="_Toc250645066"/>
      <w:r>
        <w:t>HT Control field operation</w:t>
      </w:r>
      <w:bookmarkEnd w:id="52"/>
    </w:p>
    <w:p w14:paraId="5D260E12" w14:textId="57571052" w:rsidR="004D01F5" w:rsidRDefault="004D01F5" w:rsidP="00CB6182">
      <w:pPr>
        <w:pStyle w:val="Heading2"/>
      </w:pPr>
      <w:bookmarkStart w:id="53" w:name="_Toc250645067"/>
      <w:r>
        <w:t>Control Wrapper operation</w:t>
      </w:r>
      <w:bookmarkEnd w:id="53"/>
    </w:p>
    <w:p w14:paraId="5B2D34A7" w14:textId="17F6A24E" w:rsidR="00CB6182" w:rsidRDefault="00CB6182" w:rsidP="00CB6182">
      <w:pPr>
        <w:pStyle w:val="Heading2"/>
      </w:pPr>
      <w:bookmarkStart w:id="54" w:name="_Toc250645068"/>
      <w:r>
        <w:t>A-MSDU operation</w:t>
      </w:r>
      <w:bookmarkEnd w:id="54"/>
    </w:p>
    <w:p w14:paraId="7049C627" w14:textId="77777777" w:rsidR="00CB6182" w:rsidRDefault="00CB6182" w:rsidP="00CB6182">
      <w:pPr>
        <w:pStyle w:val="Heading2"/>
      </w:pPr>
      <w:bookmarkStart w:id="55" w:name="_Toc250645069"/>
      <w:r>
        <w:t>A-MPDU operation</w:t>
      </w:r>
      <w:bookmarkEnd w:id="55"/>
    </w:p>
    <w:p w14:paraId="5943BE0D" w14:textId="77777777" w:rsidR="00CB6182" w:rsidRDefault="00CB6182" w:rsidP="00CB6182">
      <w:pPr>
        <w:pStyle w:val="Heading2"/>
      </w:pPr>
      <w:bookmarkStart w:id="56" w:name="_Toc250645070"/>
      <w:r>
        <w:t>PPDU duration constraint</w:t>
      </w:r>
      <w:r>
        <w:br/>
        <w:t>DMG A-PPCU operation</w:t>
      </w:r>
      <w:bookmarkEnd w:id="56"/>
    </w:p>
    <w:p w14:paraId="5021931B" w14:textId="77777777" w:rsidR="004D01F5" w:rsidRDefault="004D01F5" w:rsidP="00CB6182">
      <w:pPr>
        <w:pStyle w:val="Heading2"/>
      </w:pPr>
      <w:bookmarkStart w:id="57" w:name="_Toc250645071"/>
      <w:r>
        <w:t>DMG A-PPDU operation</w:t>
      </w:r>
      <w:bookmarkEnd w:id="57"/>
    </w:p>
    <w:p w14:paraId="16DEEA8B" w14:textId="33155B09" w:rsidR="00CB6182" w:rsidRDefault="00CB6182" w:rsidP="00CB6182">
      <w:pPr>
        <w:pStyle w:val="Heading2"/>
      </w:pPr>
      <w:bookmarkStart w:id="58" w:name="_Toc250645072"/>
      <w:r>
        <w:t>LDPC operation</w:t>
      </w:r>
      <w:bookmarkEnd w:id="58"/>
    </w:p>
    <w:p w14:paraId="00D8869B" w14:textId="1F3ABE2B" w:rsidR="00CB6182" w:rsidRDefault="004D01F5" w:rsidP="00CB6182">
      <w:pPr>
        <w:pStyle w:val="Heading2"/>
      </w:pPr>
      <w:bookmarkStart w:id="59" w:name="_Toc250645073"/>
      <w:r>
        <w:t>STBC</w:t>
      </w:r>
      <w:r w:rsidR="00CB6182">
        <w:t xml:space="preserve"> operation</w:t>
      </w:r>
      <w:bookmarkEnd w:id="59"/>
    </w:p>
    <w:p w14:paraId="0DB08CF4" w14:textId="77777777" w:rsidR="00CB6182" w:rsidRDefault="00CB6182" w:rsidP="00CB6182">
      <w:pPr>
        <w:pStyle w:val="Heading2"/>
      </w:pPr>
      <w:bookmarkStart w:id="60" w:name="_Toc250645074"/>
      <w:r>
        <w:t>Short GI operation</w:t>
      </w:r>
      <w:bookmarkEnd w:id="60"/>
    </w:p>
    <w:p w14:paraId="491C194D" w14:textId="77777777" w:rsidR="00CB6182" w:rsidRDefault="00CB6182" w:rsidP="00CB6182">
      <w:pPr>
        <w:pStyle w:val="Heading2"/>
      </w:pPr>
      <w:bookmarkStart w:id="61" w:name="_Toc250645075"/>
      <w:r>
        <w:t>Greenfield operation</w:t>
      </w:r>
      <w:bookmarkEnd w:id="61"/>
    </w:p>
    <w:p w14:paraId="560367D7" w14:textId="77777777" w:rsidR="00CB6182" w:rsidRDefault="00CB6182" w:rsidP="00CB6182">
      <w:pPr>
        <w:pStyle w:val="Heading2"/>
      </w:pPr>
      <w:bookmarkStart w:id="62" w:name="_Toc250645076"/>
      <w:r>
        <w:t>Operation across regulatory domains</w:t>
      </w:r>
      <w:bookmarkEnd w:id="62"/>
    </w:p>
    <w:p w14:paraId="5BB38290" w14:textId="77777777" w:rsidR="00CB6182" w:rsidRDefault="00CB6182" w:rsidP="00CB6182">
      <w:pPr>
        <w:pStyle w:val="Heading2"/>
      </w:pPr>
      <w:bookmarkStart w:id="63" w:name="_Toc250645077"/>
      <w:r>
        <w:t>HCF</w:t>
      </w:r>
      <w:bookmarkEnd w:id="63"/>
    </w:p>
    <w:p w14:paraId="10A4B7E4" w14:textId="77777777" w:rsidR="00CB6182" w:rsidRDefault="00CB6182" w:rsidP="00CB6182">
      <w:pPr>
        <w:pStyle w:val="Heading2"/>
      </w:pPr>
      <w:bookmarkStart w:id="64" w:name="_Toc250645078"/>
      <w:r>
        <w:t>Mesh coordination function (MCF)</w:t>
      </w:r>
      <w:bookmarkEnd w:id="64"/>
    </w:p>
    <w:p w14:paraId="1A2F56AF" w14:textId="5A880EAE" w:rsidR="00CB6182" w:rsidRDefault="004D01F5" w:rsidP="00CB6182">
      <w:pPr>
        <w:pStyle w:val="Heading2"/>
      </w:pPr>
      <w:bookmarkStart w:id="65" w:name="_Toc250645079"/>
      <w:r>
        <w:lastRenderedPageBreak/>
        <w:t>Block acknowledgement (block a</w:t>
      </w:r>
      <w:r w:rsidR="00CB6182">
        <w:t>ck)</w:t>
      </w:r>
      <w:bookmarkEnd w:id="65"/>
    </w:p>
    <w:p w14:paraId="251D3B89" w14:textId="47335B95" w:rsidR="00CB6182" w:rsidRDefault="004D01F5" w:rsidP="00394732">
      <w:pPr>
        <w:pStyle w:val="Heading2"/>
      </w:pPr>
      <w:bookmarkStart w:id="66" w:name="_Toc250645080"/>
      <w:r>
        <w:t>No Acknowledgement (No Ack)</w:t>
      </w:r>
      <w:bookmarkEnd w:id="66"/>
    </w:p>
    <w:p w14:paraId="46AD278A" w14:textId="77777777" w:rsidR="00CB6182" w:rsidRDefault="00CB6182" w:rsidP="00394732">
      <w:pPr>
        <w:pStyle w:val="Heading2"/>
      </w:pPr>
      <w:bookmarkStart w:id="67" w:name="_Toc250645081"/>
      <w:r>
        <w:t>Protection mechanisms</w:t>
      </w:r>
      <w:bookmarkEnd w:id="67"/>
    </w:p>
    <w:p w14:paraId="7BD2A45C" w14:textId="77777777" w:rsidR="00CB6182" w:rsidRDefault="00CB6182" w:rsidP="00394732">
      <w:pPr>
        <w:pStyle w:val="Heading2"/>
      </w:pPr>
      <w:bookmarkStart w:id="68" w:name="_Toc250645082"/>
      <w:r>
        <w:t>MAC frame processing</w:t>
      </w:r>
      <w:bookmarkEnd w:id="68"/>
    </w:p>
    <w:p w14:paraId="5AF84559" w14:textId="77777777" w:rsidR="00CB6182" w:rsidRDefault="00CB6182" w:rsidP="00394732">
      <w:pPr>
        <w:pStyle w:val="Heading2"/>
      </w:pPr>
      <w:bookmarkStart w:id="69" w:name="_Toc250645083"/>
      <w:r>
        <w:t>Reverse direction protocol</w:t>
      </w:r>
      <w:bookmarkEnd w:id="69"/>
    </w:p>
    <w:p w14:paraId="01893EC7" w14:textId="77777777" w:rsidR="00CB6182" w:rsidRDefault="00CB6182" w:rsidP="00394732">
      <w:pPr>
        <w:pStyle w:val="Heading2"/>
      </w:pPr>
      <w:bookmarkStart w:id="70" w:name="_Toc250645084"/>
      <w:r>
        <w:t>PSMP Operation</w:t>
      </w:r>
      <w:bookmarkEnd w:id="70"/>
    </w:p>
    <w:p w14:paraId="093A0ACC" w14:textId="77777777" w:rsidR="00CB6182" w:rsidRDefault="00CB6182" w:rsidP="00394732">
      <w:pPr>
        <w:pStyle w:val="Heading2"/>
      </w:pPr>
      <w:bookmarkStart w:id="71" w:name="_Toc250645085"/>
      <w:r>
        <w:t>Sounding PPDUs</w:t>
      </w:r>
      <w:bookmarkEnd w:id="71"/>
    </w:p>
    <w:p w14:paraId="12BCF7EC" w14:textId="46C6861A" w:rsidR="00CB6182" w:rsidRDefault="004D01F5" w:rsidP="00394732">
      <w:pPr>
        <w:pStyle w:val="Heading2"/>
      </w:pPr>
      <w:bookmarkStart w:id="72" w:name="_Toc250645086"/>
      <w:r>
        <w:t>L</w:t>
      </w:r>
      <w:r w:rsidR="00CB6182">
        <w:t>ink adaptation</w:t>
      </w:r>
      <w:bookmarkEnd w:id="72"/>
    </w:p>
    <w:p w14:paraId="767FE678" w14:textId="77777777" w:rsidR="00CB6182" w:rsidRDefault="00CB6182" w:rsidP="00394732">
      <w:pPr>
        <w:pStyle w:val="Heading2"/>
      </w:pPr>
      <w:bookmarkStart w:id="73" w:name="_Toc250645087"/>
      <w:r>
        <w:t>Transmit beamforming</w:t>
      </w:r>
      <w:bookmarkEnd w:id="73"/>
    </w:p>
    <w:p w14:paraId="23B987F6" w14:textId="77777777" w:rsidR="00CB6182" w:rsidRDefault="00CB6182" w:rsidP="00394732">
      <w:pPr>
        <w:pStyle w:val="Heading2"/>
      </w:pPr>
      <w:bookmarkStart w:id="74" w:name="_Toc250645088"/>
      <w:r>
        <w:t>Antenna selection (ASEL)</w:t>
      </w:r>
      <w:bookmarkEnd w:id="74"/>
    </w:p>
    <w:p w14:paraId="1FA1BC10" w14:textId="77777777" w:rsidR="00CB6182" w:rsidRDefault="00CB6182" w:rsidP="00394732">
      <w:pPr>
        <w:pStyle w:val="Heading2"/>
      </w:pPr>
      <w:bookmarkStart w:id="75" w:name="_Toc250645089"/>
      <w:r>
        <w:t>Null data packet (NDP) sounding</w:t>
      </w:r>
      <w:bookmarkEnd w:id="75"/>
    </w:p>
    <w:p w14:paraId="1AB88788" w14:textId="77777777" w:rsidR="00CB6182" w:rsidRDefault="00CB6182" w:rsidP="00394732">
      <w:pPr>
        <w:pStyle w:val="Heading2"/>
      </w:pPr>
      <w:bookmarkStart w:id="76" w:name="_Toc250645090"/>
      <w:r>
        <w:t>Mesh forwarding framework</w:t>
      </w:r>
      <w:bookmarkEnd w:id="76"/>
    </w:p>
    <w:p w14:paraId="34343E74" w14:textId="246DB837" w:rsidR="00CB6182" w:rsidRDefault="00CB6182" w:rsidP="00394732">
      <w:pPr>
        <w:pStyle w:val="Heading2"/>
      </w:pPr>
      <w:bookmarkStart w:id="77" w:name="_Toc250645091"/>
      <w:r>
        <w:t>DMG channel access</w:t>
      </w:r>
      <w:bookmarkEnd w:id="77"/>
    </w:p>
    <w:p w14:paraId="534CBE02" w14:textId="494B8CF6" w:rsidR="00CB6182" w:rsidRDefault="004D01F5" w:rsidP="00394732">
      <w:pPr>
        <w:pStyle w:val="Heading2"/>
      </w:pPr>
      <w:bookmarkStart w:id="78" w:name="_Toc250645092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78"/>
    </w:p>
    <w:p w14:paraId="422232B6" w14:textId="13085A54" w:rsidR="00CB6182" w:rsidRDefault="00CB6182" w:rsidP="00394732">
      <w:pPr>
        <w:pStyle w:val="Heading2"/>
      </w:pPr>
      <w:bookmarkStart w:id="79" w:name="_Toc250645093"/>
      <w:r>
        <w:t>DMG beamforming</w:t>
      </w:r>
      <w:bookmarkEnd w:id="79"/>
    </w:p>
    <w:p w14:paraId="35003DBE" w14:textId="5C14A603" w:rsidR="00CB6182" w:rsidRDefault="00165629" w:rsidP="00394732">
      <w:pPr>
        <w:pStyle w:val="Heading2"/>
      </w:pPr>
      <w:bookmarkStart w:id="80" w:name="_Toc250645094"/>
      <w:r>
        <w:t>DMG block a</w:t>
      </w:r>
      <w:r w:rsidR="00CB6182">
        <w:t>ck with flow control</w:t>
      </w:r>
      <w:bookmarkEnd w:id="80"/>
    </w:p>
    <w:p w14:paraId="654D82C1" w14:textId="13FB3BCD" w:rsidR="00CB6182" w:rsidRDefault="00CB6182" w:rsidP="00394732">
      <w:pPr>
        <w:pStyle w:val="Heading2"/>
      </w:pPr>
      <w:bookmarkStart w:id="81" w:name="_Toc250645095"/>
      <w:r>
        <w:t>DMG link adaptation</w:t>
      </w:r>
      <w:bookmarkEnd w:id="81"/>
    </w:p>
    <w:p w14:paraId="699E130F" w14:textId="47FF1AD6" w:rsidR="00CB6182" w:rsidRDefault="00165629" w:rsidP="00394732">
      <w:pPr>
        <w:pStyle w:val="Heading2"/>
      </w:pPr>
      <w:bookmarkStart w:id="82" w:name="_Toc250645096"/>
      <w:r>
        <w:t>DMG dynamic tone pairing (D</w:t>
      </w:r>
      <w:r w:rsidR="00394732">
        <w:t>TP)</w:t>
      </w:r>
      <w:bookmarkEnd w:id="82"/>
    </w:p>
    <w:p w14:paraId="704E0455" w14:textId="77777777" w:rsidR="00394732" w:rsidRDefault="00394732" w:rsidP="00394732">
      <w:pPr>
        <w:pStyle w:val="Heading2"/>
      </w:pPr>
      <w:bookmarkStart w:id="83" w:name="_Toc250645097"/>
      <w:r>
        <w:t>DMG relay operation</w:t>
      </w:r>
      <w:bookmarkEnd w:id="83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84" w:name="_Toc250645098"/>
      <w:r>
        <w:lastRenderedPageBreak/>
        <w:t>MLME</w:t>
      </w:r>
      <w:bookmarkEnd w:id="84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85" w:name="_Toc250645099"/>
      <w:r>
        <w:t>Security</w:t>
      </w:r>
      <w:bookmarkEnd w:id="85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86" w:name="_Toc250645100"/>
      <w:r>
        <w:t>Fast BS</w:t>
      </w:r>
      <w:r w:rsidR="00F924CB">
        <w:t>S transition</w:t>
      </w:r>
      <w:bookmarkEnd w:id="86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87" w:name="_Toc250645101"/>
      <w:r>
        <w:t>MLME Mesh procedures</w:t>
      </w:r>
      <w:bookmarkEnd w:id="87"/>
    </w:p>
    <w:p w14:paraId="24A07A90" w14:textId="77777777" w:rsidR="00360413" w:rsidRPr="00360413" w:rsidRDefault="00360413" w:rsidP="00360413"/>
    <w:p w14:paraId="4DED185A" w14:textId="77777777" w:rsidR="004F505E" w:rsidRDefault="004F505E" w:rsidP="004F505E">
      <w:pPr>
        <w:pStyle w:val="Heading1"/>
      </w:pPr>
      <w:bookmarkStart w:id="88" w:name="_Toc250645102"/>
      <w:r>
        <w:t>Frequency-Hopping spread spectrum (FHSS) PHY specification for the 2.4 GHz industrial, scientific, and medical (ISM) band</w:t>
      </w:r>
      <w:bookmarkEnd w:id="88"/>
    </w:p>
    <w:p w14:paraId="3B8ABD4E" w14:textId="77777777" w:rsidR="00360413" w:rsidRPr="00360413" w:rsidRDefault="00360413" w:rsidP="00360413"/>
    <w:p w14:paraId="1BCC0805" w14:textId="1CD28CA9" w:rsidR="004F505E" w:rsidRDefault="004F505E" w:rsidP="004F505E">
      <w:pPr>
        <w:pStyle w:val="Heading1"/>
      </w:pPr>
      <w:bookmarkStart w:id="89" w:name="_Toc250645103"/>
      <w:r>
        <w:t xml:space="preserve">Infrared(IR) PHY </w:t>
      </w:r>
      <w:r w:rsidR="00360413">
        <w:t>specification</w:t>
      </w:r>
      <w:bookmarkEnd w:id="89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90" w:name="_Toc250645104"/>
      <w:r>
        <w:t>DSSS PHY specification for the 2.4 GHz band designated for ISM applications</w:t>
      </w:r>
      <w:bookmarkEnd w:id="90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91" w:name="_Toc250645105"/>
      <w:r>
        <w:t>High rate direct sequence spread spectrum (HR/DSSS) PHY specification</w:t>
      </w:r>
      <w:bookmarkEnd w:id="91"/>
    </w:p>
    <w:p w14:paraId="24408EAB" w14:textId="77777777" w:rsidR="00360413" w:rsidRPr="00360413" w:rsidRDefault="00360413" w:rsidP="00360413"/>
    <w:p w14:paraId="14804ACA" w14:textId="77777777" w:rsidR="004F505E" w:rsidRDefault="004F505E" w:rsidP="004F505E">
      <w:pPr>
        <w:pStyle w:val="Heading1"/>
      </w:pPr>
      <w:bookmarkStart w:id="92" w:name="_Toc250645106"/>
      <w:r>
        <w:t>Orthogonal frequiency division multiplexing (OFDM) PHY specification</w:t>
      </w:r>
      <w:bookmarkEnd w:id="92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93" w:name="_Toc250645107"/>
      <w:r>
        <w:t>Extended Rat PHY (ERP) specification</w:t>
      </w:r>
      <w:bookmarkEnd w:id="93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94" w:name="_Toc250645108"/>
      <w:r>
        <w:t>High Throughput (HT) PHY specification</w:t>
      </w:r>
      <w:bookmarkEnd w:id="94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95" w:name="_Toc250645109"/>
      <w:r>
        <w:lastRenderedPageBreak/>
        <w:t>Directional multi-gigabit (DMG) PHY specification</w:t>
      </w:r>
      <w:bookmarkEnd w:id="95"/>
    </w:p>
    <w:p w14:paraId="4AEB029A" w14:textId="77777777" w:rsidR="00C16E22" w:rsidRDefault="00C16E22" w:rsidP="00C16E22"/>
    <w:p w14:paraId="1FEA1512" w14:textId="01AC4987" w:rsidR="00C16E22" w:rsidRPr="00C16E22" w:rsidRDefault="00C16E22" w:rsidP="00C16E22">
      <w:pPr>
        <w:rPr>
          <w:b/>
          <w:i/>
        </w:rPr>
      </w:pPr>
      <w:r>
        <w:rPr>
          <w:b/>
          <w:i/>
        </w:rPr>
        <w:t>Insert a new top-</w:t>
      </w:r>
      <w:r w:rsidRPr="00C16E22">
        <w:rPr>
          <w:b/>
          <w:i/>
        </w:rPr>
        <w:t>level Clause as below.</w:t>
      </w:r>
    </w:p>
    <w:p w14:paraId="34CFAE61" w14:textId="1E619050" w:rsidR="00C16E22" w:rsidRPr="00C16E22" w:rsidRDefault="00C16E22" w:rsidP="00C16E22">
      <w:pPr>
        <w:pStyle w:val="Heading1"/>
      </w:pPr>
      <w:bookmarkStart w:id="96" w:name="_Toc250645110"/>
      <w:r>
        <w:t>General Link Principles of Operation</w:t>
      </w:r>
      <w:bookmarkEnd w:id="96"/>
    </w:p>
    <w:p w14:paraId="5A979012" w14:textId="77777777" w:rsidR="004F505E" w:rsidRPr="00F924CB" w:rsidRDefault="004F505E" w:rsidP="00F924CB"/>
    <w:p w14:paraId="037EEDFE" w14:textId="44D8B444" w:rsidR="00F924CB" w:rsidRDefault="00C16E22" w:rsidP="00F924CB">
      <w:r>
        <w:t xml:space="preserve">802.11 was originally designed </w:t>
      </w:r>
      <w:r w:rsidR="00C968C9">
        <w:t>with</w:t>
      </w:r>
      <w:r>
        <w:t xml:space="preserve"> the assumption that non-AP STAs would be leaf nodes of the network.</w:t>
      </w:r>
      <w:r w:rsidR="00C968C9">
        <w:t xml:space="preserve"> GLK STAs are extended so that a link between two GLK STAs is suitable, insofar as the basic capabilities of 802.11 wireless permit, to be used in the interior of an IEEE Std 802.1Q network.</w:t>
      </w:r>
    </w:p>
    <w:p w14:paraId="489C4766" w14:textId="77777777" w:rsidR="0066299A" w:rsidRDefault="0066299A" w:rsidP="00F924CB"/>
    <w:p w14:paraId="3776227A" w14:textId="37C62D2A" w:rsidR="00C16E22" w:rsidRDefault="009126B7" w:rsidP="00F924CB">
      <w:r>
        <w:t>Every STA is either</w:t>
      </w:r>
      <w:r w:rsidR="00C968C9">
        <w:t xml:space="preserve"> a</w:t>
      </w:r>
      <w:r>
        <w:t xml:space="preserve"> GLK STA or a non-GLK STA. </w:t>
      </w:r>
      <w:r w:rsidR="0066299A">
        <w:t xml:space="preserve">Except as otherwise provide, the property of being a GLK STA is independent of what other services are offered by a STA. A GLK STA must be a QoS </w:t>
      </w:r>
      <w:r w:rsidR="00C968C9">
        <w:t xml:space="preserve">STA </w:t>
      </w:r>
      <w:r w:rsidR="0066299A">
        <w:t xml:space="preserve">and </w:t>
      </w:r>
      <w:r w:rsidR="00D327F1">
        <w:t xml:space="preserve">an </w:t>
      </w:r>
      <w:r w:rsidR="0066299A">
        <w:t xml:space="preserve">HT STA. </w:t>
      </w:r>
      <w:r w:rsidR="00C968C9">
        <w:t>GLKs advertise themselves as such and provide further information on their capabilities through the use of the GLK Capabilities Element in Beacons and other appropriate MSPDUs.</w:t>
      </w:r>
    </w:p>
    <w:p w14:paraId="0E8F2BD3" w14:textId="5300D001" w:rsidR="009F564D" w:rsidRDefault="009F564D" w:rsidP="009F564D">
      <w:pPr>
        <w:pStyle w:val="EditorNote"/>
      </w:pPr>
      <w:r>
        <w:t>Note: Re above paragraph, perhaps only a subset of QoS and HT features are required…</w:t>
      </w:r>
    </w:p>
    <w:p w14:paraId="54740253" w14:textId="77777777" w:rsidR="00C968C9" w:rsidRDefault="00C968C9" w:rsidP="00F924CB"/>
    <w:p w14:paraId="0B6E9E54" w14:textId="1B165B9E" w:rsidR="00C968C9" w:rsidRDefault="00C968C9" w:rsidP="00F924CB">
      <w:r>
        <w:t xml:space="preserve">A GLK AP assures that non-GLK STAs will </w:t>
      </w:r>
      <w:r w:rsidR="00B10D18">
        <w:t xml:space="preserve">not </w:t>
      </w:r>
      <w:r>
        <w:t>try to associate with it by using the wildcard SSID and advertising its actual SSID in the GLK Capaiblities Element. Should a non-GLK STA attempt to associate with a GLK AP despite this, the GLK AP will refuse the association.</w:t>
      </w:r>
    </w:p>
    <w:p w14:paraId="43C56CEA" w14:textId="7D9D51BC" w:rsidR="00B10D18" w:rsidRDefault="00B10D18" w:rsidP="00B10D18">
      <w:pPr>
        <w:pStyle w:val="EditorNote"/>
      </w:pPr>
      <w:r>
        <w:t>Note: Re above paragraph, could a GLK AP simply omit the SSID element?</w:t>
      </w:r>
    </w:p>
    <w:p w14:paraId="2E643B11" w14:textId="77777777" w:rsidR="00C968C9" w:rsidRDefault="00C968C9" w:rsidP="00F924CB"/>
    <w:p w14:paraId="5E41F5A7" w14:textId="2184D6D0" w:rsidR="00360413" w:rsidRDefault="00C968C9" w:rsidP="00C968C9">
      <w:r>
        <w:t>A non-AP GLK STA shall not attempt to form an infrastructure, IBSS, or PBSS association or mesh peering with any non-GLK STA.</w:t>
      </w:r>
    </w:p>
    <w:p w14:paraId="60E6C738" w14:textId="77777777" w:rsidR="004D01F5" w:rsidRDefault="004D01F5">
      <w:pPr>
        <w:rPr>
          <w:rFonts w:ascii="Arial" w:hAnsi="Arial"/>
          <w:b/>
          <w:sz w:val="36"/>
        </w:rPr>
      </w:pPr>
      <w:r>
        <w:br w:type="page"/>
      </w:r>
    </w:p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97" w:name="_Toc250645111"/>
      <w:r>
        <w:t>Annex A, Bibliography</w:t>
      </w:r>
      <w:bookmarkEnd w:id="97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98" w:name="_Toc250645112"/>
      <w:r>
        <w:t>Annex B, Protocol Implementation Conformance Statement (PICS)</w:t>
      </w:r>
      <w:bookmarkEnd w:id="98"/>
    </w:p>
    <w:p w14:paraId="7F5A3958" w14:textId="77777777" w:rsidR="00360413" w:rsidRDefault="00360413" w:rsidP="00360413"/>
    <w:p w14:paraId="539FFF25" w14:textId="53389719" w:rsidR="00360413" w:rsidRDefault="00360413" w:rsidP="00360413">
      <w:pPr>
        <w:pStyle w:val="Heading1"/>
        <w:numPr>
          <w:ilvl w:val="0"/>
          <w:numId w:val="0"/>
        </w:numPr>
      </w:pPr>
      <w:bookmarkStart w:id="99" w:name="_Toc250645113"/>
      <w:r>
        <w:t>…</w:t>
      </w:r>
      <w:bookmarkEnd w:id="99"/>
    </w:p>
    <w:p w14:paraId="3D098E5F" w14:textId="77777777" w:rsidR="00360413" w:rsidRDefault="00360413" w:rsidP="00360413"/>
    <w:p w14:paraId="32A7A8C1" w14:textId="11AB76CA" w:rsidR="00360413" w:rsidRDefault="00360413" w:rsidP="00360413">
      <w:pPr>
        <w:pStyle w:val="Heading1"/>
        <w:numPr>
          <w:ilvl w:val="0"/>
          <w:numId w:val="0"/>
        </w:numPr>
      </w:pPr>
      <w:bookmarkStart w:id="100" w:name="_Toc250645114"/>
      <w:r>
        <w:t>Annex P, Integration Function</w:t>
      </w:r>
      <w:bookmarkEnd w:id="100"/>
    </w:p>
    <w:p w14:paraId="42D61909" w14:textId="43DBC4A4" w:rsidR="00453FD4" w:rsidRPr="00453FD4" w:rsidRDefault="00453FD4" w:rsidP="00453FD4">
      <w:pPr>
        <w:rPr>
          <w:b/>
          <w:i/>
          <w:color w:val="FF0000"/>
        </w:rPr>
      </w:pPr>
      <w:r w:rsidRPr="00453FD4">
        <w:rPr>
          <w:b/>
          <w:i/>
          <w:color w:val="FF0000"/>
        </w:rPr>
        <w:t xml:space="preserve">More extensive changes in Annex P will </w:t>
      </w:r>
      <w:r w:rsidR="00B10D18">
        <w:rPr>
          <w:b/>
          <w:i/>
          <w:color w:val="FF0000"/>
        </w:rPr>
        <w:t>may</w:t>
      </w:r>
      <w:r w:rsidRPr="00453FD4">
        <w:rPr>
          <w:b/>
          <w:i/>
          <w:color w:val="FF0000"/>
        </w:rPr>
        <w:t xml:space="preserve"> be required.</w:t>
      </w:r>
    </w:p>
    <w:p w14:paraId="071486C6" w14:textId="39831114" w:rsidR="00453FD4" w:rsidRDefault="00453FD4" w:rsidP="00453FD4">
      <w:pPr>
        <w:pStyle w:val="Heading2"/>
        <w:numPr>
          <w:ilvl w:val="0"/>
          <w:numId w:val="0"/>
        </w:numPr>
      </w:pPr>
      <w:bookmarkStart w:id="101" w:name="_Toc250645115"/>
      <w:r>
        <w:t>P.1 Introduction</w:t>
      </w:r>
      <w:bookmarkEnd w:id="101"/>
    </w:p>
    <w:p w14:paraId="20AF1852" w14:textId="1710C0B4" w:rsidR="00453FD4" w:rsidRPr="004B2DAB" w:rsidRDefault="00453FD4" w:rsidP="00453FD4">
      <w:pPr>
        <w:rPr>
          <w:b/>
          <w:i/>
          <w:color w:val="000000" w:themeColor="text1"/>
        </w:rPr>
      </w:pPr>
      <w:r w:rsidRPr="004B2DAB">
        <w:rPr>
          <w:b/>
          <w:i/>
          <w:color w:val="000000" w:themeColor="text1"/>
        </w:rPr>
        <w:t>Replace the contents of P.1 with the following:</w:t>
      </w:r>
    </w:p>
    <w:p w14:paraId="7FCDD928" w14:textId="1301D106" w:rsidR="00453FD4" w:rsidRPr="00453FD4" w:rsidRDefault="00453FD4" w:rsidP="00453FD4">
      <w:r>
        <w:t>The purpose of this annex is to guide the implementor of a non-GLK WLAN system that includes a portal that integrates the WLAN systems with a wired LAN. This annex does not apply to GLK WLAN systems.</w:t>
      </w:r>
    </w:p>
    <w:p w14:paraId="1657607C" w14:textId="288274BD" w:rsidR="00453FD4" w:rsidRDefault="00453FD4" w:rsidP="00453FD4">
      <w:pPr>
        <w:pStyle w:val="Heading2"/>
        <w:numPr>
          <w:ilvl w:val="0"/>
          <w:numId w:val="0"/>
        </w:numPr>
      </w:pPr>
      <w:bookmarkStart w:id="102" w:name="_Toc250645116"/>
      <w:r>
        <w:t>P.2 Ethernet V2.0/IEEE Std 802.3 LAN integratin function</w:t>
      </w:r>
      <w:bookmarkEnd w:id="102"/>
    </w:p>
    <w:p w14:paraId="4A1526E8" w14:textId="3DD0E5A4" w:rsidR="00453FD4" w:rsidRDefault="00453FD4" w:rsidP="00453FD4">
      <w:pPr>
        <w:pStyle w:val="Heading2"/>
        <w:numPr>
          <w:ilvl w:val="0"/>
          <w:numId w:val="0"/>
        </w:numPr>
      </w:pPr>
      <w:bookmarkStart w:id="103" w:name="_Toc250645117"/>
      <w:r>
        <w:t>P.3 Example</w:t>
      </w:r>
      <w:bookmarkEnd w:id="103"/>
    </w:p>
    <w:p w14:paraId="2FC54410" w14:textId="21EFCC71" w:rsidR="00453FD4" w:rsidRDefault="00453FD4" w:rsidP="00453FD4">
      <w:pPr>
        <w:pStyle w:val="Heading2"/>
        <w:numPr>
          <w:ilvl w:val="0"/>
          <w:numId w:val="0"/>
        </w:numPr>
      </w:pPr>
      <w:bookmarkStart w:id="104" w:name="_Toc250645118"/>
      <w:r>
        <w:t>P.4 Integration service versus bridging</w:t>
      </w:r>
      <w:bookmarkEnd w:id="104"/>
    </w:p>
    <w:p w14:paraId="79F8DF9F" w14:textId="091CD57F" w:rsidR="00360413" w:rsidRDefault="00360413" w:rsidP="00360413">
      <w:pPr>
        <w:pStyle w:val="Heading1"/>
        <w:numPr>
          <w:ilvl w:val="0"/>
          <w:numId w:val="0"/>
        </w:numPr>
      </w:pPr>
      <w:bookmarkStart w:id="105" w:name="_Toc250645119"/>
      <w:r>
        <w:t>…</w:t>
      </w:r>
      <w:bookmarkEnd w:id="105"/>
    </w:p>
    <w:p w14:paraId="7788BBF8" w14:textId="77777777" w:rsidR="00360413" w:rsidRPr="00360413" w:rsidRDefault="00360413" w:rsidP="00360413"/>
    <w:p w14:paraId="5CB6C217" w14:textId="77777777" w:rsidR="00CA09B2" w:rsidRDefault="00CA09B2"/>
    <w:sectPr w:rsidR="00CA09B2" w:rsidSect="006629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B10D18" w:rsidRDefault="00B10D18">
      <w:r>
        <w:separator/>
      </w:r>
    </w:p>
  </w:endnote>
  <w:endnote w:type="continuationSeparator" w:id="0">
    <w:p w14:paraId="3DC40371" w14:textId="77777777" w:rsidR="00B10D18" w:rsidRDefault="00B1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B10D18" w:rsidRDefault="00B10D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D1D47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B10D18" w:rsidRDefault="00B10D1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B10D18" w:rsidRDefault="00B10D18">
      <w:r>
        <w:separator/>
      </w:r>
    </w:p>
  </w:footnote>
  <w:footnote w:type="continuationSeparator" w:id="0">
    <w:p w14:paraId="66A278E8" w14:textId="77777777" w:rsidR="00B10D18" w:rsidRDefault="00B10D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B10D18" w:rsidRDefault="00B10D1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Janury 2014</w:t>
      </w:r>
    </w:fldSimple>
    <w:r>
      <w:tab/>
    </w:r>
    <w:r>
      <w:tab/>
    </w:r>
    <w:fldSimple w:instr=" TITLE  \* MERGEFORMAT ">
      <w:r>
        <w:t>doc.: IEEE 802.11-14/0004r0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112D03"/>
    <w:rsid w:val="00165629"/>
    <w:rsid w:val="001D723B"/>
    <w:rsid w:val="0029020B"/>
    <w:rsid w:val="002A5AF8"/>
    <w:rsid w:val="002D44BE"/>
    <w:rsid w:val="002E6CE0"/>
    <w:rsid w:val="00315D88"/>
    <w:rsid w:val="00347DF8"/>
    <w:rsid w:val="00360413"/>
    <w:rsid w:val="00373FBD"/>
    <w:rsid w:val="00384EEF"/>
    <w:rsid w:val="00394732"/>
    <w:rsid w:val="00442037"/>
    <w:rsid w:val="00453FD4"/>
    <w:rsid w:val="004B064B"/>
    <w:rsid w:val="004B2DAB"/>
    <w:rsid w:val="004D01F5"/>
    <w:rsid w:val="004F505E"/>
    <w:rsid w:val="004F6A66"/>
    <w:rsid w:val="00527744"/>
    <w:rsid w:val="005A56A8"/>
    <w:rsid w:val="005F00FB"/>
    <w:rsid w:val="006145CF"/>
    <w:rsid w:val="0062440B"/>
    <w:rsid w:val="0066299A"/>
    <w:rsid w:val="006C0727"/>
    <w:rsid w:val="006C0B6A"/>
    <w:rsid w:val="006E145F"/>
    <w:rsid w:val="006E5B93"/>
    <w:rsid w:val="00750261"/>
    <w:rsid w:val="0076564E"/>
    <w:rsid w:val="00770572"/>
    <w:rsid w:val="007D16D3"/>
    <w:rsid w:val="0085453E"/>
    <w:rsid w:val="00865803"/>
    <w:rsid w:val="009126B7"/>
    <w:rsid w:val="0094060C"/>
    <w:rsid w:val="009906C0"/>
    <w:rsid w:val="009F2FBC"/>
    <w:rsid w:val="009F564D"/>
    <w:rsid w:val="00A0395D"/>
    <w:rsid w:val="00A9378C"/>
    <w:rsid w:val="00AA427C"/>
    <w:rsid w:val="00AE448A"/>
    <w:rsid w:val="00B10D18"/>
    <w:rsid w:val="00B46B18"/>
    <w:rsid w:val="00BC281E"/>
    <w:rsid w:val="00BE68C2"/>
    <w:rsid w:val="00C16E22"/>
    <w:rsid w:val="00C351F9"/>
    <w:rsid w:val="00C57707"/>
    <w:rsid w:val="00C85AFE"/>
    <w:rsid w:val="00C968C9"/>
    <w:rsid w:val="00CA09B2"/>
    <w:rsid w:val="00CA5F25"/>
    <w:rsid w:val="00CB6182"/>
    <w:rsid w:val="00CC302A"/>
    <w:rsid w:val="00CD1D47"/>
    <w:rsid w:val="00CE545E"/>
    <w:rsid w:val="00CF2429"/>
    <w:rsid w:val="00D327F1"/>
    <w:rsid w:val="00D75CCC"/>
    <w:rsid w:val="00DA7595"/>
    <w:rsid w:val="00DC5A7B"/>
    <w:rsid w:val="00DD1BB8"/>
    <w:rsid w:val="00DD55D6"/>
    <w:rsid w:val="00DE140E"/>
    <w:rsid w:val="00E03619"/>
    <w:rsid w:val="00EE2034"/>
    <w:rsid w:val="00F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E545E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rsid w:val="00DD1BB8"/>
    <w:pPr>
      <w:ind w:left="880"/>
    </w:pPr>
  </w:style>
  <w:style w:type="paragraph" w:styleId="TOC6">
    <w:name w:val="toc 6"/>
    <w:basedOn w:val="Normal"/>
    <w:next w:val="Normal"/>
    <w:autoRedefine/>
    <w:rsid w:val="00DD1BB8"/>
    <w:pPr>
      <w:ind w:left="1100"/>
    </w:pPr>
  </w:style>
  <w:style w:type="paragraph" w:styleId="TOC7">
    <w:name w:val="toc 7"/>
    <w:basedOn w:val="Normal"/>
    <w:next w:val="Normal"/>
    <w:autoRedefine/>
    <w:rsid w:val="00DD1BB8"/>
    <w:pPr>
      <w:ind w:left="1320"/>
    </w:pPr>
  </w:style>
  <w:style w:type="paragraph" w:styleId="TOC8">
    <w:name w:val="toc 8"/>
    <w:basedOn w:val="Normal"/>
    <w:next w:val="Normal"/>
    <w:autoRedefine/>
    <w:rsid w:val="00DD1BB8"/>
    <w:pPr>
      <w:ind w:left="1540"/>
    </w:pPr>
  </w:style>
  <w:style w:type="paragraph" w:styleId="TOC9">
    <w:name w:val="toc 9"/>
    <w:basedOn w:val="Normal"/>
    <w:next w:val="Normal"/>
    <w:autoRedefine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E545E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rsid w:val="00DD1BB8"/>
    <w:pPr>
      <w:ind w:left="880"/>
    </w:pPr>
  </w:style>
  <w:style w:type="paragraph" w:styleId="TOC6">
    <w:name w:val="toc 6"/>
    <w:basedOn w:val="Normal"/>
    <w:next w:val="Normal"/>
    <w:autoRedefine/>
    <w:rsid w:val="00DD1BB8"/>
    <w:pPr>
      <w:ind w:left="1100"/>
    </w:pPr>
  </w:style>
  <w:style w:type="paragraph" w:styleId="TOC7">
    <w:name w:val="toc 7"/>
    <w:basedOn w:val="Normal"/>
    <w:next w:val="Normal"/>
    <w:autoRedefine/>
    <w:rsid w:val="00DD1BB8"/>
    <w:pPr>
      <w:ind w:left="1320"/>
    </w:pPr>
  </w:style>
  <w:style w:type="paragraph" w:styleId="TOC8">
    <w:name w:val="toc 8"/>
    <w:basedOn w:val="Normal"/>
    <w:next w:val="Normal"/>
    <w:autoRedefine/>
    <w:rsid w:val="00DD1BB8"/>
    <w:pPr>
      <w:ind w:left="1540"/>
    </w:pPr>
  </w:style>
  <w:style w:type="paragraph" w:styleId="TOC9">
    <w:name w:val="toc 9"/>
    <w:basedOn w:val="Normal"/>
    <w:next w:val="Normal"/>
    <w:autoRedefine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2</TotalTime>
  <Pages>14</Pages>
  <Words>2633</Words>
  <Characters>14220</Characters>
  <Application>Microsoft Macintosh Word</Application>
  <DocSecurity>0</DocSecurity>
  <Lines>526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802.11-14/xxxxr0</vt:lpstr>
    </vt:vector>
  </TitlesOfParts>
  <Manager/>
  <Company>Huawei Technologies</Company>
  <LinksUpToDate>false</LinksUpToDate>
  <CharactersWithSpaces>16410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802.11-14/0004r0</dc:title>
  <dc:subject>Submission</dc:subject>
  <dc:creator>Donald Eastlake</dc:creator>
  <cp:keywords>Janury 2014</cp:keywords>
  <dc:description>Donald Eastlake, Huawei Technologies</dc:description>
  <cp:lastModifiedBy>Donald Eastlake</cp:lastModifiedBy>
  <cp:revision>3</cp:revision>
  <cp:lastPrinted>2014-01-06T04:03:00Z</cp:lastPrinted>
  <dcterms:created xsi:type="dcterms:W3CDTF">2014-01-06T21:27:00Z</dcterms:created>
  <dcterms:modified xsi:type="dcterms:W3CDTF">2014-01-06T21:28:00Z</dcterms:modified>
  <cp:category/>
</cp:coreProperties>
</file>