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163B00">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163B00">
              <w:rPr>
                <w:rFonts w:hint="eastAsia"/>
                <w:lang w:eastAsia="ko-KR"/>
              </w:rPr>
              <w:t>7.3</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97A88">
            <w:pPr>
              <w:pStyle w:val="T2"/>
              <w:ind w:left="0"/>
              <w:rPr>
                <w:b w:val="0"/>
                <w:sz w:val="20"/>
              </w:rPr>
            </w:pPr>
            <w:r w:rsidRPr="00183F4C">
              <w:rPr>
                <w:sz w:val="20"/>
              </w:rPr>
              <w:t>Date:</w:t>
            </w:r>
            <w:r w:rsidR="00596413" w:rsidRPr="00183F4C">
              <w:rPr>
                <w:b w:val="0"/>
                <w:sz w:val="20"/>
              </w:rPr>
              <w:t xml:space="preserve">  201</w:t>
            </w:r>
            <w:r w:rsidR="00D97A88">
              <w:rPr>
                <w:rFonts w:hint="eastAsia"/>
                <w:b w:val="0"/>
                <w:sz w:val="20"/>
                <w:lang w:eastAsia="ko-KR"/>
              </w:rPr>
              <w:t>3</w:t>
            </w:r>
            <w:r w:rsidR="00596413" w:rsidRPr="00183F4C">
              <w:rPr>
                <w:b w:val="0"/>
                <w:sz w:val="20"/>
              </w:rPr>
              <w:t>-</w:t>
            </w:r>
            <w:r w:rsidR="00D97A88">
              <w:rPr>
                <w:rFonts w:hint="eastAsia"/>
                <w:b w:val="0"/>
                <w:sz w:val="20"/>
                <w:lang w:eastAsia="ko-KR"/>
              </w:rPr>
              <w:t>12</w:t>
            </w:r>
            <w:r w:rsidR="0088012D">
              <w:rPr>
                <w:rFonts w:hint="eastAsia"/>
                <w:b w:val="0"/>
                <w:sz w:val="20"/>
                <w:lang w:eastAsia="ko-KR"/>
              </w:rPr>
              <w:t>-</w:t>
            </w:r>
            <w:r w:rsidR="00D97A88">
              <w:rPr>
                <w:rFonts w:hint="eastAsia"/>
                <w:b w:val="0"/>
                <w:sz w:val="20"/>
                <w:lang w:eastAsia="ko-KR"/>
              </w:rPr>
              <w:t>18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7467C4"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7467C4">
      <w:pPr>
        <w:pStyle w:val="T1"/>
        <w:spacing w:after="120"/>
        <w:rPr>
          <w:sz w:val="22"/>
        </w:rPr>
      </w:pPr>
      <w:r w:rsidRPr="007467C4">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894EDB">
                    <w:rPr>
                      <w:rFonts w:hint="eastAsia"/>
                      <w:lang w:eastAsia="ko-KR"/>
                    </w:rPr>
                    <w:t>7.3</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af"/>
                    <w:numPr>
                      <w:ilvl w:val="0"/>
                      <w:numId w:val="28"/>
                    </w:numPr>
                    <w:ind w:leftChars="0"/>
                    <w:jc w:val="both"/>
                  </w:pPr>
                  <w:r>
                    <w:rPr>
                      <w:rFonts w:hint="eastAsia"/>
                      <w:lang w:eastAsia="ko-KR"/>
                    </w:rPr>
                    <w:t xml:space="preserve">CIDs: </w:t>
                  </w:r>
                  <w:r w:rsidR="00163B00" w:rsidRPr="00163B00">
                    <w:rPr>
                      <w:lang w:eastAsia="ko-KR"/>
                    </w:rPr>
                    <w:t>1032, 1033, 1412, 1577, 1578, 1579, 1773, 1787, 1788, 1789, 1790, 1791, 1824</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163B0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163B00" w:rsidRPr="00163B00" w:rsidTr="00163B00">
        <w:trPr>
          <w:trHeight w:val="1275"/>
        </w:trPr>
        <w:tc>
          <w:tcPr>
            <w:tcW w:w="675" w:type="dxa"/>
            <w:hideMark/>
          </w:tcPr>
          <w:p w:rsidR="00163B00" w:rsidRPr="00163B00" w:rsidRDefault="00163B00" w:rsidP="00163B00">
            <w:pPr>
              <w:jc w:val="right"/>
              <w:rPr>
                <w:rFonts w:ascii="Arial" w:eastAsia="굴림" w:hAnsi="Arial" w:cs="Arial"/>
                <w:sz w:val="20"/>
                <w:lang w:val="en-US" w:eastAsia="ko-KR"/>
              </w:rPr>
            </w:pPr>
            <w:r w:rsidRPr="00163B00">
              <w:rPr>
                <w:rFonts w:ascii="Arial" w:eastAsia="굴림" w:hAnsi="Arial" w:cs="Arial"/>
                <w:sz w:val="20"/>
                <w:lang w:val="en-US" w:eastAsia="ko-KR"/>
              </w:rPr>
              <w:t>1032</w:t>
            </w:r>
          </w:p>
        </w:tc>
        <w:tc>
          <w:tcPr>
            <w:tcW w:w="967" w:type="dxa"/>
            <w:hideMark/>
          </w:tcPr>
          <w:p w:rsidR="00163B00" w:rsidRPr="00163B00" w:rsidRDefault="00163B00" w:rsidP="00163B00">
            <w:pPr>
              <w:jc w:val="right"/>
              <w:rPr>
                <w:rFonts w:ascii="Arial" w:eastAsia="굴림" w:hAnsi="Arial" w:cs="Arial"/>
                <w:sz w:val="20"/>
                <w:lang w:val="en-US" w:eastAsia="ko-KR"/>
              </w:rPr>
            </w:pPr>
            <w:r w:rsidRPr="00163B00">
              <w:rPr>
                <w:rFonts w:ascii="Arial" w:eastAsia="굴림" w:hAnsi="Arial" w:cs="Arial"/>
                <w:sz w:val="20"/>
                <w:lang w:val="en-US" w:eastAsia="ko-KR"/>
              </w:rPr>
              <w:t>27.19</w:t>
            </w:r>
          </w:p>
        </w:tc>
        <w:tc>
          <w:tcPr>
            <w:tcW w:w="876" w:type="dxa"/>
            <w:hideMark/>
          </w:tcPr>
          <w:p w:rsidR="00163B00" w:rsidRPr="00163B00" w:rsidRDefault="00163B00"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163B00" w:rsidRPr="00163B00" w:rsidRDefault="00163B00" w:rsidP="00163B00">
            <w:pPr>
              <w:rPr>
                <w:rFonts w:ascii="Arial" w:eastAsia="굴림" w:hAnsi="Arial" w:cs="Arial"/>
                <w:sz w:val="20"/>
                <w:lang w:val="en-US" w:eastAsia="ko-KR"/>
              </w:rPr>
            </w:pPr>
            <w:r w:rsidRPr="00163B00">
              <w:rPr>
                <w:rFonts w:ascii="Arial" w:eastAsia="굴림" w:hAnsi="Arial" w:cs="Arial"/>
                <w:sz w:val="20"/>
                <w:lang w:val="en-US" w:eastAsia="ko-KR"/>
              </w:rPr>
              <w:t>", a TVHT STA</w:t>
            </w:r>
            <w:proofErr w:type="gramStart"/>
            <w:r w:rsidRPr="00163B00">
              <w:rPr>
                <w:rFonts w:ascii="Arial" w:eastAsia="굴림" w:hAnsi="Arial" w:cs="Arial"/>
                <w:sz w:val="20"/>
                <w:lang w:val="en-US" w:eastAsia="ko-KR"/>
              </w:rPr>
              <w:t>"  --</w:t>
            </w:r>
            <w:proofErr w:type="gramEnd"/>
            <w:r w:rsidRPr="00163B00">
              <w:rPr>
                <w:rFonts w:ascii="Arial" w:eastAsia="굴림" w:hAnsi="Arial" w:cs="Arial"/>
                <w:sz w:val="20"/>
                <w:lang w:val="en-US" w:eastAsia="ko-KR"/>
              </w:rPr>
              <w:t xml:space="preserve"> why is this insertion here?   .11af has no business (i.e. it is outside the scope of the .11ah PAR) to modify the TVWS operation.</w:t>
            </w:r>
          </w:p>
        </w:tc>
        <w:tc>
          <w:tcPr>
            <w:tcW w:w="2155" w:type="dxa"/>
            <w:hideMark/>
          </w:tcPr>
          <w:p w:rsidR="00163B00" w:rsidRPr="00163B00" w:rsidRDefault="00163B00" w:rsidP="00163B00">
            <w:pPr>
              <w:rPr>
                <w:rFonts w:ascii="Arial" w:eastAsia="굴림" w:hAnsi="Arial" w:cs="Arial"/>
                <w:sz w:val="20"/>
                <w:lang w:val="en-US" w:eastAsia="ko-KR"/>
              </w:rPr>
            </w:pPr>
            <w:r w:rsidRPr="00163B00">
              <w:rPr>
                <w:rFonts w:ascii="Arial" w:eastAsia="굴림" w:hAnsi="Arial" w:cs="Arial"/>
                <w:sz w:val="20"/>
                <w:lang w:val="en-US" w:eastAsia="ko-KR"/>
              </w:rPr>
              <w:t>Remove cited text.</w:t>
            </w:r>
          </w:p>
        </w:tc>
        <w:tc>
          <w:tcPr>
            <w:tcW w:w="1813" w:type="dxa"/>
            <w:hideMark/>
          </w:tcPr>
          <w:p w:rsidR="00E26313" w:rsidRDefault="00541041" w:rsidP="00163B00">
            <w:pPr>
              <w:rPr>
                <w:rFonts w:ascii="Arial" w:eastAsia="굴림" w:hAnsi="Arial" w:cs="Arial"/>
                <w:sz w:val="20"/>
                <w:lang w:val="en-US" w:eastAsia="ko-KR"/>
              </w:rPr>
            </w:pPr>
            <w:r>
              <w:rPr>
                <w:rFonts w:ascii="Arial" w:eastAsia="굴림" w:hAnsi="Arial" w:cs="Arial" w:hint="eastAsia"/>
                <w:sz w:val="20"/>
                <w:lang w:val="en-US" w:eastAsia="ko-KR"/>
              </w:rPr>
              <w:t>Accepted</w:t>
            </w:r>
            <w:r w:rsidR="00E26313">
              <w:rPr>
                <w:rFonts w:ascii="Arial" w:eastAsia="굴림" w:hAnsi="Arial" w:cs="Arial" w:hint="eastAsia"/>
                <w:sz w:val="20"/>
                <w:lang w:val="en-US" w:eastAsia="ko-KR"/>
              </w:rPr>
              <w:t xml:space="preserve">- </w:t>
            </w:r>
          </w:p>
          <w:p w:rsidR="00E26313" w:rsidRPr="00163B00" w:rsidRDefault="00E26313" w:rsidP="00E26313">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9C6F3C" w:rsidRPr="00163B00" w:rsidTr="00163B00">
        <w:trPr>
          <w:trHeight w:val="1020"/>
        </w:trPr>
        <w:tc>
          <w:tcPr>
            <w:tcW w:w="675" w:type="dxa"/>
            <w:hideMark/>
          </w:tcPr>
          <w:p w:rsidR="009C6F3C" w:rsidRPr="00163B00" w:rsidRDefault="009C6F3C" w:rsidP="00163B00">
            <w:pPr>
              <w:jc w:val="right"/>
              <w:rPr>
                <w:rFonts w:ascii="Arial" w:eastAsia="굴림" w:hAnsi="Arial" w:cs="Arial"/>
                <w:sz w:val="20"/>
                <w:lang w:val="en-US" w:eastAsia="ko-KR"/>
              </w:rPr>
            </w:pPr>
            <w:r w:rsidRPr="00163B00">
              <w:rPr>
                <w:rFonts w:ascii="Arial" w:eastAsia="굴림" w:hAnsi="Arial" w:cs="Arial"/>
                <w:sz w:val="20"/>
                <w:lang w:val="en-US" w:eastAsia="ko-KR"/>
              </w:rPr>
              <w:t>1033</w:t>
            </w:r>
          </w:p>
        </w:tc>
        <w:tc>
          <w:tcPr>
            <w:tcW w:w="967" w:type="dxa"/>
            <w:hideMark/>
          </w:tcPr>
          <w:p w:rsidR="009C6F3C" w:rsidRPr="00163B00" w:rsidRDefault="009C6F3C" w:rsidP="00163B00">
            <w:pPr>
              <w:jc w:val="right"/>
              <w:rPr>
                <w:rFonts w:ascii="Arial" w:eastAsia="굴림" w:hAnsi="Arial" w:cs="Arial"/>
                <w:sz w:val="20"/>
                <w:lang w:val="en-US" w:eastAsia="ko-KR"/>
              </w:rPr>
            </w:pPr>
            <w:r w:rsidRPr="00163B00">
              <w:rPr>
                <w:rFonts w:ascii="Arial" w:eastAsia="굴림" w:hAnsi="Arial" w:cs="Arial"/>
                <w:sz w:val="20"/>
                <w:lang w:val="en-US" w:eastAsia="ko-KR"/>
              </w:rPr>
              <w:t>28.10</w:t>
            </w:r>
          </w:p>
        </w:tc>
        <w:tc>
          <w:tcPr>
            <w:tcW w:w="876" w:type="dxa"/>
            <w:hideMark/>
          </w:tcPr>
          <w:p w:rsidR="009C6F3C" w:rsidRPr="00163B00" w:rsidRDefault="009C6F3C"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9C6F3C" w:rsidRPr="00163B00" w:rsidRDefault="009C6F3C" w:rsidP="00163B00">
            <w:pPr>
              <w:rPr>
                <w:rFonts w:ascii="Arial" w:eastAsia="굴림" w:hAnsi="Arial" w:cs="Arial"/>
                <w:sz w:val="20"/>
                <w:lang w:val="en-US" w:eastAsia="ko-KR"/>
              </w:rPr>
            </w:pPr>
            <w:r w:rsidRPr="00163B00">
              <w:rPr>
                <w:rFonts w:ascii="Arial" w:eastAsia="굴림" w:hAnsi="Arial" w:cs="Arial"/>
                <w:sz w:val="20"/>
                <w:lang w:val="en-US" w:eastAsia="ko-KR"/>
              </w:rPr>
              <w:t>I don't understand why secondary40 is at all relevant to a "secondary 4 MHz channel".</w:t>
            </w:r>
          </w:p>
        </w:tc>
        <w:tc>
          <w:tcPr>
            <w:tcW w:w="2155" w:type="dxa"/>
            <w:hideMark/>
          </w:tcPr>
          <w:p w:rsidR="009C6F3C" w:rsidRPr="00163B00" w:rsidRDefault="009C6F3C" w:rsidP="00163B00">
            <w:pPr>
              <w:rPr>
                <w:rFonts w:ascii="Arial" w:eastAsia="굴림" w:hAnsi="Arial" w:cs="Arial"/>
                <w:sz w:val="20"/>
                <w:lang w:val="en-US" w:eastAsia="ko-KR"/>
              </w:rPr>
            </w:pPr>
            <w:r w:rsidRPr="00163B00">
              <w:rPr>
                <w:rFonts w:ascii="Arial" w:eastAsia="굴림" w:hAnsi="Arial" w:cs="Arial"/>
                <w:sz w:val="20"/>
                <w:lang w:val="en-US" w:eastAsia="ko-KR"/>
              </w:rPr>
              <w:t>Give S1G its own secondary 4 and secondary 8 entries.</w:t>
            </w:r>
          </w:p>
        </w:tc>
        <w:tc>
          <w:tcPr>
            <w:tcW w:w="1813" w:type="dxa"/>
            <w:hideMark/>
          </w:tcPr>
          <w:p w:rsidR="009C6F3C" w:rsidRDefault="009C6F3C"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C6F3C" w:rsidRPr="00163B00" w:rsidRDefault="009C6F3C" w:rsidP="00163B0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00841AB3" w:rsidRPr="00841AB3">
              <w:rPr>
                <w:rFonts w:ascii="Arial" w:eastAsia="굴림" w:hAnsi="Arial" w:cs="Arial"/>
                <w:sz w:val="20"/>
                <w:lang w:val="en-US" w:eastAsia="ko-KR"/>
              </w:rPr>
              <w:t>1033, 1412, 1577, 1578, 1579, 1773, 1787, 1788, 1789, 1790, 1791</w:t>
            </w:r>
          </w:p>
        </w:tc>
      </w:tr>
      <w:tr w:rsidR="00841AB3" w:rsidRPr="00163B00" w:rsidTr="00163B00">
        <w:trPr>
          <w:trHeight w:val="127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1412</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28.30</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 xml:space="preserve">The relationship of the channel-list parameter elements to the 1MHz, </w:t>
            </w:r>
            <w:proofErr w:type="gramStart"/>
            <w:r w:rsidRPr="00163B00">
              <w:rPr>
                <w:rFonts w:ascii="Arial" w:eastAsia="굴림" w:hAnsi="Arial" w:cs="Arial"/>
                <w:sz w:val="20"/>
                <w:lang w:val="en-US" w:eastAsia="ko-KR"/>
              </w:rPr>
              <w:t>4MHz, ..."</w:t>
            </w:r>
            <w:proofErr w:type="gramEnd"/>
            <w:r w:rsidRPr="00163B00">
              <w:rPr>
                <w:rFonts w:ascii="Arial" w:eastAsia="굴림" w:hAnsi="Arial" w:cs="Arial"/>
                <w:sz w:val="20"/>
                <w:lang w:val="en-US" w:eastAsia="ko-KR"/>
              </w:rPr>
              <w:t xml:space="preserve"> Shouldn't 2MHz be included as well?</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As in comment.</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Default="00841AB3">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127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1577</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27.40</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reference  is wrong in this table</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change the reference to "24.3.18.5.4 (CCA sensitivity for signals occupying the primary 2MHz channel and/or primary 1MHz channel"</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163B0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3060"/>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lastRenderedPageBreak/>
              <w:t>1578</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27.53</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reference  is wrong in this table</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 xml:space="preserve">change "...according to the rules specified in 24.3.18.5.3 (CCA sensitivity for signals occupying the primary 2MHz channel)." </w:t>
            </w:r>
            <w:proofErr w:type="spellStart"/>
            <w:r w:rsidRPr="00163B00">
              <w:rPr>
                <w:rFonts w:ascii="Arial" w:eastAsia="굴림" w:hAnsi="Arial" w:cs="Arial"/>
                <w:sz w:val="20"/>
                <w:lang w:val="en-US" w:eastAsia="ko-KR"/>
              </w:rPr>
              <w:t>to"according</w:t>
            </w:r>
            <w:proofErr w:type="spellEnd"/>
            <w:r w:rsidRPr="00163B00">
              <w:rPr>
                <w:rFonts w:ascii="Arial" w:eastAsia="굴림" w:hAnsi="Arial" w:cs="Arial"/>
                <w:sz w:val="20"/>
                <w:lang w:val="en-US" w:eastAsia="ko-KR"/>
              </w:rPr>
              <w:t xml:space="preserve"> to the rules specified in 24.3.18.5.5 (CCA sensitivity for signals not occupying the primary 2MHz channel)." in row "secondary";</w:t>
            </w:r>
            <w:r w:rsidRPr="00163B00">
              <w:rPr>
                <w:rFonts w:ascii="Arial" w:eastAsia="굴림" w:hAnsi="Arial" w:cs="Arial"/>
                <w:sz w:val="20"/>
                <w:lang w:val="en-US" w:eastAsia="ko-KR"/>
              </w:rPr>
              <w:br/>
              <w:t>change" 24.3.18.5.4" to  "24.3.18.5.5" in this table.</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76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1579</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28.10</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reference  is wrong in this table</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Modify the reference to "24.3.18.5.5" to all added text.</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841AB3">
        <w:trPr>
          <w:trHeight w:val="2944"/>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1773</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27.24</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No technical reason why names of channel list elements must be shared with those of 11n/11ac. For example, it makes it more confusing when secondary20 actually corresponds to secondary 2MHz channel. Additionally, "primary" element needs to be split to distinguish Primary 1MHz and Primary 2MHz. Current naming and definitions of channel list parameters don't match those defined in CCA section, 24.3.18.5</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Create separate table to define elements specific for 11ah, rather than share terminology with 11n/11ac. Separate definitions for Primary2 and Primary1, since EDCA for 1 and &gt;=2MHz transmissions are separate procedures.</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280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1787</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27.54</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meaning for the "secondary" channel list element in Table 7-5 is wrong. "For an S1G STA, indicates that the secondary 2MHz channel is busy according to</w:t>
            </w:r>
            <w:r w:rsidRPr="00163B00">
              <w:rPr>
                <w:rFonts w:ascii="Arial" w:eastAsia="굴림" w:hAnsi="Arial" w:cs="Arial"/>
                <w:sz w:val="20"/>
                <w:lang w:val="en-US" w:eastAsia="ko-KR"/>
              </w:rPr>
              <w:br/>
              <w:t>the rules specified in 24.3.18.5.3 (CCA sensitivity for signals occupying the primary</w:t>
            </w:r>
            <w:r w:rsidRPr="00163B00">
              <w:rPr>
                <w:rFonts w:ascii="Arial" w:eastAsia="굴림" w:hAnsi="Arial" w:cs="Arial"/>
                <w:sz w:val="20"/>
                <w:lang w:val="en-US" w:eastAsia="ko-KR"/>
              </w:rPr>
              <w:br/>
              <w:t>2MHz channel)."</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statement should instead read as "For an S1G STA, indicates that the secondary 2MHz channel is busy according to</w:t>
            </w:r>
            <w:r w:rsidRPr="00163B00">
              <w:rPr>
                <w:rFonts w:ascii="Arial" w:eastAsia="굴림" w:hAnsi="Arial" w:cs="Arial"/>
                <w:sz w:val="20"/>
                <w:lang w:val="en-US" w:eastAsia="ko-KR"/>
              </w:rPr>
              <w:br/>
              <w:t>the rules specified in 24.3.18.5.3 5 (CCA sensitivity for signals not occupying the primary</w:t>
            </w:r>
            <w:r w:rsidRPr="00163B00">
              <w:rPr>
                <w:rFonts w:ascii="Arial" w:eastAsia="굴림" w:hAnsi="Arial" w:cs="Arial"/>
                <w:sz w:val="20"/>
                <w:lang w:val="en-US" w:eastAsia="ko-KR"/>
              </w:rPr>
              <w:br/>
              <w:t>2MHz channel).</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331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lastRenderedPageBreak/>
              <w:t>1788</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28.23</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 xml:space="preserve">The meaning for the "secondary1" channel list element in Table 7-5 is wrong. It should have a separate rule for CCA sensitivity for signals not </w:t>
            </w:r>
            <w:proofErr w:type="spellStart"/>
            <w:r w:rsidRPr="00163B00">
              <w:rPr>
                <w:rFonts w:ascii="Arial" w:eastAsia="굴림" w:hAnsi="Arial" w:cs="Arial"/>
                <w:sz w:val="20"/>
                <w:lang w:val="en-US" w:eastAsia="ko-KR"/>
              </w:rPr>
              <w:t>occuping</w:t>
            </w:r>
            <w:proofErr w:type="spellEnd"/>
            <w:r w:rsidRPr="00163B00">
              <w:rPr>
                <w:rFonts w:ascii="Arial" w:eastAsia="굴림" w:hAnsi="Arial" w:cs="Arial"/>
                <w:sz w:val="20"/>
                <w:lang w:val="en-US" w:eastAsia="ko-KR"/>
              </w:rPr>
              <w:t xml:space="preserve"> the primary 1 MHz signal,</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The meaning should instead read as "For an S1G STA, indicates that the secondary 1MHz channel is busy according to</w:t>
            </w:r>
            <w:r w:rsidRPr="00163B00">
              <w:rPr>
                <w:rFonts w:ascii="Arial" w:eastAsia="굴림" w:hAnsi="Arial" w:cs="Arial"/>
                <w:sz w:val="20"/>
                <w:lang w:val="en-US" w:eastAsia="ko-KR"/>
              </w:rPr>
              <w:br/>
              <w:t>the rules specified in 24.3.18.5.4x (CCA sensitivity for signals not occupying the primary</w:t>
            </w:r>
            <w:r w:rsidRPr="00163B00">
              <w:rPr>
                <w:rFonts w:ascii="Arial" w:eastAsia="굴림" w:hAnsi="Arial" w:cs="Arial"/>
                <w:sz w:val="20"/>
                <w:lang w:val="en-US" w:eastAsia="ko-KR"/>
              </w:rPr>
              <w:br/>
              <w:t>21MHz channel)."</w:t>
            </w:r>
            <w:r w:rsidRPr="00163B00">
              <w:rPr>
                <w:rFonts w:ascii="Arial" w:eastAsia="굴림" w:hAnsi="Arial" w:cs="Arial"/>
                <w:sz w:val="20"/>
                <w:lang w:val="en-US" w:eastAsia="ko-KR"/>
              </w:rPr>
              <w:br/>
              <w:t>Also an appropriate clause for this needs to be added in 24.3.18.5.x.</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76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1789</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27.41</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Incorrect mention of clause number in meaning of primary CCA in Table 7-5</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Clause number should be 24.3.18.5.4 instead of 24.3.18.5.3</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1020"/>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1790</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28.11</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Incorrect mention of clause number in meaning of secondary40 CCA in Table 7-5</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Clause number should be 24.3.18.5.5 instead of 24.3.18.5.4</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1020"/>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1791</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28.19</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Incorrect mention of clause number in meaning of secondary80 CCA in Table 7-5</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Clause number should be 24.3.18.5.5 instead of 24.3.18.5.4</w:t>
            </w:r>
          </w:p>
        </w:tc>
        <w:tc>
          <w:tcPr>
            <w:tcW w:w="1813" w:type="dxa"/>
            <w:hideMark/>
          </w:tcPr>
          <w:p w:rsidR="00841AB3" w:rsidRDefault="00841AB3" w:rsidP="00C50A6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41AB3" w:rsidRPr="00163B00" w:rsidRDefault="00841AB3" w:rsidP="00541041">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sidR="00D97A88">
              <w:rPr>
                <w:rFonts w:ascii="Arial" w:eastAsia="굴림" w:hAnsi="Arial" w:cs="Arial"/>
                <w:sz w:val="20"/>
                <w:lang w:val="en-US" w:eastAsia="ko-KR"/>
              </w:rPr>
              <w:t>13-1522r0</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1033, 1412, 1577, 1578, 1579, 1773, 1787, 1788, 1789, 1790, 1791</w:t>
            </w:r>
          </w:p>
        </w:tc>
      </w:tr>
      <w:tr w:rsidR="00841AB3" w:rsidRPr="00163B00" w:rsidTr="00163B00">
        <w:trPr>
          <w:trHeight w:val="765"/>
        </w:trPr>
        <w:tc>
          <w:tcPr>
            <w:tcW w:w="675"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1824</w:t>
            </w:r>
          </w:p>
        </w:tc>
        <w:tc>
          <w:tcPr>
            <w:tcW w:w="967" w:type="dxa"/>
            <w:hideMark/>
          </w:tcPr>
          <w:p w:rsidR="00841AB3" w:rsidRPr="00163B00" w:rsidRDefault="00841AB3" w:rsidP="00163B00">
            <w:pPr>
              <w:jc w:val="right"/>
              <w:rPr>
                <w:rFonts w:ascii="Arial" w:eastAsia="굴림" w:hAnsi="Arial" w:cs="Arial"/>
                <w:sz w:val="20"/>
                <w:lang w:val="en-US" w:eastAsia="ko-KR"/>
              </w:rPr>
            </w:pPr>
            <w:r w:rsidRPr="00163B00">
              <w:rPr>
                <w:rFonts w:ascii="Arial" w:eastAsia="굴림" w:hAnsi="Arial" w:cs="Arial"/>
                <w:sz w:val="20"/>
                <w:lang w:val="en-US" w:eastAsia="ko-KR"/>
              </w:rPr>
              <w:t>50.31</w:t>
            </w:r>
          </w:p>
        </w:tc>
        <w:tc>
          <w:tcPr>
            <w:tcW w:w="876"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7.3.5.11.2</w:t>
            </w:r>
          </w:p>
        </w:tc>
        <w:tc>
          <w:tcPr>
            <w:tcW w:w="3090"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Not sure why "by example" is included here.  Suggest delete</w:t>
            </w:r>
          </w:p>
        </w:tc>
        <w:tc>
          <w:tcPr>
            <w:tcW w:w="2155" w:type="dxa"/>
            <w:hideMark/>
          </w:tcPr>
          <w:p w:rsidR="00841AB3" w:rsidRPr="00163B00" w:rsidRDefault="00841AB3" w:rsidP="00163B00">
            <w:pPr>
              <w:rPr>
                <w:rFonts w:ascii="Arial" w:eastAsia="굴림" w:hAnsi="Arial" w:cs="Arial"/>
                <w:sz w:val="20"/>
                <w:lang w:val="en-US" w:eastAsia="ko-KR"/>
              </w:rPr>
            </w:pPr>
            <w:r w:rsidRPr="00163B00">
              <w:rPr>
                <w:rFonts w:ascii="Arial" w:eastAsia="굴림" w:hAnsi="Arial" w:cs="Arial"/>
                <w:sz w:val="20"/>
                <w:lang w:val="en-US" w:eastAsia="ko-KR"/>
              </w:rPr>
              <w:t>Delete "by example"</w:t>
            </w:r>
          </w:p>
        </w:tc>
        <w:tc>
          <w:tcPr>
            <w:tcW w:w="1813" w:type="dxa"/>
            <w:hideMark/>
          </w:tcPr>
          <w:p w:rsidR="00841AB3" w:rsidRDefault="00841AB3" w:rsidP="00163B00">
            <w:pPr>
              <w:rPr>
                <w:rFonts w:ascii="Arial" w:eastAsia="굴림" w:hAnsi="Arial" w:cs="Arial"/>
                <w:sz w:val="20"/>
                <w:lang w:val="en-US" w:eastAsia="ko-KR"/>
              </w:rPr>
            </w:pPr>
            <w:r>
              <w:rPr>
                <w:rFonts w:ascii="Arial" w:eastAsia="굴림" w:hAnsi="Arial" w:cs="Arial" w:hint="eastAsia"/>
                <w:sz w:val="20"/>
                <w:lang w:val="en-US" w:eastAsia="ko-KR"/>
              </w:rPr>
              <w:t>Rejected-</w:t>
            </w:r>
          </w:p>
          <w:p w:rsidR="00841AB3" w:rsidRPr="00163B00" w:rsidRDefault="00841AB3" w:rsidP="009C6F3C">
            <w:pPr>
              <w:rPr>
                <w:rFonts w:ascii="Arial" w:eastAsia="굴림" w:hAnsi="Arial" w:cs="Arial"/>
                <w:sz w:val="20"/>
                <w:lang w:val="en-US" w:eastAsia="ko-KR"/>
              </w:rPr>
            </w:pPr>
            <w:r w:rsidRPr="009C6F3C">
              <w:rPr>
                <w:rFonts w:ascii="Arial" w:eastAsia="굴림" w:hAnsi="Arial" w:cs="Arial"/>
                <w:sz w:val="20"/>
                <w:lang w:val="en-US" w:eastAsia="ko-KR"/>
              </w:rPr>
              <w:t xml:space="preserve">Figure 7-1a just shows </w:t>
            </w:r>
            <w:r>
              <w:rPr>
                <w:rFonts w:ascii="Arial" w:eastAsia="굴림" w:hAnsi="Arial" w:cs="Arial" w:hint="eastAsia"/>
                <w:sz w:val="20"/>
                <w:lang w:val="en-US" w:eastAsia="ko-KR"/>
              </w:rPr>
              <w:t xml:space="preserve">one </w:t>
            </w:r>
            <w:r w:rsidRPr="009C6F3C">
              <w:rPr>
                <w:rFonts w:ascii="Arial" w:eastAsia="굴림" w:hAnsi="Arial" w:cs="Arial"/>
                <w:sz w:val="20"/>
                <w:lang w:val="en-US" w:eastAsia="ko-KR"/>
              </w:rPr>
              <w:t>example of channel-list parameter element.</w:t>
            </w:r>
          </w:p>
        </w:tc>
      </w:tr>
    </w:tbl>
    <w:p w:rsidR="00C151D0" w:rsidRDefault="00C151D0"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lastRenderedPageBreak/>
        <w:t>Discussion:</w:t>
      </w:r>
    </w:p>
    <w:p w:rsidR="00B83960" w:rsidRDefault="00B83960" w:rsidP="005A4504">
      <w:pPr>
        <w:rPr>
          <w:b/>
          <w:lang w:eastAsia="ko-KR"/>
        </w:rPr>
      </w:pPr>
    </w:p>
    <w:p w:rsidR="00841AB3" w:rsidRDefault="00841AB3" w:rsidP="005A4504">
      <w:pPr>
        <w:rPr>
          <w:lang w:eastAsia="ko-KR"/>
        </w:rPr>
      </w:pPr>
      <w:r>
        <w:rPr>
          <w:rFonts w:hint="eastAsia"/>
          <w:lang w:eastAsia="ko-KR"/>
        </w:rPr>
        <w:t xml:space="preserve">Comment asked to define the new channel-list elements for a S1G operation. I agree with the comment. There is no technical reason of reusing the </w:t>
      </w:r>
      <w:r>
        <w:rPr>
          <w:lang w:eastAsia="ko-KR"/>
        </w:rPr>
        <w:t>existing</w:t>
      </w:r>
      <w:r>
        <w:rPr>
          <w:rFonts w:hint="eastAsia"/>
          <w:lang w:eastAsia="ko-KR"/>
        </w:rPr>
        <w:t xml:space="preserve"> channel-list elements defined in 11n and 11ac.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841AB3" w:rsidRPr="00841AB3">
        <w:rPr>
          <w:lang w:eastAsia="ko-KR"/>
        </w:rPr>
        <w:t>1033, 1412, 1577, 1578, 1579, 1773, 1787, 1788, 1789, 1790, 1791</w:t>
      </w:r>
      <w:r>
        <w:rPr>
          <w:rFonts w:hint="eastAsia"/>
          <w:lang w:eastAsia="ko-KR"/>
        </w:rPr>
        <w:t xml:space="preserve">, per discussion and editing </w:t>
      </w:r>
      <w:r>
        <w:rPr>
          <w:lang w:eastAsia="ko-KR"/>
        </w:rPr>
        <w:t>instructions</w:t>
      </w:r>
      <w:r>
        <w:rPr>
          <w:rFonts w:hint="eastAsia"/>
          <w:lang w:eastAsia="ko-KR"/>
        </w:rPr>
        <w:t xml:space="preserve"> in 11-1</w:t>
      </w:r>
      <w:r w:rsidR="00DE18DF">
        <w:rPr>
          <w:rFonts w:hint="eastAsia"/>
          <w:lang w:eastAsia="ko-KR"/>
        </w:rPr>
        <w:t>3</w:t>
      </w:r>
      <w:r>
        <w:rPr>
          <w:rFonts w:hint="eastAsia"/>
          <w:lang w:eastAsia="ko-KR"/>
        </w:rPr>
        <w:t>/</w:t>
      </w:r>
      <w:r w:rsidR="00DE18DF">
        <w:rPr>
          <w:rFonts w:hint="eastAsia"/>
          <w:lang w:eastAsia="ko-KR"/>
        </w:rPr>
        <w:t>1522</w:t>
      </w:r>
      <w:r>
        <w:rPr>
          <w:rFonts w:hint="eastAsia"/>
          <w:lang w:eastAsia="ko-KR"/>
        </w:rPr>
        <w:t>r0.</w:t>
      </w:r>
      <w:proofErr w:type="gramEnd"/>
    </w:p>
    <w:p w:rsidR="005A4504" w:rsidRPr="009C6F3C" w:rsidRDefault="005A4504" w:rsidP="005A4504">
      <w:pPr>
        <w:rPr>
          <w:lang w:eastAsia="ko-KR"/>
        </w:rPr>
      </w:pPr>
    </w:p>
    <w:p w:rsidR="005A4504" w:rsidRPr="00C83044" w:rsidRDefault="005A4504"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53F20">
        <w:rPr>
          <w:rFonts w:hint="eastAsia"/>
          <w:b/>
          <w:i/>
          <w:lang w:eastAsia="ko-KR"/>
        </w:rPr>
        <w:t>7.3</w:t>
      </w:r>
      <w:r>
        <w:rPr>
          <w:rFonts w:hint="eastAsia"/>
          <w:b/>
          <w:i/>
          <w:lang w:eastAsia="ko-KR"/>
        </w:rPr>
        <w:t xml:space="preserve"> </w:t>
      </w:r>
      <w:r w:rsidRPr="00C83044">
        <w:rPr>
          <w:rFonts w:hint="eastAsia"/>
          <w:b/>
          <w:i/>
          <w:lang w:eastAsia="ko-KR"/>
        </w:rPr>
        <w:t xml:space="preserve">as the following: </w:t>
      </w:r>
    </w:p>
    <w:p w:rsidR="005A4504" w:rsidRDefault="005A4504" w:rsidP="005A4504">
      <w:pPr>
        <w:rPr>
          <w:szCs w:val="22"/>
          <w:lang w:eastAsia="ko-KR"/>
        </w:rPr>
      </w:pPr>
    </w:p>
    <w:p w:rsidR="00A7354C" w:rsidRPr="00A7354C" w:rsidRDefault="003266AB" w:rsidP="00A7354C">
      <w:pPr>
        <w:widowControl w:val="0"/>
        <w:autoSpaceDE w:val="0"/>
        <w:autoSpaceDN w:val="0"/>
        <w:adjustRightInd w:val="0"/>
        <w:rPr>
          <w:b/>
          <w:szCs w:val="22"/>
          <w:lang w:val="en-US" w:eastAsia="ko-KR"/>
        </w:rPr>
      </w:pPr>
      <w:r w:rsidRPr="003266AB">
        <w:rPr>
          <w:b/>
          <w:szCs w:val="22"/>
          <w:lang w:val="en-US" w:eastAsia="ko-KR"/>
        </w:rPr>
        <w:t>7.3.5.11 PHY-</w:t>
      </w:r>
      <w:proofErr w:type="spellStart"/>
      <w:r w:rsidRPr="003266AB">
        <w:rPr>
          <w:b/>
          <w:szCs w:val="22"/>
          <w:lang w:val="en-US" w:eastAsia="ko-KR"/>
        </w:rPr>
        <w:t>CCA.indication</w:t>
      </w:r>
      <w:proofErr w:type="spellEnd"/>
    </w:p>
    <w:p w:rsidR="00A7354C" w:rsidRPr="00A7354C" w:rsidRDefault="003266AB" w:rsidP="00A7354C">
      <w:pPr>
        <w:widowControl w:val="0"/>
        <w:autoSpaceDE w:val="0"/>
        <w:autoSpaceDN w:val="0"/>
        <w:adjustRightInd w:val="0"/>
        <w:rPr>
          <w:b/>
          <w:szCs w:val="22"/>
          <w:lang w:val="en-US" w:eastAsia="ko-KR"/>
        </w:rPr>
      </w:pPr>
      <w:r w:rsidRPr="003266AB">
        <w:rPr>
          <w:b/>
          <w:szCs w:val="22"/>
          <w:lang w:val="en-US" w:eastAsia="ko-KR"/>
        </w:rPr>
        <w:t>7.3.5.11.2 Semantics of the service primitive</w:t>
      </w:r>
    </w:p>
    <w:p w:rsidR="00171C0D" w:rsidRDefault="003266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i/>
          <w:iCs/>
          <w:color w:val="000000"/>
          <w:sz w:val="20"/>
          <w:lang w:val="en-US" w:eastAsia="ko-KR"/>
        </w:rPr>
      </w:pPr>
      <w:r w:rsidRPr="003266AB">
        <w:rPr>
          <w:b/>
          <w:bCs/>
          <w:i/>
          <w:iCs/>
          <w:color w:val="000000"/>
          <w:sz w:val="20"/>
          <w:lang w:val="en-US" w:eastAsia="ko-KR"/>
        </w:rPr>
        <w:t xml:space="preserve">Change the following paragraph in the </w:t>
      </w:r>
      <w:proofErr w:type="spellStart"/>
      <w:r w:rsidRPr="003266AB">
        <w:rPr>
          <w:b/>
          <w:bCs/>
          <w:i/>
          <w:iCs/>
          <w:color w:val="000000"/>
          <w:sz w:val="20"/>
          <w:lang w:val="en-US" w:eastAsia="ko-KR"/>
        </w:rPr>
        <w:t>subclause</w:t>
      </w:r>
      <w:proofErr w:type="spellEnd"/>
      <w:r w:rsidRPr="003266AB">
        <w:rPr>
          <w:b/>
          <w:bCs/>
          <w:i/>
          <w:iCs/>
          <w:color w:val="000000"/>
          <w:sz w:val="20"/>
          <w:lang w:val="en-US" w:eastAsia="ko-KR"/>
        </w:rPr>
        <w:t xml:space="preserve"> 7.3.5.11.2 of </w:t>
      </w:r>
      <w:proofErr w:type="spellStart"/>
      <w:r w:rsidRPr="003266AB">
        <w:rPr>
          <w:b/>
          <w:bCs/>
          <w:i/>
          <w:iCs/>
          <w:color w:val="000000"/>
          <w:sz w:val="20"/>
          <w:lang w:val="en-US" w:eastAsia="ko-KR"/>
        </w:rPr>
        <w:t>TGac</w:t>
      </w:r>
      <w:proofErr w:type="spellEnd"/>
      <w:r w:rsidRPr="003266AB">
        <w:rPr>
          <w:b/>
          <w:bCs/>
          <w:i/>
          <w:iCs/>
          <w:color w:val="000000"/>
          <w:sz w:val="20"/>
          <w:lang w:val="en-US" w:eastAsia="ko-KR"/>
        </w:rPr>
        <w:t xml:space="preserve"> D5.0 as follows:</w:t>
      </w:r>
    </w:p>
    <w:p w:rsidR="00A7354C" w:rsidRPr="00A7354C" w:rsidRDefault="003266AB" w:rsidP="00A73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266AB">
        <w:rPr>
          <w:color w:val="000000"/>
          <w:sz w:val="20"/>
          <w:lang w:val="en-US" w:eastAsia="ko-KR"/>
        </w:rPr>
        <w:t xml:space="preserve">When STATE is IDLE or when, for the type of PHY in operation, CCA is determined by a single channel, the channel-list parameter is absent. Otherwise, it carries a set indicating which channels are busy. The channel-list parameter in a </w:t>
      </w:r>
      <w:proofErr w:type="spellStart"/>
      <w:r w:rsidRPr="003266AB">
        <w:rPr>
          <w:color w:val="000000"/>
          <w:sz w:val="20"/>
          <w:lang w:val="en-US" w:eastAsia="ko-KR"/>
        </w:rPr>
        <w:t>PHYCCA.indication</w:t>
      </w:r>
      <w:proofErr w:type="spellEnd"/>
      <w:r w:rsidRPr="003266AB">
        <w:rPr>
          <w:color w:val="000000"/>
          <w:sz w:val="20"/>
          <w:lang w:val="en-US" w:eastAsia="ko-KR"/>
        </w:rPr>
        <w:t xml:space="preserve"> primitive generated by a VHT STA</w:t>
      </w:r>
      <w:r w:rsidRPr="00D26EB4">
        <w:rPr>
          <w:strike/>
          <w:color w:val="000000"/>
          <w:sz w:val="20"/>
          <w:lang w:val="en-US" w:eastAsia="ko-KR"/>
        </w:rPr>
        <w:t>, a TVHT STA,</w:t>
      </w:r>
      <w:r w:rsidRPr="00D26EB4">
        <w:rPr>
          <w:color w:val="000000"/>
          <w:sz w:val="20"/>
          <w:lang w:val="en-US" w:eastAsia="ko-KR"/>
        </w:rPr>
        <w:t xml:space="preserve"> and an S1G STA contains at</w:t>
      </w:r>
      <w:r w:rsidRPr="003266AB">
        <w:rPr>
          <w:color w:val="000000"/>
          <w:sz w:val="20"/>
          <w:lang w:val="en-US" w:eastAsia="ko-KR"/>
        </w:rPr>
        <w:t xml:space="preserve"> most a single element. </w:t>
      </w:r>
      <w:r w:rsidR="00D26EB4" w:rsidRPr="00D26EB4">
        <w:rPr>
          <w:color w:val="000000"/>
          <w:sz w:val="20"/>
          <w:lang w:val="en-US" w:eastAsia="ko-KR"/>
        </w:rPr>
        <w:t xml:space="preserve">Table 7-5 (Channel-list parameter elements) defines the members of this set. </w:t>
      </w:r>
    </w:p>
    <w:p w:rsidR="00A7354C" w:rsidRPr="00A7354C" w:rsidRDefault="003266AB" w:rsidP="00A73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i/>
          <w:iCs/>
          <w:color w:val="000000"/>
          <w:sz w:val="20"/>
          <w:lang w:val="en-US" w:eastAsia="ko-KR"/>
        </w:rPr>
      </w:pPr>
      <w:r w:rsidRPr="003266AB">
        <w:rPr>
          <w:b/>
          <w:bCs/>
          <w:i/>
          <w:iCs/>
          <w:color w:val="000000"/>
          <w:sz w:val="20"/>
          <w:lang w:val="en-US" w:eastAsia="ko-KR"/>
        </w:rPr>
        <w:t xml:space="preserve">Change Table 7-5 in the </w:t>
      </w:r>
      <w:proofErr w:type="spellStart"/>
      <w:r w:rsidRPr="003266AB">
        <w:rPr>
          <w:b/>
          <w:bCs/>
          <w:i/>
          <w:iCs/>
          <w:color w:val="000000"/>
          <w:sz w:val="20"/>
          <w:lang w:val="en-US" w:eastAsia="ko-KR"/>
        </w:rPr>
        <w:t>subclause</w:t>
      </w:r>
      <w:proofErr w:type="spellEnd"/>
      <w:r w:rsidRPr="003266AB">
        <w:rPr>
          <w:b/>
          <w:bCs/>
          <w:i/>
          <w:iCs/>
          <w:color w:val="000000"/>
          <w:sz w:val="20"/>
          <w:lang w:val="en-US" w:eastAsia="ko-KR"/>
        </w:rPr>
        <w:t xml:space="preserve"> 7.3.5.11.2 of </w:t>
      </w:r>
      <w:proofErr w:type="spellStart"/>
      <w:r w:rsidRPr="003266AB">
        <w:rPr>
          <w:b/>
          <w:bCs/>
          <w:i/>
          <w:iCs/>
          <w:color w:val="000000"/>
          <w:sz w:val="20"/>
          <w:lang w:val="en-US" w:eastAsia="ko-KR"/>
        </w:rPr>
        <w:t>TGac</w:t>
      </w:r>
      <w:proofErr w:type="spellEnd"/>
      <w:r w:rsidRPr="003266AB">
        <w:rPr>
          <w:b/>
          <w:bCs/>
          <w:i/>
          <w:iCs/>
          <w:color w:val="000000"/>
          <w:sz w:val="20"/>
          <w:lang w:val="en-US" w:eastAsia="ko-KR"/>
        </w:rPr>
        <w:t xml:space="preserve"> D5.0 as follows:</w:t>
      </w:r>
    </w:p>
    <w:tbl>
      <w:tblPr>
        <w:tblW w:w="0" w:type="auto"/>
        <w:jc w:val="center"/>
        <w:tblLayout w:type="fixed"/>
        <w:tblCellMar>
          <w:left w:w="10" w:type="dxa"/>
          <w:right w:w="10" w:type="dxa"/>
        </w:tblCellMar>
        <w:tblLook w:val="0000"/>
      </w:tblPr>
      <w:tblGrid>
        <w:gridCol w:w="2060"/>
        <w:gridCol w:w="6220"/>
      </w:tblGrid>
      <w:tr w:rsidR="00A7354C" w:rsidRPr="00A7354C">
        <w:trPr>
          <w:jc w:val="center"/>
        </w:trPr>
        <w:tc>
          <w:tcPr>
            <w:tcW w:w="8280" w:type="dxa"/>
            <w:gridSpan w:val="2"/>
            <w:tcBorders>
              <w:top w:val="nil"/>
              <w:left w:val="nil"/>
              <w:bottom w:val="nil"/>
              <w:right w:val="nil"/>
            </w:tcBorders>
            <w:vAlign w:val="center"/>
          </w:tcPr>
          <w:p w:rsidR="00A7354C" w:rsidRPr="00A7354C" w:rsidRDefault="00C57B2B" w:rsidP="00C57B2B">
            <w:pPr>
              <w:widowControl w:val="0"/>
              <w:suppressAutoHyphens/>
              <w:autoSpaceDE w:val="0"/>
              <w:autoSpaceDN w:val="0"/>
              <w:adjustRightInd w:val="0"/>
              <w:spacing w:line="240" w:lineRule="atLeast"/>
              <w:jc w:val="center"/>
              <w:rPr>
                <w:b/>
                <w:bCs/>
                <w:color w:val="000000"/>
                <w:sz w:val="20"/>
                <w:lang w:val="en-US" w:eastAsia="ko-KR"/>
              </w:rPr>
            </w:pPr>
            <w:r>
              <w:rPr>
                <w:rFonts w:hint="eastAsia"/>
                <w:b/>
                <w:bCs/>
                <w:color w:val="000000"/>
                <w:sz w:val="20"/>
                <w:lang w:val="en-US" w:eastAsia="ko-KR"/>
              </w:rPr>
              <w:t xml:space="preserve">Table 7-5 - </w:t>
            </w:r>
            <w:r w:rsidR="003266AB" w:rsidRPr="003266AB">
              <w:rPr>
                <w:b/>
                <w:bCs/>
                <w:color w:val="000000"/>
                <w:sz w:val="20"/>
                <w:lang w:val="en-US" w:eastAsia="ko-KR"/>
              </w:rPr>
              <w:t>Channel-list parameter elements</w:t>
            </w:r>
          </w:p>
        </w:tc>
      </w:tr>
      <w:tr w:rsidR="00A7354C" w:rsidRPr="00A7354C">
        <w:trPr>
          <w:trHeight w:val="440"/>
          <w:jc w:val="center"/>
        </w:trPr>
        <w:tc>
          <w:tcPr>
            <w:tcW w:w="2060" w:type="dxa"/>
            <w:tcBorders>
              <w:top w:val="single" w:sz="10" w:space="0" w:color="000000"/>
              <w:left w:val="single" w:sz="10" w:space="0" w:color="000000"/>
              <w:bottom w:val="single" w:sz="10" w:space="0" w:color="000000"/>
              <w:right w:val="single" w:sz="2" w:space="0" w:color="000000"/>
            </w:tcBorders>
            <w:vAlign w:val="center"/>
          </w:tcPr>
          <w:p w:rsidR="00A7354C" w:rsidRPr="00A7354C" w:rsidRDefault="003266AB" w:rsidP="00A7354C">
            <w:pPr>
              <w:widowControl w:val="0"/>
              <w:suppressAutoHyphens/>
              <w:autoSpaceDE w:val="0"/>
              <w:autoSpaceDN w:val="0"/>
              <w:adjustRightInd w:val="0"/>
              <w:spacing w:line="200" w:lineRule="atLeast"/>
              <w:jc w:val="center"/>
              <w:rPr>
                <w:b/>
                <w:bCs/>
                <w:color w:val="000000"/>
                <w:sz w:val="20"/>
                <w:lang w:val="en-US" w:eastAsia="ko-KR"/>
              </w:rPr>
            </w:pPr>
            <w:r w:rsidRPr="003266AB">
              <w:rPr>
                <w:b/>
                <w:bCs/>
                <w:color w:val="000000"/>
                <w:sz w:val="20"/>
                <w:lang w:val="en-US" w:eastAsia="ko-KR"/>
              </w:rPr>
              <w:t>Channel-list elements</w:t>
            </w:r>
          </w:p>
        </w:tc>
        <w:tc>
          <w:tcPr>
            <w:tcW w:w="6220" w:type="dxa"/>
            <w:tcBorders>
              <w:top w:val="single" w:sz="10" w:space="0" w:color="000000"/>
              <w:left w:val="single" w:sz="2" w:space="0" w:color="000000"/>
              <w:bottom w:val="single" w:sz="10" w:space="0" w:color="000000"/>
              <w:right w:val="single" w:sz="10" w:space="0" w:color="000000"/>
            </w:tcBorders>
            <w:vAlign w:val="center"/>
          </w:tcPr>
          <w:p w:rsidR="00A7354C" w:rsidRPr="00A7354C" w:rsidRDefault="003266AB" w:rsidP="00A7354C">
            <w:pPr>
              <w:widowControl w:val="0"/>
              <w:suppressAutoHyphens/>
              <w:autoSpaceDE w:val="0"/>
              <w:autoSpaceDN w:val="0"/>
              <w:adjustRightInd w:val="0"/>
              <w:spacing w:line="200" w:lineRule="atLeast"/>
              <w:jc w:val="center"/>
              <w:rPr>
                <w:b/>
                <w:bCs/>
                <w:color w:val="000000"/>
                <w:sz w:val="20"/>
                <w:lang w:val="en-US" w:eastAsia="ko-KR"/>
              </w:rPr>
            </w:pPr>
            <w:r w:rsidRPr="003266AB">
              <w:rPr>
                <w:b/>
                <w:bCs/>
                <w:color w:val="000000"/>
                <w:sz w:val="20"/>
                <w:lang w:val="en-US" w:eastAsia="ko-KR"/>
              </w:rPr>
              <w:t>Meaning</w:t>
            </w:r>
          </w:p>
        </w:tc>
      </w:tr>
      <w:tr w:rsidR="00A7354C" w:rsidRPr="00A7354C">
        <w:trPr>
          <w:trHeight w:val="2440"/>
          <w:jc w:val="center"/>
        </w:trPr>
        <w:tc>
          <w:tcPr>
            <w:tcW w:w="2060" w:type="dxa"/>
            <w:tcBorders>
              <w:top w:val="single" w:sz="2" w:space="0" w:color="000000"/>
              <w:left w:val="single" w:sz="10" w:space="0" w:color="000000"/>
              <w:bottom w:val="single" w:sz="2" w:space="0" w:color="000000"/>
              <w:right w:val="single" w:sz="2" w:space="0" w:color="000000"/>
            </w:tcBorders>
          </w:tcPr>
          <w:p w:rsidR="00A7354C" w:rsidRPr="00A7354C" w:rsidRDefault="003266AB" w:rsidP="00A7354C">
            <w:pPr>
              <w:widowControl w:val="0"/>
              <w:suppressAutoHyphens/>
              <w:autoSpaceDE w:val="0"/>
              <w:autoSpaceDN w:val="0"/>
              <w:adjustRightInd w:val="0"/>
              <w:spacing w:line="200" w:lineRule="atLeast"/>
              <w:rPr>
                <w:color w:val="000000"/>
                <w:sz w:val="20"/>
                <w:lang w:val="en-US" w:eastAsia="ko-KR"/>
              </w:rPr>
            </w:pPr>
            <w:r w:rsidRPr="003266AB">
              <w:rPr>
                <w:color w:val="000000"/>
                <w:sz w:val="20"/>
                <w:lang w:val="en-US" w:eastAsia="ko-KR"/>
              </w:rPr>
              <w:t>primary</w:t>
            </w:r>
          </w:p>
        </w:tc>
        <w:tc>
          <w:tcPr>
            <w:tcW w:w="6220" w:type="dxa"/>
            <w:tcBorders>
              <w:top w:val="single" w:sz="2" w:space="0" w:color="000000"/>
              <w:left w:val="single" w:sz="2" w:space="0" w:color="000000"/>
              <w:bottom w:val="single" w:sz="2" w:space="0" w:color="000000"/>
              <w:right w:val="single" w:sz="10" w:space="0" w:color="000000"/>
            </w:tcBorders>
          </w:tcPr>
          <w:p w:rsidR="00A7354C" w:rsidRPr="00A7354C" w:rsidRDefault="003266AB" w:rsidP="00A7354C">
            <w:pPr>
              <w:widowControl w:val="0"/>
              <w:suppressAutoHyphens/>
              <w:autoSpaceDE w:val="0"/>
              <w:autoSpaceDN w:val="0"/>
              <w:adjustRightInd w:val="0"/>
              <w:spacing w:line="200" w:lineRule="atLeast"/>
              <w:rPr>
                <w:color w:val="000000"/>
                <w:sz w:val="20"/>
                <w:lang w:val="en-US" w:eastAsia="ko-KR"/>
              </w:rPr>
            </w:pPr>
            <w:r w:rsidRPr="003266AB">
              <w:rPr>
                <w:color w:val="000000"/>
                <w:sz w:val="20"/>
                <w:lang w:val="en-US" w:eastAsia="ko-KR"/>
              </w:rPr>
              <w:t xml:space="preserve">For an HT STA that is not a VHT </w:t>
            </w:r>
            <w:proofErr w:type="gramStart"/>
            <w:r w:rsidRPr="003266AB">
              <w:rPr>
                <w:color w:val="000000"/>
                <w:sz w:val="20"/>
                <w:lang w:val="en-US" w:eastAsia="ko-KR"/>
              </w:rPr>
              <w:t>STA,</w:t>
            </w:r>
            <w:proofErr w:type="gramEnd"/>
            <w:r w:rsidRPr="003266AB">
              <w:rPr>
                <w:color w:val="000000"/>
                <w:sz w:val="20"/>
                <w:lang w:val="en-US" w:eastAsia="ko-KR"/>
              </w:rPr>
              <w:t xml:space="preserve"> indicates that the primary 20 MHz channel is busy.</w:t>
            </w:r>
          </w:p>
          <w:p w:rsidR="00A7354C" w:rsidRPr="00A7354C" w:rsidRDefault="003266AB" w:rsidP="00A7354C">
            <w:pPr>
              <w:widowControl w:val="0"/>
              <w:suppressAutoHyphens/>
              <w:autoSpaceDE w:val="0"/>
              <w:autoSpaceDN w:val="0"/>
              <w:adjustRightInd w:val="0"/>
              <w:spacing w:line="200" w:lineRule="atLeast"/>
              <w:rPr>
                <w:color w:val="000000"/>
                <w:sz w:val="20"/>
                <w:lang w:val="en-US" w:eastAsia="ko-KR"/>
              </w:rPr>
            </w:pPr>
            <w:r w:rsidRPr="003266AB">
              <w:rPr>
                <w:color w:val="000000"/>
                <w:sz w:val="20"/>
                <w:lang w:val="en-US" w:eastAsia="ko-KR"/>
              </w:rPr>
              <w:t>For a VHT STA, indicates that the primary 20 MHz channel is busy according to the rules specified in 22.3.19.5.3 (CCA sensitivity for signals occupying the primary 20 MHz channel).</w:t>
            </w:r>
          </w:p>
          <w:p w:rsidR="00A7354C" w:rsidRPr="00A7354C" w:rsidRDefault="003266AB" w:rsidP="00A7354C">
            <w:pPr>
              <w:widowControl w:val="0"/>
              <w:suppressAutoHyphens/>
              <w:autoSpaceDE w:val="0"/>
              <w:autoSpaceDN w:val="0"/>
              <w:adjustRightInd w:val="0"/>
              <w:spacing w:line="200" w:lineRule="atLeast"/>
              <w:rPr>
                <w:color w:val="000000"/>
                <w:sz w:val="20"/>
                <w:lang w:val="en-US" w:eastAsia="ko-KR"/>
              </w:rPr>
            </w:pPr>
            <w:r w:rsidRPr="003266AB">
              <w:rPr>
                <w:color w:val="000000"/>
                <w:sz w:val="20"/>
                <w:lang w:val="en-US" w:eastAsia="ko-KR"/>
              </w:rPr>
              <w:t>For a TVHT STA, indicates that the primary channel is busy according to the rules specified in 23.3.19.5.3 (CCA sensitivity for signals occupying the primary channel).</w:t>
            </w:r>
          </w:p>
          <w:p w:rsidR="00A7354C" w:rsidRPr="00C57B2B" w:rsidRDefault="003266AB" w:rsidP="00A7354C">
            <w:pPr>
              <w:widowControl w:val="0"/>
              <w:suppressAutoHyphens/>
              <w:autoSpaceDE w:val="0"/>
              <w:autoSpaceDN w:val="0"/>
              <w:adjustRightInd w:val="0"/>
              <w:spacing w:line="200" w:lineRule="atLeast"/>
              <w:rPr>
                <w:strike/>
                <w:color w:val="000000"/>
                <w:sz w:val="20"/>
                <w:lang w:val="en-US" w:eastAsia="ko-KR"/>
              </w:rPr>
            </w:pPr>
            <w:r w:rsidRPr="00C57B2B">
              <w:rPr>
                <w:strike/>
                <w:color w:val="000000"/>
                <w:sz w:val="20"/>
                <w:lang w:val="en-US" w:eastAsia="ko-KR"/>
              </w:rPr>
              <w:t>For an S1G STA, indicates that the primary 2MHz channel is busy according to the rules specified in 24.3.18.5.3 (CCA sensitivity for signals occupying the primary 2MHz channel).</w:t>
            </w:r>
          </w:p>
        </w:tc>
      </w:tr>
      <w:tr w:rsidR="00C57B2B" w:rsidRPr="00A7354C">
        <w:trPr>
          <w:trHeight w:val="2440"/>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3266AB" w:rsidRDefault="00C57B2B" w:rsidP="00A7354C">
            <w:pPr>
              <w:widowControl w:val="0"/>
              <w:suppressAutoHyphens/>
              <w:autoSpaceDE w:val="0"/>
              <w:autoSpaceDN w:val="0"/>
              <w:adjustRightInd w:val="0"/>
              <w:spacing w:line="200" w:lineRule="atLeast"/>
              <w:rPr>
                <w:color w:val="000000"/>
                <w:sz w:val="20"/>
                <w:lang w:val="en-US" w:eastAsia="ko-KR"/>
              </w:rPr>
            </w:pPr>
            <w:r w:rsidRPr="003266AB">
              <w:rPr>
                <w:color w:val="000000"/>
                <w:sz w:val="20"/>
                <w:lang w:val="en-US" w:eastAsia="ko-KR"/>
              </w:rPr>
              <w:t>secondary</w:t>
            </w:r>
          </w:p>
        </w:tc>
        <w:tc>
          <w:tcPr>
            <w:tcW w:w="6220" w:type="dxa"/>
            <w:tcBorders>
              <w:top w:val="single" w:sz="2" w:space="0" w:color="000000"/>
              <w:left w:val="single" w:sz="2" w:space="0" w:color="000000"/>
              <w:bottom w:val="single" w:sz="2" w:space="0" w:color="000000"/>
              <w:right w:val="single" w:sz="10" w:space="0" w:color="000000"/>
            </w:tcBorders>
          </w:tcPr>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 xml:space="preserve">For an HT STA that is not a VHT </w:t>
            </w:r>
            <w:proofErr w:type="gramStart"/>
            <w:r w:rsidRPr="00C57B2B">
              <w:rPr>
                <w:color w:val="000000"/>
                <w:sz w:val="20"/>
                <w:lang w:val="en-US" w:eastAsia="ko-KR"/>
              </w:rPr>
              <w:t>STA,</w:t>
            </w:r>
            <w:proofErr w:type="gramEnd"/>
            <w:r w:rsidRPr="00C57B2B">
              <w:rPr>
                <w:color w:val="000000"/>
                <w:sz w:val="20"/>
                <w:lang w:val="en-US" w:eastAsia="ko-KR"/>
              </w:rPr>
              <w:t xml:space="preserve"> indicates that the secondary channel is busy.</w:t>
            </w:r>
          </w:p>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For a VHT STA, indicates that the secondary 20 MHz channel is busy according to the rules specified in 22.3.19.5.4 (CCA sensitivity for signals not occupying the primary 20 MHz channel).</w:t>
            </w:r>
          </w:p>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For a TVHT STA, indicates that the secondary channel is busy according to the rules specified in 23.3.19.5.4 (CCA sensitivity for signals not occupying the primary channel).</w:t>
            </w:r>
          </w:p>
          <w:p w:rsidR="00C57B2B" w:rsidRPr="00C57B2B" w:rsidRDefault="00C57B2B" w:rsidP="00C57B2B">
            <w:pPr>
              <w:widowControl w:val="0"/>
              <w:suppressAutoHyphens/>
              <w:autoSpaceDE w:val="0"/>
              <w:autoSpaceDN w:val="0"/>
              <w:adjustRightInd w:val="0"/>
              <w:spacing w:line="200" w:lineRule="atLeast"/>
              <w:rPr>
                <w:strike/>
                <w:color w:val="000000"/>
                <w:sz w:val="20"/>
                <w:lang w:val="en-US" w:eastAsia="ko-KR"/>
              </w:rPr>
            </w:pPr>
            <w:r w:rsidRPr="00C57B2B">
              <w:rPr>
                <w:strike/>
                <w:color w:val="000000"/>
                <w:sz w:val="20"/>
                <w:lang w:val="en-US" w:eastAsia="ko-KR"/>
              </w:rPr>
              <w:t>For an S1G STA, indicates that the secondary 2MHz channel is busy according to the rules specified in 24.3.18.5.3 (CCA sensitivity for signals occupying the primary 2MHz channel).</w:t>
            </w:r>
          </w:p>
        </w:tc>
      </w:tr>
      <w:tr w:rsidR="00C57B2B" w:rsidRPr="00A7354C" w:rsidTr="00C57B2B">
        <w:trPr>
          <w:trHeight w:val="1924"/>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3266AB" w:rsidRDefault="00C57B2B" w:rsidP="00C57B2B">
            <w:pPr>
              <w:widowControl w:val="0"/>
              <w:suppressAutoHyphens/>
              <w:autoSpaceDE w:val="0"/>
              <w:autoSpaceDN w:val="0"/>
              <w:adjustRightInd w:val="0"/>
              <w:spacing w:line="200" w:lineRule="atLeast"/>
              <w:rPr>
                <w:color w:val="000000"/>
                <w:sz w:val="20"/>
                <w:lang w:val="en-US" w:eastAsia="ko-KR"/>
              </w:rPr>
            </w:pPr>
            <w:r>
              <w:rPr>
                <w:rFonts w:hint="eastAsia"/>
                <w:color w:val="000000"/>
                <w:sz w:val="20"/>
                <w:lang w:val="en-US" w:eastAsia="ko-KR"/>
              </w:rPr>
              <w:t>secondary40</w:t>
            </w:r>
          </w:p>
        </w:tc>
        <w:tc>
          <w:tcPr>
            <w:tcW w:w="6220" w:type="dxa"/>
            <w:tcBorders>
              <w:top w:val="single" w:sz="2" w:space="0" w:color="000000"/>
              <w:left w:val="single" w:sz="2" w:space="0" w:color="000000"/>
              <w:bottom w:val="single" w:sz="2" w:space="0" w:color="000000"/>
              <w:right w:val="single" w:sz="10" w:space="0" w:color="000000"/>
            </w:tcBorders>
          </w:tcPr>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For a VHT STA, indicates that the secondary 40 MHz channel is busy according to the rules specified in 22.3.19.5.4 (CCA sensitivity for signals not occupying the primary 20 MHz channel).</w:t>
            </w:r>
          </w:p>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For a TVHT STA, indicates that the secondaryTVHT_2W channel is busy according to the rules specified in 23.3.19.5.4 (CCA sensitivity for signals not occupying the primary channel).</w:t>
            </w:r>
          </w:p>
          <w:p w:rsidR="00C57B2B" w:rsidRPr="00C57B2B" w:rsidRDefault="00C57B2B" w:rsidP="00C57B2B">
            <w:pPr>
              <w:widowControl w:val="0"/>
              <w:suppressAutoHyphens/>
              <w:autoSpaceDE w:val="0"/>
              <w:autoSpaceDN w:val="0"/>
              <w:adjustRightInd w:val="0"/>
              <w:spacing w:line="200" w:lineRule="atLeast"/>
              <w:rPr>
                <w:strike/>
                <w:color w:val="000000"/>
                <w:sz w:val="20"/>
                <w:lang w:val="en-US" w:eastAsia="ko-KR"/>
              </w:rPr>
            </w:pPr>
            <w:r w:rsidRPr="00C57B2B">
              <w:rPr>
                <w:strike/>
                <w:color w:val="000000"/>
                <w:sz w:val="20"/>
                <w:lang w:val="en-US" w:eastAsia="ko-KR"/>
              </w:rPr>
              <w:t>For an S1G STA, indicates that the secondary 4MHz channel is busy according to the rules specified in 24.3.18.5.4 (CCA sensitivity for signals not occupying the primary 2MHz channel).</w:t>
            </w:r>
          </w:p>
        </w:tc>
      </w:tr>
      <w:tr w:rsidR="00C57B2B" w:rsidRPr="00A7354C" w:rsidTr="00C57B2B">
        <w:trPr>
          <w:trHeight w:val="1259"/>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Default="00C57B2B" w:rsidP="00C57B2B">
            <w:pPr>
              <w:widowControl w:val="0"/>
              <w:suppressAutoHyphens/>
              <w:autoSpaceDE w:val="0"/>
              <w:autoSpaceDN w:val="0"/>
              <w:adjustRightInd w:val="0"/>
              <w:spacing w:line="200" w:lineRule="atLeast"/>
              <w:rPr>
                <w:color w:val="000000"/>
                <w:sz w:val="20"/>
                <w:lang w:val="en-US" w:eastAsia="ko-KR"/>
              </w:rPr>
            </w:pPr>
            <w:r>
              <w:rPr>
                <w:rFonts w:hint="eastAsia"/>
                <w:color w:val="000000"/>
                <w:sz w:val="20"/>
                <w:lang w:val="en-US" w:eastAsia="ko-KR"/>
              </w:rPr>
              <w:lastRenderedPageBreak/>
              <w:t>secondary80</w:t>
            </w:r>
          </w:p>
        </w:tc>
        <w:tc>
          <w:tcPr>
            <w:tcW w:w="6220" w:type="dxa"/>
            <w:tcBorders>
              <w:top w:val="single" w:sz="2" w:space="0" w:color="000000"/>
              <w:left w:val="single" w:sz="2" w:space="0" w:color="000000"/>
              <w:bottom w:val="single" w:sz="2" w:space="0" w:color="000000"/>
              <w:right w:val="single" w:sz="10" w:space="0" w:color="000000"/>
            </w:tcBorders>
          </w:tcPr>
          <w:p w:rsidR="00C57B2B" w:rsidRPr="00C57B2B" w:rsidRDefault="00C57B2B" w:rsidP="00C57B2B">
            <w:pPr>
              <w:widowControl w:val="0"/>
              <w:suppressAutoHyphens/>
              <w:autoSpaceDE w:val="0"/>
              <w:autoSpaceDN w:val="0"/>
              <w:adjustRightInd w:val="0"/>
              <w:spacing w:line="200" w:lineRule="atLeast"/>
              <w:rPr>
                <w:color w:val="000000"/>
                <w:sz w:val="20"/>
                <w:lang w:val="en-US" w:eastAsia="ko-KR"/>
              </w:rPr>
            </w:pPr>
            <w:r w:rsidRPr="00C57B2B">
              <w:rPr>
                <w:color w:val="000000"/>
                <w:sz w:val="20"/>
                <w:lang w:val="en-US" w:eastAsia="ko-KR"/>
              </w:rPr>
              <w:t>For a VHT STA, indicates that the secondary 80 MHz channel is busy according to the rules specified in 22.3.19.5.4 (CCA sensitivity for signals not occupying the primary 20 MHz channel).</w:t>
            </w:r>
          </w:p>
          <w:p w:rsidR="00C57B2B" w:rsidRPr="00C57B2B" w:rsidRDefault="00C57B2B" w:rsidP="00C57B2B">
            <w:pPr>
              <w:widowControl w:val="0"/>
              <w:suppressAutoHyphens/>
              <w:autoSpaceDE w:val="0"/>
              <w:autoSpaceDN w:val="0"/>
              <w:adjustRightInd w:val="0"/>
              <w:spacing w:line="200" w:lineRule="atLeast"/>
              <w:rPr>
                <w:strike/>
                <w:color w:val="000000"/>
                <w:sz w:val="20"/>
                <w:lang w:val="en-US" w:eastAsia="ko-KR"/>
              </w:rPr>
            </w:pPr>
            <w:r w:rsidRPr="00C57B2B">
              <w:rPr>
                <w:strike/>
                <w:color w:val="000000"/>
                <w:sz w:val="20"/>
                <w:lang w:val="en-US" w:eastAsia="ko-KR"/>
              </w:rPr>
              <w:t>For an S1G STA, indicates that the secondary 8MHz channel is busy according to the rules specified in 24.3.18.5.4 (CCA sensitivity for signals not occupying the primary 2MHz channel).</w:t>
            </w:r>
          </w:p>
        </w:tc>
      </w:tr>
      <w:tr w:rsidR="00C57B2B" w:rsidRPr="00A7354C" w:rsidTr="005D1ED0">
        <w:trPr>
          <w:trHeight w:val="538"/>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5D1ED0" w:rsidRDefault="00C57B2B" w:rsidP="00C57B2B">
            <w:pPr>
              <w:widowControl w:val="0"/>
              <w:suppressAutoHyphens/>
              <w:autoSpaceDE w:val="0"/>
              <w:autoSpaceDN w:val="0"/>
              <w:adjustRightInd w:val="0"/>
              <w:spacing w:line="200" w:lineRule="atLeast"/>
              <w:rPr>
                <w:color w:val="000000"/>
                <w:sz w:val="20"/>
                <w:u w:val="single"/>
                <w:lang w:val="en-US" w:eastAsia="ko-KR"/>
              </w:rPr>
            </w:pPr>
            <w:r w:rsidRPr="005D1ED0">
              <w:rPr>
                <w:rFonts w:hint="eastAsia"/>
                <w:color w:val="000000"/>
                <w:sz w:val="20"/>
                <w:u w:val="single"/>
                <w:lang w:val="en-US" w:eastAsia="ko-KR"/>
              </w:rPr>
              <w:t>primary1</w:t>
            </w:r>
          </w:p>
        </w:tc>
        <w:tc>
          <w:tcPr>
            <w:tcW w:w="6220" w:type="dxa"/>
            <w:tcBorders>
              <w:top w:val="single" w:sz="2" w:space="0" w:color="000000"/>
              <w:left w:val="single" w:sz="2" w:space="0" w:color="000000"/>
              <w:bottom w:val="single" w:sz="2" w:space="0" w:color="000000"/>
              <w:right w:val="single" w:sz="10" w:space="0" w:color="000000"/>
            </w:tcBorders>
          </w:tcPr>
          <w:p w:rsidR="00C57B2B" w:rsidRPr="005D1ED0" w:rsidRDefault="005D1ED0" w:rsidP="005D1ED0">
            <w:pPr>
              <w:widowControl w:val="0"/>
              <w:suppressAutoHyphens/>
              <w:autoSpaceDE w:val="0"/>
              <w:autoSpaceDN w:val="0"/>
              <w:adjustRightInd w:val="0"/>
              <w:spacing w:line="200" w:lineRule="atLeast"/>
              <w:rPr>
                <w:color w:val="000000"/>
                <w:sz w:val="20"/>
                <w:u w:val="single"/>
                <w:lang w:val="en-US" w:eastAsia="ko-KR"/>
              </w:rPr>
            </w:pPr>
            <w:r w:rsidRPr="005D1ED0">
              <w:rPr>
                <w:color w:val="000000"/>
                <w:sz w:val="20"/>
                <w:u w:val="single"/>
                <w:lang w:val="en-US" w:eastAsia="ko-KR"/>
              </w:rPr>
              <w:t xml:space="preserve">For a </w:t>
            </w:r>
            <w:r w:rsidRPr="005D1ED0">
              <w:rPr>
                <w:rFonts w:hint="eastAsia"/>
                <w:color w:val="000000"/>
                <w:sz w:val="20"/>
                <w:u w:val="single"/>
                <w:lang w:val="en-US" w:eastAsia="ko-KR"/>
              </w:rPr>
              <w:t>S1G</w:t>
            </w:r>
            <w:r w:rsidRPr="005D1ED0">
              <w:rPr>
                <w:color w:val="000000"/>
                <w:sz w:val="20"/>
                <w:u w:val="single"/>
                <w:lang w:val="en-US" w:eastAsia="ko-KR"/>
              </w:rPr>
              <w:t xml:space="preserve"> STA, indicates that the primary </w:t>
            </w:r>
            <w:r w:rsidRPr="005D1ED0">
              <w:rPr>
                <w:rFonts w:hint="eastAsia"/>
                <w:color w:val="000000"/>
                <w:sz w:val="20"/>
                <w:u w:val="single"/>
                <w:lang w:val="en-US" w:eastAsia="ko-KR"/>
              </w:rPr>
              <w:t>1</w:t>
            </w:r>
            <w:r w:rsidRPr="005D1ED0">
              <w:rPr>
                <w:color w:val="000000"/>
                <w:sz w:val="20"/>
                <w:u w:val="single"/>
                <w:lang w:val="en-US" w:eastAsia="ko-KR"/>
              </w:rPr>
              <w:t xml:space="preserve"> MHz channel is busy according to the rules specified in 24.3.18.5.4 </w:t>
            </w:r>
            <w:r>
              <w:rPr>
                <w:rFonts w:hint="eastAsia"/>
                <w:color w:val="000000"/>
                <w:sz w:val="20"/>
                <w:u w:val="single"/>
                <w:lang w:val="en-US" w:eastAsia="ko-KR"/>
              </w:rPr>
              <w:t>(</w:t>
            </w:r>
            <w:r w:rsidRPr="005D1ED0">
              <w:rPr>
                <w:color w:val="000000"/>
                <w:sz w:val="20"/>
                <w:u w:val="single"/>
                <w:lang w:val="en-US" w:eastAsia="ko-KR"/>
              </w:rPr>
              <w:t>CCA sensitivity for signals occupying the Primary 2MHz and/or Primary 1MHz</w:t>
            </w:r>
            <w:r>
              <w:rPr>
                <w:rFonts w:hint="eastAsia"/>
                <w:color w:val="000000"/>
                <w:sz w:val="20"/>
                <w:u w:val="single"/>
                <w:lang w:val="en-US" w:eastAsia="ko-KR"/>
              </w:rPr>
              <w:t xml:space="preserve"> </w:t>
            </w:r>
            <w:r w:rsidRPr="005D1ED0">
              <w:rPr>
                <w:color w:val="000000"/>
                <w:sz w:val="20"/>
                <w:u w:val="single"/>
                <w:lang w:val="en-US" w:eastAsia="ko-KR"/>
              </w:rPr>
              <w:t>Channel</w:t>
            </w:r>
            <w:r>
              <w:rPr>
                <w:rFonts w:hint="eastAsia"/>
                <w:color w:val="000000"/>
                <w:sz w:val="20"/>
                <w:u w:val="single"/>
                <w:lang w:val="en-US" w:eastAsia="ko-KR"/>
              </w:rPr>
              <w:t>).</w:t>
            </w:r>
          </w:p>
        </w:tc>
      </w:tr>
      <w:tr w:rsidR="00C57B2B" w:rsidRPr="00A7354C" w:rsidTr="005D1ED0">
        <w:trPr>
          <w:trHeight w:val="548"/>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5D1ED0" w:rsidRDefault="00C57B2B" w:rsidP="00C57B2B">
            <w:pPr>
              <w:widowControl w:val="0"/>
              <w:suppressAutoHyphens/>
              <w:autoSpaceDE w:val="0"/>
              <w:autoSpaceDN w:val="0"/>
              <w:adjustRightInd w:val="0"/>
              <w:spacing w:line="200" w:lineRule="atLeast"/>
              <w:rPr>
                <w:color w:val="000000"/>
                <w:sz w:val="20"/>
                <w:u w:val="single"/>
                <w:lang w:val="en-US" w:eastAsia="ko-KR"/>
              </w:rPr>
            </w:pPr>
            <w:r w:rsidRPr="005D1ED0">
              <w:rPr>
                <w:rFonts w:hint="eastAsia"/>
                <w:color w:val="000000"/>
                <w:sz w:val="20"/>
                <w:u w:val="single"/>
                <w:lang w:val="en-US" w:eastAsia="ko-KR"/>
              </w:rPr>
              <w:t>primary2</w:t>
            </w:r>
          </w:p>
        </w:tc>
        <w:tc>
          <w:tcPr>
            <w:tcW w:w="6220" w:type="dxa"/>
            <w:tcBorders>
              <w:top w:val="single" w:sz="2" w:space="0" w:color="000000"/>
              <w:left w:val="single" w:sz="2" w:space="0" w:color="000000"/>
              <w:bottom w:val="single" w:sz="2" w:space="0" w:color="000000"/>
              <w:right w:val="single" w:sz="10" w:space="0" w:color="000000"/>
            </w:tcBorders>
          </w:tcPr>
          <w:p w:rsidR="00C57B2B" w:rsidRPr="005D1ED0" w:rsidRDefault="005D1ED0" w:rsidP="005D1ED0">
            <w:pPr>
              <w:widowControl w:val="0"/>
              <w:suppressAutoHyphens/>
              <w:autoSpaceDE w:val="0"/>
              <w:autoSpaceDN w:val="0"/>
              <w:adjustRightInd w:val="0"/>
              <w:spacing w:line="200" w:lineRule="atLeast"/>
              <w:rPr>
                <w:color w:val="000000"/>
                <w:sz w:val="20"/>
                <w:u w:val="single"/>
                <w:lang w:val="en-US" w:eastAsia="ko-KR"/>
              </w:rPr>
            </w:pPr>
            <w:r w:rsidRPr="005D1ED0">
              <w:rPr>
                <w:color w:val="000000"/>
                <w:sz w:val="20"/>
                <w:u w:val="single"/>
                <w:lang w:val="en-US" w:eastAsia="ko-KR"/>
              </w:rPr>
              <w:t xml:space="preserve">For a </w:t>
            </w:r>
            <w:r w:rsidRPr="005D1ED0">
              <w:rPr>
                <w:rFonts w:hint="eastAsia"/>
                <w:color w:val="000000"/>
                <w:sz w:val="20"/>
                <w:u w:val="single"/>
                <w:lang w:val="en-US" w:eastAsia="ko-KR"/>
              </w:rPr>
              <w:t>S1G</w:t>
            </w:r>
            <w:r w:rsidRPr="005D1ED0">
              <w:rPr>
                <w:color w:val="000000"/>
                <w:sz w:val="20"/>
                <w:u w:val="single"/>
                <w:lang w:val="en-US" w:eastAsia="ko-KR"/>
              </w:rPr>
              <w:t xml:space="preserve"> STA, indicates that the primary </w:t>
            </w:r>
            <w:r w:rsidRPr="005D1ED0">
              <w:rPr>
                <w:rFonts w:hint="eastAsia"/>
                <w:color w:val="000000"/>
                <w:sz w:val="20"/>
                <w:u w:val="single"/>
                <w:lang w:val="en-US" w:eastAsia="ko-KR"/>
              </w:rPr>
              <w:t>2</w:t>
            </w:r>
            <w:r w:rsidRPr="005D1ED0">
              <w:rPr>
                <w:color w:val="000000"/>
                <w:sz w:val="20"/>
                <w:u w:val="single"/>
                <w:lang w:val="en-US" w:eastAsia="ko-KR"/>
              </w:rPr>
              <w:t xml:space="preserve"> MHz channel is busy according to the rules specified in 24.3.18.5.4 </w:t>
            </w:r>
            <w:r>
              <w:rPr>
                <w:rFonts w:hint="eastAsia"/>
                <w:color w:val="000000"/>
                <w:sz w:val="20"/>
                <w:u w:val="single"/>
                <w:lang w:val="en-US" w:eastAsia="ko-KR"/>
              </w:rPr>
              <w:t>(</w:t>
            </w:r>
            <w:r w:rsidRPr="005D1ED0">
              <w:rPr>
                <w:color w:val="000000"/>
                <w:sz w:val="20"/>
                <w:u w:val="single"/>
                <w:lang w:val="en-US" w:eastAsia="ko-KR"/>
              </w:rPr>
              <w:t>CCA sensitivity for signals occupying the Primary 2MHz and/or Primary 1MHz</w:t>
            </w:r>
            <w:r>
              <w:rPr>
                <w:rFonts w:hint="eastAsia"/>
                <w:color w:val="000000"/>
                <w:sz w:val="20"/>
                <w:u w:val="single"/>
                <w:lang w:val="en-US" w:eastAsia="ko-KR"/>
              </w:rPr>
              <w:t xml:space="preserve"> </w:t>
            </w:r>
            <w:r w:rsidRPr="005D1ED0">
              <w:rPr>
                <w:color w:val="000000"/>
                <w:sz w:val="20"/>
                <w:u w:val="single"/>
                <w:lang w:val="en-US" w:eastAsia="ko-KR"/>
              </w:rPr>
              <w:t>Channel</w:t>
            </w:r>
            <w:r>
              <w:rPr>
                <w:rFonts w:hint="eastAsia"/>
                <w:color w:val="000000"/>
                <w:sz w:val="20"/>
                <w:u w:val="single"/>
                <w:lang w:val="en-US" w:eastAsia="ko-KR"/>
              </w:rPr>
              <w:t>).</w:t>
            </w:r>
          </w:p>
        </w:tc>
      </w:tr>
      <w:tr w:rsidR="00C57B2B" w:rsidRPr="00A7354C" w:rsidTr="00C57B2B">
        <w:trPr>
          <w:trHeight w:val="442"/>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5D1ED0" w:rsidRDefault="00C57B2B" w:rsidP="00C57B2B">
            <w:pPr>
              <w:widowControl w:val="0"/>
              <w:suppressAutoHyphens/>
              <w:autoSpaceDE w:val="0"/>
              <w:autoSpaceDN w:val="0"/>
              <w:adjustRightInd w:val="0"/>
              <w:spacing w:line="200" w:lineRule="atLeast"/>
              <w:rPr>
                <w:color w:val="000000"/>
                <w:sz w:val="20"/>
                <w:u w:val="single"/>
                <w:lang w:val="en-US" w:eastAsia="ko-KR"/>
              </w:rPr>
            </w:pPr>
            <w:r w:rsidRPr="005D1ED0">
              <w:rPr>
                <w:rFonts w:hint="eastAsia"/>
                <w:color w:val="000000"/>
                <w:sz w:val="20"/>
                <w:u w:val="single"/>
                <w:lang w:val="en-US" w:eastAsia="ko-KR"/>
              </w:rPr>
              <w:t>s</w:t>
            </w:r>
            <w:r w:rsidRPr="005D1ED0">
              <w:rPr>
                <w:color w:val="000000"/>
                <w:sz w:val="20"/>
                <w:u w:val="single"/>
                <w:lang w:val="en-US" w:eastAsia="ko-KR"/>
              </w:rPr>
              <w:t>econdary</w:t>
            </w:r>
            <w:r w:rsidRPr="005D1ED0">
              <w:rPr>
                <w:rFonts w:hint="eastAsia"/>
                <w:color w:val="000000"/>
                <w:sz w:val="20"/>
                <w:u w:val="single"/>
                <w:lang w:val="en-US" w:eastAsia="ko-KR"/>
              </w:rPr>
              <w:t>2</w:t>
            </w:r>
          </w:p>
        </w:tc>
        <w:tc>
          <w:tcPr>
            <w:tcW w:w="6220" w:type="dxa"/>
            <w:tcBorders>
              <w:top w:val="single" w:sz="2" w:space="0" w:color="000000"/>
              <w:left w:val="single" w:sz="2" w:space="0" w:color="000000"/>
              <w:bottom w:val="single" w:sz="2" w:space="0" w:color="000000"/>
              <w:right w:val="single" w:sz="10" w:space="0" w:color="000000"/>
            </w:tcBorders>
          </w:tcPr>
          <w:p w:rsidR="00C57B2B" w:rsidRPr="005D1ED0" w:rsidRDefault="005D1ED0" w:rsidP="005D1ED0">
            <w:pPr>
              <w:widowControl w:val="0"/>
              <w:suppressAutoHyphens/>
              <w:autoSpaceDE w:val="0"/>
              <w:autoSpaceDN w:val="0"/>
              <w:adjustRightInd w:val="0"/>
              <w:spacing w:line="200" w:lineRule="atLeast"/>
              <w:rPr>
                <w:color w:val="000000"/>
                <w:sz w:val="20"/>
                <w:u w:val="single"/>
                <w:lang w:val="en-US" w:eastAsia="ko-KR"/>
              </w:rPr>
            </w:pPr>
            <w:r w:rsidRPr="005D1ED0">
              <w:rPr>
                <w:color w:val="000000"/>
                <w:sz w:val="20"/>
                <w:u w:val="single"/>
                <w:lang w:val="en-US" w:eastAsia="ko-KR"/>
              </w:rPr>
              <w:t xml:space="preserve">For an S1G STA, indicates that the secondary </w:t>
            </w:r>
            <w:r w:rsidRPr="005D1ED0">
              <w:rPr>
                <w:rFonts w:hint="eastAsia"/>
                <w:color w:val="000000"/>
                <w:sz w:val="20"/>
                <w:u w:val="single"/>
                <w:lang w:val="en-US" w:eastAsia="ko-KR"/>
              </w:rPr>
              <w:t xml:space="preserve">2 </w:t>
            </w:r>
            <w:r w:rsidRPr="005D1ED0">
              <w:rPr>
                <w:color w:val="000000"/>
                <w:sz w:val="20"/>
                <w:u w:val="single"/>
                <w:lang w:val="en-US" w:eastAsia="ko-KR"/>
              </w:rPr>
              <w:t xml:space="preserve">MHz channel is busy according to the rules specified in 24.3.18.5.5 </w:t>
            </w:r>
            <w:r>
              <w:rPr>
                <w:rFonts w:hint="eastAsia"/>
                <w:color w:val="000000"/>
                <w:sz w:val="20"/>
                <w:u w:val="single"/>
                <w:lang w:val="en-US" w:eastAsia="ko-KR"/>
              </w:rPr>
              <w:t>(</w:t>
            </w:r>
            <w:r w:rsidRPr="005D1ED0">
              <w:rPr>
                <w:color w:val="000000"/>
                <w:sz w:val="20"/>
                <w:u w:val="single"/>
                <w:lang w:val="en-US" w:eastAsia="ko-KR"/>
              </w:rPr>
              <w:t>CCA sensitivity for signals not occupying the primary 2MHz channel</w:t>
            </w:r>
            <w:r>
              <w:rPr>
                <w:rFonts w:hint="eastAsia"/>
                <w:color w:val="000000"/>
                <w:sz w:val="20"/>
                <w:u w:val="single"/>
                <w:lang w:val="en-US" w:eastAsia="ko-KR"/>
              </w:rPr>
              <w:t>).</w:t>
            </w:r>
          </w:p>
        </w:tc>
      </w:tr>
      <w:tr w:rsidR="00C57B2B" w:rsidRPr="00A7354C" w:rsidTr="00C57B2B">
        <w:trPr>
          <w:trHeight w:val="442"/>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5D1ED0" w:rsidRDefault="00C57B2B" w:rsidP="00C57B2B">
            <w:pPr>
              <w:widowControl w:val="0"/>
              <w:suppressAutoHyphens/>
              <w:autoSpaceDE w:val="0"/>
              <w:autoSpaceDN w:val="0"/>
              <w:adjustRightInd w:val="0"/>
              <w:spacing w:line="200" w:lineRule="atLeast"/>
              <w:rPr>
                <w:color w:val="000000"/>
                <w:sz w:val="20"/>
                <w:u w:val="single"/>
                <w:lang w:val="en-US" w:eastAsia="ko-KR"/>
              </w:rPr>
            </w:pPr>
            <w:r w:rsidRPr="005D1ED0">
              <w:rPr>
                <w:rFonts w:hint="eastAsia"/>
                <w:color w:val="000000"/>
                <w:sz w:val="20"/>
                <w:u w:val="single"/>
                <w:lang w:val="en-US" w:eastAsia="ko-KR"/>
              </w:rPr>
              <w:t>secondary4</w:t>
            </w:r>
          </w:p>
        </w:tc>
        <w:tc>
          <w:tcPr>
            <w:tcW w:w="6220" w:type="dxa"/>
            <w:tcBorders>
              <w:top w:val="single" w:sz="2" w:space="0" w:color="000000"/>
              <w:left w:val="single" w:sz="2" w:space="0" w:color="000000"/>
              <w:bottom w:val="single" w:sz="2" w:space="0" w:color="000000"/>
              <w:right w:val="single" w:sz="10" w:space="0" w:color="000000"/>
            </w:tcBorders>
          </w:tcPr>
          <w:p w:rsidR="00C57B2B" w:rsidRPr="005D1ED0" w:rsidRDefault="005D1ED0" w:rsidP="005D1ED0">
            <w:pPr>
              <w:widowControl w:val="0"/>
              <w:suppressAutoHyphens/>
              <w:autoSpaceDE w:val="0"/>
              <w:autoSpaceDN w:val="0"/>
              <w:adjustRightInd w:val="0"/>
              <w:spacing w:line="200" w:lineRule="atLeast"/>
              <w:rPr>
                <w:color w:val="000000"/>
                <w:sz w:val="20"/>
                <w:u w:val="single"/>
                <w:lang w:val="en-US" w:eastAsia="ko-KR"/>
              </w:rPr>
            </w:pPr>
            <w:r w:rsidRPr="005D1ED0">
              <w:rPr>
                <w:color w:val="000000"/>
                <w:sz w:val="20"/>
                <w:u w:val="single"/>
                <w:lang w:val="en-US" w:eastAsia="ko-KR"/>
              </w:rPr>
              <w:t xml:space="preserve">For an S1G STA, indicates that the secondary </w:t>
            </w:r>
            <w:r w:rsidRPr="005D1ED0">
              <w:rPr>
                <w:rFonts w:hint="eastAsia"/>
                <w:color w:val="000000"/>
                <w:sz w:val="20"/>
                <w:u w:val="single"/>
                <w:lang w:val="en-US" w:eastAsia="ko-KR"/>
              </w:rPr>
              <w:t xml:space="preserve">4 </w:t>
            </w:r>
            <w:r w:rsidRPr="005D1ED0">
              <w:rPr>
                <w:color w:val="000000"/>
                <w:sz w:val="20"/>
                <w:u w:val="single"/>
                <w:lang w:val="en-US" w:eastAsia="ko-KR"/>
              </w:rPr>
              <w:t xml:space="preserve">MHz channel is busy according to the rules specified in 24.3.18.5.5 </w:t>
            </w:r>
            <w:r>
              <w:rPr>
                <w:rFonts w:hint="eastAsia"/>
                <w:color w:val="000000"/>
                <w:sz w:val="20"/>
                <w:u w:val="single"/>
                <w:lang w:val="en-US" w:eastAsia="ko-KR"/>
              </w:rPr>
              <w:t>(</w:t>
            </w:r>
            <w:r w:rsidRPr="005D1ED0">
              <w:rPr>
                <w:color w:val="000000"/>
                <w:sz w:val="20"/>
                <w:u w:val="single"/>
                <w:lang w:val="en-US" w:eastAsia="ko-KR"/>
              </w:rPr>
              <w:t>CCA sensitivity for signals not occupying the primary 2MHz channel</w:t>
            </w:r>
            <w:r>
              <w:rPr>
                <w:rFonts w:hint="eastAsia"/>
                <w:color w:val="000000"/>
                <w:sz w:val="20"/>
                <w:u w:val="single"/>
                <w:lang w:val="en-US" w:eastAsia="ko-KR"/>
              </w:rPr>
              <w:t>).</w:t>
            </w:r>
          </w:p>
        </w:tc>
      </w:tr>
      <w:tr w:rsidR="00C57B2B" w:rsidRPr="00A7354C" w:rsidTr="00C57B2B">
        <w:trPr>
          <w:trHeight w:val="442"/>
          <w:jc w:val="center"/>
        </w:trPr>
        <w:tc>
          <w:tcPr>
            <w:tcW w:w="2060" w:type="dxa"/>
            <w:tcBorders>
              <w:top w:val="single" w:sz="2" w:space="0" w:color="000000"/>
              <w:left w:val="single" w:sz="10" w:space="0" w:color="000000"/>
              <w:bottom w:val="single" w:sz="2" w:space="0" w:color="000000"/>
              <w:right w:val="single" w:sz="2" w:space="0" w:color="000000"/>
            </w:tcBorders>
          </w:tcPr>
          <w:p w:rsidR="00C57B2B" w:rsidRPr="005D1ED0" w:rsidRDefault="00C57B2B" w:rsidP="00C57B2B">
            <w:pPr>
              <w:widowControl w:val="0"/>
              <w:suppressAutoHyphens/>
              <w:autoSpaceDE w:val="0"/>
              <w:autoSpaceDN w:val="0"/>
              <w:adjustRightInd w:val="0"/>
              <w:spacing w:line="200" w:lineRule="atLeast"/>
              <w:rPr>
                <w:color w:val="000000"/>
                <w:sz w:val="20"/>
                <w:u w:val="single"/>
                <w:lang w:val="en-US" w:eastAsia="ko-KR"/>
              </w:rPr>
            </w:pPr>
            <w:r w:rsidRPr="005D1ED0">
              <w:rPr>
                <w:rFonts w:hint="eastAsia"/>
                <w:color w:val="000000"/>
                <w:sz w:val="20"/>
                <w:u w:val="single"/>
                <w:lang w:val="en-US" w:eastAsia="ko-KR"/>
              </w:rPr>
              <w:t>secondary8</w:t>
            </w:r>
          </w:p>
        </w:tc>
        <w:tc>
          <w:tcPr>
            <w:tcW w:w="6220" w:type="dxa"/>
            <w:tcBorders>
              <w:top w:val="single" w:sz="2" w:space="0" w:color="000000"/>
              <w:left w:val="single" w:sz="2" w:space="0" w:color="000000"/>
              <w:bottom w:val="single" w:sz="2" w:space="0" w:color="000000"/>
              <w:right w:val="single" w:sz="10" w:space="0" w:color="000000"/>
            </w:tcBorders>
          </w:tcPr>
          <w:p w:rsidR="00C57B2B" w:rsidRPr="005D1ED0" w:rsidRDefault="005D1ED0" w:rsidP="005D1ED0">
            <w:pPr>
              <w:widowControl w:val="0"/>
              <w:suppressAutoHyphens/>
              <w:autoSpaceDE w:val="0"/>
              <w:autoSpaceDN w:val="0"/>
              <w:adjustRightInd w:val="0"/>
              <w:spacing w:line="200" w:lineRule="atLeast"/>
              <w:rPr>
                <w:color w:val="000000"/>
                <w:sz w:val="20"/>
                <w:u w:val="single"/>
                <w:lang w:val="en-US" w:eastAsia="ko-KR"/>
              </w:rPr>
            </w:pPr>
            <w:r w:rsidRPr="005D1ED0">
              <w:rPr>
                <w:color w:val="000000"/>
                <w:sz w:val="20"/>
                <w:u w:val="single"/>
                <w:lang w:val="en-US" w:eastAsia="ko-KR"/>
              </w:rPr>
              <w:t xml:space="preserve">For an S1G STA, indicates that the secondary </w:t>
            </w:r>
            <w:r w:rsidRPr="005D1ED0">
              <w:rPr>
                <w:rFonts w:hint="eastAsia"/>
                <w:color w:val="000000"/>
                <w:sz w:val="20"/>
                <w:u w:val="single"/>
                <w:lang w:val="en-US" w:eastAsia="ko-KR"/>
              </w:rPr>
              <w:t xml:space="preserve">8 </w:t>
            </w:r>
            <w:r w:rsidRPr="005D1ED0">
              <w:rPr>
                <w:color w:val="000000"/>
                <w:sz w:val="20"/>
                <w:u w:val="single"/>
                <w:lang w:val="en-US" w:eastAsia="ko-KR"/>
              </w:rPr>
              <w:t xml:space="preserve">MHz channel is busy according to the rules specified in 24.3.18.5.5 </w:t>
            </w:r>
            <w:r>
              <w:rPr>
                <w:rFonts w:hint="eastAsia"/>
                <w:color w:val="000000"/>
                <w:sz w:val="20"/>
                <w:u w:val="single"/>
                <w:lang w:val="en-US" w:eastAsia="ko-KR"/>
              </w:rPr>
              <w:t>(</w:t>
            </w:r>
            <w:r w:rsidRPr="005D1ED0">
              <w:rPr>
                <w:color w:val="000000"/>
                <w:sz w:val="20"/>
                <w:u w:val="single"/>
                <w:lang w:val="en-US" w:eastAsia="ko-KR"/>
              </w:rPr>
              <w:t>CCA sensitivity for signals not occupying the primary 2MHz channel</w:t>
            </w:r>
            <w:r>
              <w:rPr>
                <w:rFonts w:hint="eastAsia"/>
                <w:color w:val="000000"/>
                <w:sz w:val="20"/>
                <w:u w:val="single"/>
                <w:lang w:val="en-US" w:eastAsia="ko-KR"/>
              </w:rPr>
              <w:t>).</w:t>
            </w:r>
          </w:p>
        </w:tc>
      </w:tr>
    </w:tbl>
    <w:p w:rsidR="00A7354C" w:rsidRDefault="00A7354C" w:rsidP="0076063E">
      <w:pPr>
        <w:widowControl w:val="0"/>
        <w:autoSpaceDE w:val="0"/>
        <w:autoSpaceDN w:val="0"/>
        <w:adjustRightInd w:val="0"/>
        <w:rPr>
          <w:sz w:val="20"/>
          <w:lang w:val="en-US" w:eastAsia="ko-KR"/>
        </w:rPr>
      </w:pPr>
    </w:p>
    <w:p w:rsidR="00753F20" w:rsidRDefault="00753F20" w:rsidP="00753F20">
      <w:pPr>
        <w:widowControl w:val="0"/>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 xml:space="preserve">Insert the following paragraph and Figure at the end of the </w:t>
      </w:r>
      <w:proofErr w:type="spellStart"/>
      <w:r>
        <w:rPr>
          <w:rFonts w:ascii="TimesNewRomanPS-BoldItalicMT" w:hAnsi="TimesNewRomanPS-BoldItalicMT" w:cs="TimesNewRomanPS-BoldItalicMT"/>
          <w:b/>
          <w:bCs/>
          <w:i/>
          <w:iCs/>
          <w:sz w:val="20"/>
          <w:lang w:val="en-US" w:eastAsia="ko-KR"/>
        </w:rPr>
        <w:t>subclause</w:t>
      </w:r>
      <w:proofErr w:type="spellEnd"/>
      <w:r>
        <w:rPr>
          <w:rFonts w:ascii="TimesNewRomanPS-BoldItalicMT" w:hAnsi="TimesNewRomanPS-BoldItalicMT" w:cs="TimesNewRomanPS-BoldItalicMT"/>
          <w:b/>
          <w:bCs/>
          <w:i/>
          <w:iCs/>
          <w:sz w:val="20"/>
          <w:lang w:val="en-US" w:eastAsia="ko-KR"/>
        </w:rPr>
        <w:t xml:space="preserve"> 7.3.5.11.2 of </w:t>
      </w:r>
      <w:proofErr w:type="spellStart"/>
      <w:r>
        <w:rPr>
          <w:rFonts w:ascii="TimesNewRomanPS-BoldItalicMT" w:hAnsi="TimesNewRomanPS-BoldItalicMT" w:cs="TimesNewRomanPS-BoldItalicMT"/>
          <w:b/>
          <w:bCs/>
          <w:i/>
          <w:iCs/>
          <w:sz w:val="20"/>
          <w:lang w:val="en-US" w:eastAsia="ko-KR"/>
        </w:rPr>
        <w:t>TGac</w:t>
      </w:r>
      <w:proofErr w:type="spellEnd"/>
      <w:r>
        <w:rPr>
          <w:rFonts w:ascii="TimesNewRomanPS-BoldItalicMT" w:hAnsi="TimesNewRomanPS-BoldItalicMT" w:cs="TimesNewRomanPS-BoldItalicMT"/>
          <w:b/>
          <w:bCs/>
          <w:i/>
          <w:iCs/>
          <w:sz w:val="20"/>
          <w:lang w:val="en-US" w:eastAsia="ko-KR"/>
        </w:rPr>
        <w:t xml:space="preserve"> D5.0 as follows:</w:t>
      </w:r>
    </w:p>
    <w:p w:rsidR="00753F20" w:rsidRDefault="00753F20" w:rsidP="00753F20">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For a S1G STA, the relationship of the channel-list parameter elements to the 1</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MHz,</w:t>
      </w:r>
      <w:r w:rsidRPr="00693202">
        <w:rPr>
          <w:rFonts w:ascii="TimesNewRomanPSMT" w:hAnsi="TimesNewRomanPSMT" w:cs="TimesNewRomanPSMT"/>
          <w:sz w:val="20"/>
          <w:u w:val="single"/>
          <w:lang w:val="en-US" w:eastAsia="ko-KR"/>
        </w:rPr>
        <w:t xml:space="preserve"> </w:t>
      </w:r>
      <w:r w:rsidR="00693202" w:rsidRPr="00693202">
        <w:rPr>
          <w:rFonts w:ascii="TimesNewRomanPSMT" w:hAnsi="TimesNewRomanPSMT" w:cs="TimesNewRomanPSMT" w:hint="eastAsia"/>
          <w:sz w:val="20"/>
          <w:u w:val="single"/>
          <w:lang w:val="en-US" w:eastAsia="ko-KR"/>
        </w:rPr>
        <w:t>2 MHz,</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4 MHz, 8 MHz and 16</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MHz BSS operating channel is illustrated by example in Figure 7-1a (The channel-list parameter elements</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to the 1</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MHz, </w:t>
      </w:r>
      <w:r w:rsidR="00693202" w:rsidRPr="00693202">
        <w:rPr>
          <w:rFonts w:ascii="TimesNewRomanPSMT" w:hAnsi="TimesNewRomanPSMT" w:cs="TimesNewRomanPSMT" w:hint="eastAsia"/>
          <w:sz w:val="20"/>
          <w:u w:val="single"/>
          <w:lang w:val="en-US" w:eastAsia="ko-KR"/>
        </w:rPr>
        <w:t>2 MHz,</w:t>
      </w:r>
      <w:r w:rsidR="00693202">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4 MHz, 8 MHz and 16 MHz channel width).</w:t>
      </w:r>
    </w:p>
    <w:p w:rsidR="009237A3" w:rsidRDefault="009237A3" w:rsidP="00693202">
      <w:pPr>
        <w:widowControl w:val="0"/>
        <w:autoSpaceDE w:val="0"/>
        <w:autoSpaceDN w:val="0"/>
        <w:adjustRightInd w:val="0"/>
        <w:rPr>
          <w:sz w:val="20"/>
          <w:lang w:val="en-US" w:eastAsia="ko-KR"/>
        </w:rPr>
      </w:pPr>
    </w:p>
    <w:p w:rsidR="009237A3" w:rsidRDefault="009237A3" w:rsidP="009237A3">
      <w:pPr>
        <w:widowControl w:val="0"/>
        <w:autoSpaceDE w:val="0"/>
        <w:autoSpaceDN w:val="0"/>
        <w:adjustRightInd w:val="0"/>
        <w:rPr>
          <w:rFonts w:ascii="TimesNewRomanPS-BoldItalicMT" w:hAnsi="TimesNewRomanPS-BoldItalicMT" w:cs="TimesNewRomanPS-BoldItalicMT"/>
          <w:b/>
          <w:bCs/>
          <w:i/>
          <w:iCs/>
          <w:sz w:val="20"/>
          <w:lang w:val="en-US" w:eastAsia="ko-KR"/>
        </w:rPr>
      </w:pPr>
      <w:proofErr w:type="spellStart"/>
      <w:r>
        <w:rPr>
          <w:rFonts w:ascii="TimesNewRomanPS-BoldItalicMT" w:hAnsi="TimesNewRomanPS-BoldItalicMT" w:cs="TimesNewRomanPS-BoldItalicMT" w:hint="eastAsia"/>
          <w:b/>
          <w:bCs/>
          <w:i/>
          <w:iCs/>
          <w:sz w:val="20"/>
          <w:lang w:val="en-US" w:eastAsia="ko-KR"/>
        </w:rPr>
        <w:t>ReplaceFigure</w:t>
      </w:r>
      <w:proofErr w:type="spellEnd"/>
      <w:r>
        <w:rPr>
          <w:rFonts w:ascii="TimesNewRomanPS-BoldItalicMT" w:hAnsi="TimesNewRomanPS-BoldItalicMT" w:cs="TimesNewRomanPS-BoldItalicMT" w:hint="eastAsia"/>
          <w:b/>
          <w:bCs/>
          <w:i/>
          <w:iCs/>
          <w:sz w:val="20"/>
          <w:lang w:val="en-US" w:eastAsia="ko-KR"/>
        </w:rPr>
        <w:t xml:space="preserve"> 7-1a with </w:t>
      </w:r>
      <w:r>
        <w:rPr>
          <w:rFonts w:ascii="TimesNewRomanPS-BoldItalicMT" w:hAnsi="TimesNewRomanPS-BoldItalicMT" w:cs="TimesNewRomanPS-BoldItalicMT"/>
          <w:b/>
          <w:bCs/>
          <w:i/>
          <w:iCs/>
          <w:sz w:val="20"/>
          <w:lang w:val="en-US" w:eastAsia="ko-KR"/>
        </w:rPr>
        <w:t xml:space="preserve">the </w:t>
      </w:r>
      <w:proofErr w:type="spellStart"/>
      <w:r>
        <w:rPr>
          <w:rFonts w:ascii="TimesNewRomanPS-BoldItalicMT" w:hAnsi="TimesNewRomanPS-BoldItalicMT" w:cs="TimesNewRomanPS-BoldItalicMT"/>
          <w:b/>
          <w:bCs/>
          <w:i/>
          <w:iCs/>
          <w:sz w:val="20"/>
          <w:lang w:val="en-US" w:eastAsia="ko-KR"/>
        </w:rPr>
        <w:t>following</w:t>
      </w:r>
      <w:r>
        <w:rPr>
          <w:rFonts w:ascii="TimesNewRomanPS-BoldItalicMT" w:hAnsi="TimesNewRomanPS-BoldItalicMT" w:cs="TimesNewRomanPS-BoldItalicMT" w:hint="eastAsia"/>
          <w:b/>
          <w:bCs/>
          <w:i/>
          <w:iCs/>
          <w:sz w:val="20"/>
          <w:lang w:val="en-US" w:eastAsia="ko-KR"/>
        </w:rPr>
        <w:t>figure</w:t>
      </w:r>
      <w:proofErr w:type="spellEnd"/>
      <w:r>
        <w:rPr>
          <w:rFonts w:ascii="TimesNewRomanPS-BoldItalicMT" w:hAnsi="TimesNewRomanPS-BoldItalicMT" w:cs="TimesNewRomanPS-BoldItalicMT"/>
          <w:b/>
          <w:bCs/>
          <w:i/>
          <w:iCs/>
          <w:sz w:val="20"/>
          <w:lang w:val="en-US" w:eastAsia="ko-KR"/>
        </w:rPr>
        <w:t>:</w:t>
      </w:r>
    </w:p>
    <w:p w:rsidR="009237A3" w:rsidRPr="009237A3" w:rsidRDefault="009237A3" w:rsidP="00693202">
      <w:pPr>
        <w:widowControl w:val="0"/>
        <w:autoSpaceDE w:val="0"/>
        <w:autoSpaceDN w:val="0"/>
        <w:adjustRightInd w:val="0"/>
        <w:rPr>
          <w:sz w:val="20"/>
          <w:lang w:val="en-US" w:eastAsia="ko-KR"/>
        </w:rPr>
      </w:pPr>
    </w:p>
    <w:p w:rsidR="003D5690" w:rsidRDefault="005747C5" w:rsidP="003D5690">
      <w:pPr>
        <w:widowControl w:val="0"/>
        <w:autoSpaceDE w:val="0"/>
        <w:autoSpaceDN w:val="0"/>
        <w:adjustRightInd w:val="0"/>
        <w:jc w:val="center"/>
        <w:rPr>
          <w:sz w:val="20"/>
          <w:lang w:val="en-US" w:eastAsia="ko-KR"/>
        </w:rPr>
      </w:pPr>
      <w:r>
        <w:object w:dxaOrig="8333" w:dyaOrig="5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22.6pt" o:ole="">
            <v:imagedata r:id="rId9" o:title=""/>
          </v:shape>
          <o:OLEObject Type="Embed" ProgID="Visio.Drawing.11" ShapeID="_x0000_i1025" DrawAspect="Content" ObjectID="_1448377598" r:id="rId10"/>
        </w:object>
      </w:r>
    </w:p>
    <w:p w:rsidR="00B144F2" w:rsidRDefault="009237A3" w:rsidP="009237A3">
      <w:pPr>
        <w:widowControl w:val="0"/>
        <w:autoSpaceDE w:val="0"/>
        <w:autoSpaceDN w:val="0"/>
        <w:adjustRightInd w:val="0"/>
        <w:jc w:val="center"/>
        <w:rPr>
          <w:rFonts w:ascii="Arial-BoldMT" w:hAnsi="Arial-BoldMT" w:cs="Arial-BoldMT"/>
          <w:b/>
          <w:bCs/>
          <w:sz w:val="18"/>
          <w:szCs w:val="18"/>
          <w:lang w:val="en-US" w:eastAsia="ko-KR"/>
        </w:rPr>
      </w:pPr>
      <w:r w:rsidRPr="009237A3">
        <w:rPr>
          <w:rFonts w:ascii="Arial-BoldMT" w:hAnsi="Arial-BoldMT" w:cs="Arial-BoldMT"/>
          <w:b/>
          <w:bCs/>
          <w:sz w:val="18"/>
          <w:szCs w:val="18"/>
          <w:lang w:val="en-US" w:eastAsia="ko-KR"/>
        </w:rPr>
        <w:t>Figure 7-1a—</w:t>
      </w:r>
      <w:proofErr w:type="gramStart"/>
      <w:r w:rsidRPr="009237A3">
        <w:rPr>
          <w:rFonts w:ascii="Arial-BoldMT" w:hAnsi="Arial-BoldMT" w:cs="Arial-BoldMT"/>
          <w:b/>
          <w:bCs/>
          <w:sz w:val="18"/>
          <w:szCs w:val="18"/>
          <w:lang w:val="en-US" w:eastAsia="ko-KR"/>
        </w:rPr>
        <w:t>The</w:t>
      </w:r>
      <w:proofErr w:type="gramEnd"/>
      <w:r w:rsidRPr="009237A3">
        <w:rPr>
          <w:rFonts w:ascii="Arial-BoldMT" w:hAnsi="Arial-BoldMT" w:cs="Arial-BoldMT"/>
          <w:b/>
          <w:bCs/>
          <w:sz w:val="18"/>
          <w:szCs w:val="18"/>
          <w:lang w:val="en-US" w:eastAsia="ko-KR"/>
        </w:rPr>
        <w:t xml:space="preserve"> channel-list parameter elements to the 1MHz, </w:t>
      </w:r>
      <w:r w:rsidR="00284B78" w:rsidRPr="00284B78">
        <w:rPr>
          <w:rFonts w:ascii="Arial-BoldMT" w:hAnsi="Arial-BoldMT" w:cs="Arial-BoldMT" w:hint="eastAsia"/>
          <w:b/>
          <w:bCs/>
          <w:sz w:val="18"/>
          <w:szCs w:val="18"/>
          <w:u w:val="single"/>
          <w:lang w:val="en-US" w:eastAsia="ko-KR"/>
        </w:rPr>
        <w:t xml:space="preserve">2 MHz, </w:t>
      </w:r>
      <w:r w:rsidRPr="009237A3">
        <w:rPr>
          <w:rFonts w:ascii="Arial-BoldMT" w:hAnsi="Arial-BoldMT" w:cs="Arial-BoldMT"/>
          <w:b/>
          <w:bCs/>
          <w:sz w:val="18"/>
          <w:szCs w:val="18"/>
          <w:lang w:val="en-US" w:eastAsia="ko-KR"/>
        </w:rPr>
        <w:t>4 MHz, 8 MHz and 16 MHz</w:t>
      </w:r>
      <w:r w:rsidRPr="009237A3">
        <w:rPr>
          <w:rFonts w:ascii="Arial-BoldMT" w:hAnsi="Arial-BoldMT" w:cs="Arial-BoldMT" w:hint="eastAsia"/>
          <w:b/>
          <w:bCs/>
          <w:sz w:val="18"/>
          <w:szCs w:val="18"/>
          <w:lang w:val="en-US" w:eastAsia="ko-KR"/>
        </w:rPr>
        <w:t xml:space="preserve"> </w:t>
      </w:r>
      <w:r w:rsidRPr="009237A3">
        <w:rPr>
          <w:rFonts w:ascii="Arial-BoldMT" w:hAnsi="Arial-BoldMT" w:cs="Arial-BoldMT"/>
          <w:b/>
          <w:bCs/>
          <w:sz w:val="18"/>
          <w:szCs w:val="18"/>
          <w:lang w:val="en-US" w:eastAsia="ko-KR"/>
        </w:rPr>
        <w:t>channel width</w:t>
      </w:r>
    </w:p>
    <w:p w:rsidR="00B144F2" w:rsidRDefault="00B144F2" w:rsidP="009237A3">
      <w:pPr>
        <w:widowControl w:val="0"/>
        <w:autoSpaceDE w:val="0"/>
        <w:autoSpaceDN w:val="0"/>
        <w:adjustRightInd w:val="0"/>
        <w:jc w:val="center"/>
        <w:rPr>
          <w:rFonts w:ascii="Arial-BoldMT" w:hAnsi="Arial-BoldMT" w:cs="Arial-BoldMT"/>
          <w:b/>
          <w:bCs/>
          <w:sz w:val="18"/>
          <w:szCs w:val="18"/>
          <w:lang w:val="en-US" w:eastAsia="ko-KR"/>
        </w:rPr>
      </w:pPr>
    </w:p>
    <w:p w:rsidR="00B144F2" w:rsidRPr="00C83044" w:rsidRDefault="00B144F2" w:rsidP="00B144F2">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2152B2">
        <w:rPr>
          <w:rFonts w:hint="eastAsia"/>
          <w:b/>
          <w:i/>
          <w:lang w:eastAsia="ko-KR"/>
        </w:rPr>
        <w:t xml:space="preserve">9.20.2.9 </w:t>
      </w:r>
      <w:r w:rsidRPr="00C83044">
        <w:rPr>
          <w:rFonts w:hint="eastAsia"/>
          <w:b/>
          <w:i/>
          <w:lang w:eastAsia="ko-KR"/>
        </w:rPr>
        <w:t xml:space="preserve">as the following: </w:t>
      </w:r>
    </w:p>
    <w:p w:rsidR="00B144F2" w:rsidRDefault="00B144F2" w:rsidP="00B144F2">
      <w:pPr>
        <w:rPr>
          <w:szCs w:val="22"/>
          <w:lang w:eastAsia="ko-KR"/>
        </w:rPr>
      </w:pPr>
    </w:p>
    <w:p w:rsidR="002152B2" w:rsidRPr="002152B2" w:rsidRDefault="002152B2" w:rsidP="00B144F2">
      <w:pPr>
        <w:widowControl w:val="0"/>
        <w:autoSpaceDE w:val="0"/>
        <w:autoSpaceDN w:val="0"/>
        <w:adjustRightInd w:val="0"/>
        <w:rPr>
          <w:b/>
          <w:szCs w:val="22"/>
          <w:lang w:val="en-US" w:eastAsia="ko-KR"/>
        </w:rPr>
      </w:pPr>
      <w:r w:rsidRPr="002152B2">
        <w:rPr>
          <w:b/>
          <w:bCs/>
          <w:szCs w:val="22"/>
          <w:lang w:val="en-US" w:eastAsia="ko-KR"/>
        </w:rPr>
        <w:t>9.20.2.9 EDCA channel access in an S1G BSS</w:t>
      </w:r>
    </w:p>
    <w:p w:rsidR="002152B2" w:rsidRPr="002152B2" w:rsidRDefault="00B144F2" w:rsidP="002152B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color w:val="000000"/>
          <w:sz w:val="20"/>
          <w:lang w:val="en-US" w:eastAsia="ko-KR"/>
        </w:rPr>
      </w:pPr>
      <w:r w:rsidRPr="003266AB">
        <w:rPr>
          <w:b/>
          <w:bCs/>
          <w:i/>
          <w:iCs/>
          <w:color w:val="000000"/>
          <w:sz w:val="20"/>
          <w:lang w:val="en-US" w:eastAsia="ko-KR"/>
        </w:rPr>
        <w:t xml:space="preserve">Change the following </w:t>
      </w:r>
      <w:r w:rsidR="002152B2">
        <w:rPr>
          <w:rFonts w:hint="eastAsia"/>
          <w:b/>
          <w:bCs/>
          <w:i/>
          <w:iCs/>
          <w:color w:val="000000"/>
          <w:sz w:val="20"/>
          <w:lang w:val="en-US" w:eastAsia="ko-KR"/>
        </w:rPr>
        <w:t xml:space="preserve">table (Table 9-20a) </w:t>
      </w:r>
      <w:r w:rsidRPr="003266AB">
        <w:rPr>
          <w:b/>
          <w:bCs/>
          <w:i/>
          <w:iCs/>
          <w:color w:val="000000"/>
          <w:sz w:val="20"/>
          <w:lang w:val="en-US" w:eastAsia="ko-KR"/>
        </w:rPr>
        <w:t>as follows:</w:t>
      </w:r>
    </w:p>
    <w:tbl>
      <w:tblPr>
        <w:tblW w:w="0" w:type="auto"/>
        <w:jc w:val="center"/>
        <w:tblLayout w:type="fixed"/>
        <w:tblCellMar>
          <w:left w:w="10" w:type="dxa"/>
          <w:right w:w="10" w:type="dxa"/>
        </w:tblCellMar>
        <w:tblLook w:val="0000"/>
      </w:tblPr>
      <w:tblGrid>
        <w:gridCol w:w="2000"/>
        <w:gridCol w:w="6180"/>
      </w:tblGrid>
      <w:tr w:rsidR="002152B2" w:rsidRPr="002152B2" w:rsidTr="002152B2">
        <w:trPr>
          <w:jc w:val="center"/>
        </w:trPr>
        <w:tc>
          <w:tcPr>
            <w:tcW w:w="8180" w:type="dxa"/>
            <w:gridSpan w:val="2"/>
            <w:tcBorders>
              <w:top w:val="nil"/>
              <w:left w:val="nil"/>
              <w:bottom w:val="nil"/>
              <w:right w:val="nil"/>
            </w:tcBorders>
            <w:vAlign w:val="center"/>
          </w:tcPr>
          <w:p w:rsidR="002152B2" w:rsidRPr="002152B2" w:rsidRDefault="002152B2" w:rsidP="002152B2">
            <w:pPr>
              <w:widowControl w:val="0"/>
              <w:suppressAutoHyphens/>
              <w:autoSpaceDE w:val="0"/>
              <w:autoSpaceDN w:val="0"/>
              <w:adjustRightInd w:val="0"/>
              <w:spacing w:line="240" w:lineRule="atLeast"/>
              <w:jc w:val="center"/>
              <w:rPr>
                <w:b/>
                <w:bCs/>
                <w:color w:val="000000"/>
                <w:sz w:val="20"/>
                <w:lang w:val="en-US" w:eastAsia="ko-KR"/>
              </w:rPr>
            </w:pPr>
            <w:r w:rsidRPr="002152B2">
              <w:rPr>
                <w:b/>
                <w:bCs/>
                <w:sz w:val="20"/>
                <w:lang w:val="en-US" w:eastAsia="ko-KR"/>
              </w:rPr>
              <w:t>Table 9-20a—Channels indicated idle by the channel-list parameter</w:t>
            </w:r>
          </w:p>
        </w:tc>
      </w:tr>
      <w:tr w:rsidR="002152B2" w:rsidRPr="002152B2" w:rsidTr="002152B2">
        <w:trPr>
          <w:trHeight w:val="640"/>
          <w:jc w:val="center"/>
        </w:trPr>
        <w:tc>
          <w:tcPr>
            <w:tcW w:w="2000" w:type="dxa"/>
            <w:tcBorders>
              <w:top w:val="single" w:sz="10" w:space="0" w:color="000000"/>
              <w:left w:val="single" w:sz="10" w:space="0" w:color="000000"/>
              <w:bottom w:val="single" w:sz="10" w:space="0" w:color="000000"/>
              <w:right w:val="single" w:sz="2" w:space="0" w:color="000000"/>
            </w:tcBorders>
            <w:vAlign w:val="center"/>
          </w:tcPr>
          <w:p w:rsidR="002152B2" w:rsidRPr="002152B2" w:rsidRDefault="002152B2" w:rsidP="002152B2">
            <w:pPr>
              <w:widowControl w:val="0"/>
              <w:suppressAutoHyphens/>
              <w:autoSpaceDE w:val="0"/>
              <w:autoSpaceDN w:val="0"/>
              <w:adjustRightInd w:val="0"/>
              <w:spacing w:line="200" w:lineRule="atLeast"/>
              <w:jc w:val="center"/>
              <w:rPr>
                <w:b/>
                <w:bCs/>
                <w:color w:val="000000"/>
                <w:sz w:val="18"/>
                <w:szCs w:val="18"/>
                <w:lang w:val="en-US" w:eastAsia="ko-KR"/>
              </w:rPr>
            </w:pPr>
            <w:r w:rsidRPr="002152B2">
              <w:rPr>
                <w:b/>
                <w:bCs/>
                <w:color w:val="000000"/>
                <w:sz w:val="18"/>
                <w:szCs w:val="18"/>
                <w:lang w:val="en-US" w:eastAsia="ko-KR"/>
              </w:rPr>
              <w:lastRenderedPageBreak/>
              <w:t>PHY-</w:t>
            </w:r>
            <w:proofErr w:type="spellStart"/>
            <w:r w:rsidRPr="002152B2">
              <w:rPr>
                <w:b/>
                <w:bCs/>
                <w:color w:val="000000"/>
                <w:sz w:val="18"/>
                <w:szCs w:val="18"/>
                <w:lang w:val="en-US" w:eastAsia="ko-KR"/>
              </w:rPr>
              <w:t>CCA.indication</w:t>
            </w:r>
            <w:proofErr w:type="spellEnd"/>
            <w:r w:rsidRPr="002152B2">
              <w:rPr>
                <w:b/>
                <w:bCs/>
                <w:color w:val="000000"/>
                <w:sz w:val="18"/>
                <w:szCs w:val="18"/>
                <w:lang w:val="en-US" w:eastAsia="ko-KR"/>
              </w:rPr>
              <w:t xml:space="preserve"> channel-list element</w:t>
            </w:r>
          </w:p>
        </w:tc>
        <w:tc>
          <w:tcPr>
            <w:tcW w:w="6180" w:type="dxa"/>
            <w:tcBorders>
              <w:top w:val="single" w:sz="10" w:space="0" w:color="000000"/>
              <w:left w:val="single" w:sz="2" w:space="0" w:color="000000"/>
              <w:bottom w:val="single" w:sz="10" w:space="0" w:color="000000"/>
              <w:right w:val="single" w:sz="10" w:space="0" w:color="000000"/>
            </w:tcBorders>
            <w:vAlign w:val="center"/>
          </w:tcPr>
          <w:p w:rsidR="002152B2" w:rsidRPr="002152B2" w:rsidRDefault="002152B2" w:rsidP="002152B2">
            <w:pPr>
              <w:widowControl w:val="0"/>
              <w:suppressAutoHyphens/>
              <w:autoSpaceDE w:val="0"/>
              <w:autoSpaceDN w:val="0"/>
              <w:adjustRightInd w:val="0"/>
              <w:spacing w:line="200" w:lineRule="atLeast"/>
              <w:jc w:val="center"/>
              <w:rPr>
                <w:b/>
                <w:bCs/>
                <w:color w:val="000000"/>
                <w:sz w:val="18"/>
                <w:szCs w:val="18"/>
                <w:lang w:val="en-US" w:eastAsia="ko-KR"/>
              </w:rPr>
            </w:pPr>
            <w:r w:rsidRPr="002152B2">
              <w:rPr>
                <w:b/>
                <w:bCs/>
                <w:color w:val="000000"/>
                <w:sz w:val="18"/>
                <w:szCs w:val="18"/>
                <w:lang w:val="en-US" w:eastAsia="ko-KR"/>
              </w:rPr>
              <w:t>Idle channels</w:t>
            </w:r>
          </w:p>
        </w:tc>
      </w:tr>
      <w:tr w:rsidR="002152B2" w:rsidRPr="002152B2" w:rsidTr="002152B2">
        <w:trPr>
          <w:trHeight w:val="440"/>
          <w:jc w:val="center"/>
        </w:trPr>
        <w:tc>
          <w:tcPr>
            <w:tcW w:w="2000" w:type="dxa"/>
            <w:tcBorders>
              <w:top w:val="single" w:sz="2" w:space="0" w:color="000000"/>
              <w:left w:val="single" w:sz="10" w:space="0" w:color="000000"/>
              <w:bottom w:val="single" w:sz="2" w:space="0" w:color="000000"/>
              <w:right w:val="single" w:sz="2"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Pr>
                <w:rFonts w:hint="eastAsia"/>
                <w:color w:val="000000"/>
                <w:sz w:val="18"/>
                <w:szCs w:val="18"/>
                <w:lang w:val="en-US" w:eastAsia="ko-KR"/>
              </w:rPr>
              <w:t>p</w:t>
            </w:r>
            <w:r w:rsidRPr="002152B2">
              <w:rPr>
                <w:color w:val="000000"/>
                <w:sz w:val="18"/>
                <w:szCs w:val="18"/>
                <w:lang w:val="en-US" w:eastAsia="ko-KR"/>
              </w:rPr>
              <w:t>rimary</w:t>
            </w:r>
            <w:r w:rsidRPr="002152B2">
              <w:rPr>
                <w:rFonts w:hint="eastAsia"/>
                <w:color w:val="000000"/>
                <w:sz w:val="18"/>
                <w:szCs w:val="18"/>
                <w:u w:val="single"/>
                <w:lang w:val="en-US" w:eastAsia="ko-KR"/>
              </w:rPr>
              <w:t>1</w:t>
            </w:r>
          </w:p>
        </w:tc>
        <w:tc>
          <w:tcPr>
            <w:tcW w:w="6180" w:type="dxa"/>
            <w:tcBorders>
              <w:top w:val="single" w:sz="2" w:space="0" w:color="000000"/>
              <w:left w:val="single" w:sz="2" w:space="0" w:color="000000"/>
              <w:bottom w:val="single" w:sz="2" w:space="0" w:color="000000"/>
              <w:right w:val="single" w:sz="10"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None</w:t>
            </w:r>
          </w:p>
        </w:tc>
      </w:tr>
      <w:tr w:rsidR="002152B2" w:rsidRPr="002152B2" w:rsidTr="002152B2">
        <w:trPr>
          <w:trHeight w:val="440"/>
          <w:jc w:val="center"/>
        </w:trPr>
        <w:tc>
          <w:tcPr>
            <w:tcW w:w="2000" w:type="dxa"/>
            <w:tcBorders>
              <w:top w:val="single" w:sz="2" w:space="0" w:color="000000"/>
              <w:left w:val="single" w:sz="10" w:space="0" w:color="000000"/>
              <w:bottom w:val="single" w:sz="2" w:space="0" w:color="000000"/>
              <w:right w:val="single" w:sz="2" w:space="0" w:color="000000"/>
            </w:tcBorders>
          </w:tcPr>
          <w:p w:rsidR="002152B2" w:rsidRPr="005747C5" w:rsidRDefault="002152B2" w:rsidP="002152B2">
            <w:pPr>
              <w:widowControl w:val="0"/>
              <w:suppressAutoHyphens/>
              <w:autoSpaceDE w:val="0"/>
              <w:autoSpaceDN w:val="0"/>
              <w:adjustRightInd w:val="0"/>
              <w:spacing w:line="200" w:lineRule="atLeast"/>
              <w:rPr>
                <w:strike/>
                <w:color w:val="000000"/>
                <w:sz w:val="18"/>
                <w:szCs w:val="18"/>
                <w:lang w:val="en-US" w:eastAsia="ko-KR"/>
              </w:rPr>
            </w:pPr>
            <w:r w:rsidRPr="005747C5">
              <w:rPr>
                <w:strike/>
                <w:color w:val="000000"/>
                <w:sz w:val="18"/>
                <w:szCs w:val="18"/>
                <w:lang w:val="en-US" w:eastAsia="ko-KR"/>
              </w:rPr>
              <w:t>secondary1</w:t>
            </w:r>
          </w:p>
        </w:tc>
        <w:tc>
          <w:tcPr>
            <w:tcW w:w="6180" w:type="dxa"/>
            <w:tcBorders>
              <w:top w:val="single" w:sz="2" w:space="0" w:color="000000"/>
              <w:left w:val="single" w:sz="2" w:space="0" w:color="000000"/>
              <w:bottom w:val="single" w:sz="2" w:space="0" w:color="000000"/>
              <w:right w:val="single" w:sz="10" w:space="0" w:color="000000"/>
            </w:tcBorders>
          </w:tcPr>
          <w:p w:rsidR="002152B2" w:rsidRPr="005747C5" w:rsidRDefault="002152B2" w:rsidP="002152B2">
            <w:pPr>
              <w:widowControl w:val="0"/>
              <w:suppressAutoHyphens/>
              <w:autoSpaceDE w:val="0"/>
              <w:autoSpaceDN w:val="0"/>
              <w:adjustRightInd w:val="0"/>
              <w:spacing w:line="200" w:lineRule="atLeast"/>
              <w:rPr>
                <w:strike/>
                <w:color w:val="000000"/>
                <w:sz w:val="18"/>
                <w:szCs w:val="18"/>
                <w:lang w:val="en-US" w:eastAsia="ko-KR"/>
              </w:rPr>
            </w:pPr>
            <w:r w:rsidRPr="005747C5">
              <w:rPr>
                <w:strike/>
                <w:color w:val="000000"/>
                <w:sz w:val="18"/>
                <w:szCs w:val="18"/>
                <w:lang w:val="en-US" w:eastAsia="ko-KR"/>
              </w:rPr>
              <w:t>Primary 1 MHz channel</w:t>
            </w:r>
          </w:p>
        </w:tc>
      </w:tr>
      <w:tr w:rsidR="002152B2" w:rsidRPr="002152B2" w:rsidTr="002152B2">
        <w:trPr>
          <w:trHeight w:val="440"/>
          <w:jc w:val="center"/>
        </w:trPr>
        <w:tc>
          <w:tcPr>
            <w:tcW w:w="2000" w:type="dxa"/>
            <w:tcBorders>
              <w:top w:val="single" w:sz="2" w:space="0" w:color="000000"/>
              <w:left w:val="single" w:sz="10" w:space="0" w:color="000000"/>
              <w:bottom w:val="single" w:sz="2" w:space="0" w:color="000000"/>
              <w:right w:val="single" w:sz="2"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u w:val="single"/>
                <w:lang w:val="en-US" w:eastAsia="ko-KR"/>
              </w:rPr>
            </w:pPr>
            <w:r>
              <w:rPr>
                <w:rFonts w:hint="eastAsia"/>
                <w:color w:val="000000"/>
                <w:sz w:val="18"/>
                <w:szCs w:val="18"/>
                <w:u w:val="single"/>
                <w:lang w:val="en-US" w:eastAsia="ko-KR"/>
              </w:rPr>
              <w:t>p</w:t>
            </w:r>
            <w:r w:rsidRPr="002152B2">
              <w:rPr>
                <w:rFonts w:hint="eastAsia"/>
                <w:color w:val="000000"/>
                <w:sz w:val="18"/>
                <w:szCs w:val="18"/>
                <w:u w:val="single"/>
                <w:lang w:val="en-US" w:eastAsia="ko-KR"/>
              </w:rPr>
              <w:t>rimary2</w:t>
            </w:r>
          </w:p>
        </w:tc>
        <w:tc>
          <w:tcPr>
            <w:tcW w:w="6180" w:type="dxa"/>
            <w:tcBorders>
              <w:top w:val="single" w:sz="2" w:space="0" w:color="000000"/>
              <w:left w:val="single" w:sz="2" w:space="0" w:color="000000"/>
              <w:bottom w:val="single" w:sz="2" w:space="0" w:color="000000"/>
              <w:right w:val="single" w:sz="10" w:space="0" w:color="000000"/>
            </w:tcBorders>
          </w:tcPr>
          <w:p w:rsidR="002152B2" w:rsidRPr="002152B2" w:rsidRDefault="002152B2" w:rsidP="005747C5">
            <w:pPr>
              <w:widowControl w:val="0"/>
              <w:suppressAutoHyphens/>
              <w:autoSpaceDE w:val="0"/>
              <w:autoSpaceDN w:val="0"/>
              <w:adjustRightInd w:val="0"/>
              <w:spacing w:line="200" w:lineRule="atLeast"/>
              <w:rPr>
                <w:color w:val="000000"/>
                <w:sz w:val="18"/>
                <w:szCs w:val="18"/>
                <w:u w:val="single"/>
                <w:lang w:val="en-US" w:eastAsia="ko-KR"/>
              </w:rPr>
            </w:pPr>
            <w:r w:rsidRPr="002152B2">
              <w:rPr>
                <w:color w:val="000000"/>
                <w:sz w:val="18"/>
                <w:szCs w:val="18"/>
                <w:u w:val="single"/>
                <w:lang w:val="en-US" w:eastAsia="ko-KR"/>
              </w:rPr>
              <w:t xml:space="preserve">Primary </w:t>
            </w:r>
            <w:r w:rsidRPr="002152B2">
              <w:rPr>
                <w:rFonts w:hint="eastAsia"/>
                <w:color w:val="000000"/>
                <w:sz w:val="18"/>
                <w:szCs w:val="18"/>
                <w:u w:val="single"/>
                <w:lang w:val="en-US" w:eastAsia="ko-KR"/>
              </w:rPr>
              <w:t>1</w:t>
            </w:r>
            <w:r w:rsidRPr="002152B2">
              <w:rPr>
                <w:color w:val="000000"/>
                <w:sz w:val="18"/>
                <w:szCs w:val="18"/>
                <w:u w:val="single"/>
                <w:lang w:val="en-US" w:eastAsia="ko-KR"/>
              </w:rPr>
              <w:t xml:space="preserve"> MHz channel</w:t>
            </w:r>
          </w:p>
        </w:tc>
      </w:tr>
      <w:tr w:rsidR="002152B2" w:rsidRPr="002152B2" w:rsidTr="002152B2">
        <w:trPr>
          <w:trHeight w:val="440"/>
          <w:jc w:val="center"/>
        </w:trPr>
        <w:tc>
          <w:tcPr>
            <w:tcW w:w="2000" w:type="dxa"/>
            <w:tcBorders>
              <w:top w:val="single" w:sz="2" w:space="0" w:color="000000"/>
              <w:left w:val="single" w:sz="10" w:space="0" w:color="000000"/>
              <w:bottom w:val="single" w:sz="2" w:space="0" w:color="000000"/>
              <w:right w:val="single" w:sz="2"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Pr>
                <w:rFonts w:hint="eastAsia"/>
                <w:color w:val="000000"/>
                <w:sz w:val="18"/>
                <w:szCs w:val="18"/>
                <w:lang w:val="en-US" w:eastAsia="ko-KR"/>
              </w:rPr>
              <w:t>s</w:t>
            </w:r>
            <w:r w:rsidRPr="002152B2">
              <w:rPr>
                <w:color w:val="000000"/>
                <w:sz w:val="18"/>
                <w:szCs w:val="18"/>
                <w:lang w:val="en-US" w:eastAsia="ko-KR"/>
              </w:rPr>
              <w:t>econdary</w:t>
            </w:r>
            <w:r w:rsidRPr="002152B2">
              <w:rPr>
                <w:rFonts w:hint="eastAsia"/>
                <w:color w:val="000000"/>
                <w:sz w:val="18"/>
                <w:szCs w:val="18"/>
                <w:u w:val="single"/>
                <w:lang w:val="en-US" w:eastAsia="ko-KR"/>
              </w:rPr>
              <w:t>2</w:t>
            </w:r>
          </w:p>
        </w:tc>
        <w:tc>
          <w:tcPr>
            <w:tcW w:w="6180" w:type="dxa"/>
            <w:tcBorders>
              <w:top w:val="single" w:sz="2" w:space="0" w:color="000000"/>
              <w:left w:val="single" w:sz="2" w:space="0" w:color="000000"/>
              <w:bottom w:val="single" w:sz="2" w:space="0" w:color="000000"/>
              <w:right w:val="single" w:sz="10"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Primary 2 MHz channel</w:t>
            </w:r>
          </w:p>
        </w:tc>
      </w:tr>
      <w:tr w:rsidR="002152B2" w:rsidRPr="002152B2" w:rsidTr="002152B2">
        <w:trPr>
          <w:trHeight w:val="440"/>
          <w:jc w:val="center"/>
        </w:trPr>
        <w:tc>
          <w:tcPr>
            <w:tcW w:w="2000" w:type="dxa"/>
            <w:tcBorders>
              <w:top w:val="single" w:sz="2" w:space="0" w:color="000000"/>
              <w:left w:val="single" w:sz="10" w:space="0" w:color="000000"/>
              <w:bottom w:val="single" w:sz="2" w:space="0" w:color="000000"/>
              <w:right w:val="single" w:sz="2"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secondary4</w:t>
            </w:r>
            <w:r w:rsidRPr="002152B2">
              <w:rPr>
                <w:strike/>
                <w:color w:val="000000"/>
                <w:sz w:val="18"/>
                <w:szCs w:val="18"/>
                <w:lang w:val="en-US" w:eastAsia="ko-KR"/>
              </w:rPr>
              <w:t>0</w:t>
            </w:r>
          </w:p>
        </w:tc>
        <w:tc>
          <w:tcPr>
            <w:tcW w:w="6180" w:type="dxa"/>
            <w:tcBorders>
              <w:top w:val="single" w:sz="2" w:space="0" w:color="000000"/>
              <w:left w:val="single" w:sz="2" w:space="0" w:color="000000"/>
              <w:bottom w:val="single" w:sz="2" w:space="0" w:color="000000"/>
              <w:right w:val="single" w:sz="10"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Primary 2 MHz channel and secondary 2 MHz channel</w:t>
            </w:r>
          </w:p>
        </w:tc>
      </w:tr>
      <w:tr w:rsidR="002152B2" w:rsidRPr="002152B2" w:rsidTr="002152B2">
        <w:trPr>
          <w:trHeight w:val="440"/>
          <w:jc w:val="center"/>
        </w:trPr>
        <w:tc>
          <w:tcPr>
            <w:tcW w:w="2000" w:type="dxa"/>
            <w:tcBorders>
              <w:top w:val="single" w:sz="2" w:space="0" w:color="000000"/>
              <w:left w:val="single" w:sz="10" w:space="0" w:color="000000"/>
              <w:bottom w:val="single" w:sz="10" w:space="0" w:color="000000"/>
              <w:right w:val="single" w:sz="2"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secondary8</w:t>
            </w:r>
            <w:r w:rsidRPr="002152B2">
              <w:rPr>
                <w:strike/>
                <w:color w:val="000000"/>
                <w:sz w:val="18"/>
                <w:szCs w:val="18"/>
                <w:lang w:val="en-US" w:eastAsia="ko-KR"/>
              </w:rPr>
              <w:t>0</w:t>
            </w:r>
          </w:p>
        </w:tc>
        <w:tc>
          <w:tcPr>
            <w:tcW w:w="6180" w:type="dxa"/>
            <w:tcBorders>
              <w:top w:val="single" w:sz="2" w:space="0" w:color="000000"/>
              <w:left w:val="single" w:sz="2" w:space="0" w:color="000000"/>
              <w:bottom w:val="single" w:sz="10" w:space="0" w:color="000000"/>
              <w:right w:val="single" w:sz="10" w:space="0" w:color="000000"/>
            </w:tcBorders>
          </w:tcPr>
          <w:p w:rsidR="002152B2" w:rsidRPr="002152B2" w:rsidRDefault="002152B2" w:rsidP="002152B2">
            <w:pPr>
              <w:widowControl w:val="0"/>
              <w:suppressAutoHyphens/>
              <w:autoSpaceDE w:val="0"/>
              <w:autoSpaceDN w:val="0"/>
              <w:adjustRightInd w:val="0"/>
              <w:spacing w:line="200" w:lineRule="atLeast"/>
              <w:rPr>
                <w:color w:val="000000"/>
                <w:sz w:val="18"/>
                <w:szCs w:val="18"/>
                <w:lang w:val="en-US" w:eastAsia="ko-KR"/>
              </w:rPr>
            </w:pPr>
            <w:r w:rsidRPr="002152B2">
              <w:rPr>
                <w:color w:val="000000"/>
                <w:sz w:val="18"/>
                <w:szCs w:val="18"/>
                <w:lang w:val="en-US" w:eastAsia="ko-KR"/>
              </w:rPr>
              <w:t>Primary 2 MHz channel, secondary 2 MHz channel and secondary 4 MHz channel</w:t>
            </w:r>
          </w:p>
        </w:tc>
      </w:tr>
    </w:tbl>
    <w:p w:rsidR="002152B2" w:rsidRPr="002152B2" w:rsidRDefault="002152B2" w:rsidP="002152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B144F2" w:rsidRPr="002152B2" w:rsidRDefault="00B144F2" w:rsidP="009237A3">
      <w:pPr>
        <w:widowControl w:val="0"/>
        <w:autoSpaceDE w:val="0"/>
        <w:autoSpaceDN w:val="0"/>
        <w:adjustRightInd w:val="0"/>
        <w:jc w:val="center"/>
        <w:rPr>
          <w:sz w:val="18"/>
          <w:szCs w:val="18"/>
          <w:lang w:val="en-US" w:eastAsia="ko-KR"/>
        </w:rPr>
      </w:pPr>
    </w:p>
    <w:sectPr w:rsidR="00B144F2" w:rsidRPr="002152B2"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DC" w:rsidRDefault="00A759DC">
      <w:r>
        <w:separator/>
      </w:r>
    </w:p>
  </w:endnote>
  <w:endnote w:type="continuationSeparator" w:id="0">
    <w:p w:rsidR="00A759DC" w:rsidRDefault="00A75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7467C4">
    <w:pPr>
      <w:pStyle w:val="a3"/>
      <w:tabs>
        <w:tab w:val="clear" w:pos="6480"/>
        <w:tab w:val="center" w:pos="4680"/>
        <w:tab w:val="right" w:pos="9360"/>
      </w:tabs>
    </w:pPr>
    <w:fldSimple w:instr=" SUBJECT  \* MERGEFORMAT ">
      <w:r w:rsidR="00E07608">
        <w:t>Submission</w:t>
      </w:r>
    </w:fldSimple>
    <w:r w:rsidR="00E07608">
      <w:tab/>
      <w:t xml:space="preserve">page </w:t>
    </w:r>
    <w:fldSimple w:instr="page ">
      <w:r w:rsidR="004B17D5">
        <w:rPr>
          <w:noProof/>
        </w:rPr>
        <w:t>7</w:t>
      </w:r>
    </w:fldSimple>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DC" w:rsidRDefault="00A759DC">
      <w:r>
        <w:separator/>
      </w:r>
    </w:p>
  </w:footnote>
  <w:footnote w:type="continuationSeparator" w:id="0">
    <w:p w:rsidR="00A759DC" w:rsidRDefault="00A7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D97A88">
    <w:pPr>
      <w:pStyle w:val="a4"/>
      <w:tabs>
        <w:tab w:val="clear" w:pos="6480"/>
        <w:tab w:val="center" w:pos="4680"/>
        <w:tab w:val="right" w:pos="9360"/>
      </w:tabs>
    </w:pPr>
    <w:r>
      <w:rPr>
        <w:rFonts w:hint="eastAsia"/>
        <w:lang w:eastAsia="ko-KR"/>
      </w:rPr>
      <w:t xml:space="preserve">December </w:t>
    </w:r>
    <w:r w:rsidR="00E07608">
      <w:t>201</w:t>
    </w:r>
    <w:r>
      <w:rPr>
        <w:rFonts w:hint="eastAsia"/>
        <w:lang w:eastAsia="ko-KR"/>
      </w:rPr>
      <w:t>3</w:t>
    </w:r>
    <w:r w:rsidR="00E07608">
      <w:tab/>
    </w:r>
    <w:r w:rsidR="00E07608">
      <w:tab/>
    </w:r>
    <w:fldSimple w:instr=" TITLE  \* MERGEFORMAT ">
      <w:r w:rsidR="00E07608">
        <w:t>doc.: IEEE 802.11-1</w:t>
      </w:r>
      <w:r>
        <w:rPr>
          <w:rFonts w:hint="eastAsia"/>
          <w:lang w:eastAsia="ko-KR"/>
        </w:rPr>
        <w:t>3</w:t>
      </w:r>
      <w:r w:rsidR="00E07608">
        <w:t>/</w:t>
      </w:r>
      <w:r>
        <w:rPr>
          <w:rFonts w:hint="eastAsia"/>
          <w:lang w:eastAsia="ko-KR"/>
        </w:rPr>
        <w:t>1522</w:t>
      </w:r>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6">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D05"/>
    <w:rsid w:val="00027E54"/>
    <w:rsid w:val="000405C4"/>
    <w:rsid w:val="00052123"/>
    <w:rsid w:val="00053FCC"/>
    <w:rsid w:val="00054A51"/>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B00"/>
    <w:rsid w:val="00165BE6"/>
    <w:rsid w:val="00171C0D"/>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B6F32"/>
    <w:rsid w:val="001C7CCE"/>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214E2"/>
    <w:rsid w:val="00325AB6"/>
    <w:rsid w:val="003266AB"/>
    <w:rsid w:val="003308A8"/>
    <w:rsid w:val="003449F9"/>
    <w:rsid w:val="003479E4"/>
    <w:rsid w:val="00347C43"/>
    <w:rsid w:val="00360C87"/>
    <w:rsid w:val="00366AF0"/>
    <w:rsid w:val="003713CA"/>
    <w:rsid w:val="003729FC"/>
    <w:rsid w:val="00372FCA"/>
    <w:rsid w:val="003763E7"/>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3FBF"/>
    <w:rsid w:val="004452DF"/>
    <w:rsid w:val="004507E7"/>
    <w:rsid w:val="00450CC0"/>
    <w:rsid w:val="00457028"/>
    <w:rsid w:val="00457FA3"/>
    <w:rsid w:val="00462172"/>
    <w:rsid w:val="0046734F"/>
    <w:rsid w:val="0047267B"/>
    <w:rsid w:val="00475A71"/>
    <w:rsid w:val="00482AD0"/>
    <w:rsid w:val="00483999"/>
    <w:rsid w:val="0049468A"/>
    <w:rsid w:val="00494A39"/>
    <w:rsid w:val="004A0AF4"/>
    <w:rsid w:val="004B17D5"/>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41041"/>
    <w:rsid w:val="0054235E"/>
    <w:rsid w:val="0054425D"/>
    <w:rsid w:val="0055459B"/>
    <w:rsid w:val="00554995"/>
    <w:rsid w:val="00554EEF"/>
    <w:rsid w:val="0055527D"/>
    <w:rsid w:val="00567934"/>
    <w:rsid w:val="0057025E"/>
    <w:rsid w:val="005702B6"/>
    <w:rsid w:val="005703A1"/>
    <w:rsid w:val="00571583"/>
    <w:rsid w:val="00572E7A"/>
    <w:rsid w:val="005747C5"/>
    <w:rsid w:val="00583212"/>
    <w:rsid w:val="00585D8F"/>
    <w:rsid w:val="00586072"/>
    <w:rsid w:val="0058644C"/>
    <w:rsid w:val="00587F10"/>
    <w:rsid w:val="00591351"/>
    <w:rsid w:val="00591EC7"/>
    <w:rsid w:val="00596413"/>
    <w:rsid w:val="00596B6A"/>
    <w:rsid w:val="005A16CF"/>
    <w:rsid w:val="005A2ECA"/>
    <w:rsid w:val="005A3063"/>
    <w:rsid w:val="005A4504"/>
    <w:rsid w:val="005B151D"/>
    <w:rsid w:val="005B31EA"/>
    <w:rsid w:val="005B34A6"/>
    <w:rsid w:val="005B6C67"/>
    <w:rsid w:val="005C0CBC"/>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FA8"/>
    <w:rsid w:val="006C2C97"/>
    <w:rsid w:val="006C3C1D"/>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5852"/>
    <w:rsid w:val="0074621F"/>
    <w:rsid w:val="007463FB"/>
    <w:rsid w:val="007467C4"/>
    <w:rsid w:val="007513CD"/>
    <w:rsid w:val="00753F20"/>
    <w:rsid w:val="0076063E"/>
    <w:rsid w:val="0076196C"/>
    <w:rsid w:val="00766B1A"/>
    <w:rsid w:val="00766DFE"/>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900DEB"/>
    <w:rsid w:val="00905A7F"/>
    <w:rsid w:val="00910F8F"/>
    <w:rsid w:val="0091118D"/>
    <w:rsid w:val="0092075E"/>
    <w:rsid w:val="009225A7"/>
    <w:rsid w:val="009237A3"/>
    <w:rsid w:val="00927FEB"/>
    <w:rsid w:val="009327EE"/>
    <w:rsid w:val="00936D66"/>
    <w:rsid w:val="0094091B"/>
    <w:rsid w:val="00944591"/>
    <w:rsid w:val="00944CAA"/>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A0E5E"/>
    <w:rsid w:val="009A2737"/>
    <w:rsid w:val="009B09CD"/>
    <w:rsid w:val="009B2383"/>
    <w:rsid w:val="009B30C6"/>
    <w:rsid w:val="009B4356"/>
    <w:rsid w:val="009C30AA"/>
    <w:rsid w:val="009C43D1"/>
    <w:rsid w:val="009C59A6"/>
    <w:rsid w:val="009C6A52"/>
    <w:rsid w:val="009C6F3C"/>
    <w:rsid w:val="009D0AB2"/>
    <w:rsid w:val="009D3276"/>
    <w:rsid w:val="009D444C"/>
    <w:rsid w:val="009D4525"/>
    <w:rsid w:val="009D4D68"/>
    <w:rsid w:val="009E2785"/>
    <w:rsid w:val="009F08F6"/>
    <w:rsid w:val="009F3F07"/>
    <w:rsid w:val="00A00EE5"/>
    <w:rsid w:val="00A049E2"/>
    <w:rsid w:val="00A1344B"/>
    <w:rsid w:val="00A20185"/>
    <w:rsid w:val="00A219E7"/>
    <w:rsid w:val="00A2417A"/>
    <w:rsid w:val="00A26D8D"/>
    <w:rsid w:val="00A40884"/>
    <w:rsid w:val="00A43B6B"/>
    <w:rsid w:val="00A45C7E"/>
    <w:rsid w:val="00A477E6"/>
    <w:rsid w:val="00A47C1B"/>
    <w:rsid w:val="00A5337D"/>
    <w:rsid w:val="00A57CE8"/>
    <w:rsid w:val="00A66CBC"/>
    <w:rsid w:val="00A70990"/>
    <w:rsid w:val="00A7354C"/>
    <w:rsid w:val="00A759DC"/>
    <w:rsid w:val="00A844CE"/>
    <w:rsid w:val="00A90385"/>
    <w:rsid w:val="00A91EAA"/>
    <w:rsid w:val="00A9264B"/>
    <w:rsid w:val="00A96DCC"/>
    <w:rsid w:val="00AA188F"/>
    <w:rsid w:val="00AA3C3D"/>
    <w:rsid w:val="00AA5C69"/>
    <w:rsid w:val="00AA63A9"/>
    <w:rsid w:val="00AA6681"/>
    <w:rsid w:val="00AA6F19"/>
    <w:rsid w:val="00AA7E07"/>
    <w:rsid w:val="00AB17F6"/>
    <w:rsid w:val="00AB7031"/>
    <w:rsid w:val="00AC76C6"/>
    <w:rsid w:val="00AD268D"/>
    <w:rsid w:val="00AD3749"/>
    <w:rsid w:val="00AD6723"/>
    <w:rsid w:val="00AD6AE6"/>
    <w:rsid w:val="00B0051A"/>
    <w:rsid w:val="00B007A3"/>
    <w:rsid w:val="00B03DB7"/>
    <w:rsid w:val="00B04957"/>
    <w:rsid w:val="00B04CB8"/>
    <w:rsid w:val="00B11981"/>
    <w:rsid w:val="00B144F2"/>
    <w:rsid w:val="00B16018"/>
    <w:rsid w:val="00B16515"/>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63EE"/>
    <w:rsid w:val="00CF16FB"/>
    <w:rsid w:val="00CF2295"/>
    <w:rsid w:val="00CF3BDE"/>
    <w:rsid w:val="00D0639A"/>
    <w:rsid w:val="00D07ABE"/>
    <w:rsid w:val="00D10395"/>
    <w:rsid w:val="00D26EB4"/>
    <w:rsid w:val="00D307A6"/>
    <w:rsid w:val="00D36C35"/>
    <w:rsid w:val="00D42073"/>
    <w:rsid w:val="00D5432B"/>
    <w:rsid w:val="00D5494D"/>
    <w:rsid w:val="00D574CA"/>
    <w:rsid w:val="00D57819"/>
    <w:rsid w:val="00D6072C"/>
    <w:rsid w:val="00D618A3"/>
    <w:rsid w:val="00D72906"/>
    <w:rsid w:val="00D72BC8"/>
    <w:rsid w:val="00D73304"/>
    <w:rsid w:val="00D73E07"/>
    <w:rsid w:val="00D826B4"/>
    <w:rsid w:val="00D84566"/>
    <w:rsid w:val="00D92951"/>
    <w:rsid w:val="00D94B05"/>
    <w:rsid w:val="00D9667F"/>
    <w:rsid w:val="00D97A88"/>
    <w:rsid w:val="00DA3D06"/>
    <w:rsid w:val="00DB6B0C"/>
    <w:rsid w:val="00DB7D1B"/>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5013"/>
    <w:rsid w:val="00E71C91"/>
    <w:rsid w:val="00E74E87"/>
    <w:rsid w:val="00E772DB"/>
    <w:rsid w:val="00E80182"/>
    <w:rsid w:val="00E8027B"/>
    <w:rsid w:val="00E81437"/>
    <w:rsid w:val="00E839F1"/>
    <w:rsid w:val="00E873C2"/>
    <w:rsid w:val="00E91460"/>
    <w:rsid w:val="00E9535F"/>
    <w:rsid w:val="00EA2CE4"/>
    <w:rsid w:val="00EA48D0"/>
    <w:rsid w:val="00EA6DCB"/>
    <w:rsid w:val="00EB5ADB"/>
    <w:rsid w:val="00ED6FC5"/>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659E1"/>
    <w:rsid w:val="00F808C5"/>
    <w:rsid w:val="00F832E1"/>
    <w:rsid w:val="00F85369"/>
    <w:rsid w:val="00F93DC9"/>
    <w:rsid w:val="00F9487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1E50-4058-4A65-998D-47948CEF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1741</Words>
  <Characters>9928</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11646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30</cp:revision>
  <cp:lastPrinted>2010-05-04T03:47:00Z</cp:lastPrinted>
  <dcterms:created xsi:type="dcterms:W3CDTF">2013-11-25T11:07:00Z</dcterms:created>
  <dcterms:modified xsi:type="dcterms:W3CDTF">2013-12-12T09:20:00Z</dcterms:modified>
</cp:coreProperties>
</file>