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B12C2">
              <w:rPr>
                <w:b w:val="0"/>
                <w:sz w:val="20"/>
              </w:rPr>
              <w:t>2013-11</w:t>
            </w:r>
            <w:r w:rsidR="002E62E3">
              <w:rPr>
                <w:b w:val="0"/>
                <w:sz w:val="20"/>
              </w:rPr>
              <w:t>-</w:t>
            </w:r>
            <w:r w:rsidR="004B6B95">
              <w:rPr>
                <w:b w:val="0"/>
                <w:sz w:val="20"/>
              </w:rPr>
              <w:t>1</w:t>
            </w:r>
            <w:r w:rsidR="00F13892">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1322 Crossman ave,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FB5B44">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BE097F" w:rsidRDefault="005B12C2" w:rsidP="00BE097F">
                            <w:r>
                              <w:t>2433</w:t>
                            </w:r>
                            <w:r w:rsidR="00926E18">
                              <w:t>, 2199</w:t>
                            </w:r>
                            <w:r w:rsidR="007E185A">
                              <w:t>, 2410</w:t>
                            </w:r>
                            <w:r w:rsidR="00D74481">
                              <w:t>, 2483</w:t>
                            </w:r>
                            <w:r w:rsidR="002E261F">
                              <w:t>, 2065</w:t>
                            </w:r>
                          </w:p>
                          <w:p w:rsidR="00987E20" w:rsidRDefault="00987E20" w:rsidP="00490F42"/>
                          <w:p w:rsidR="00914B92" w:rsidRDefault="00914B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BE097F" w:rsidRDefault="005B12C2" w:rsidP="00BE097F">
                      <w:r>
                        <w:t>2433</w:t>
                      </w:r>
                      <w:r w:rsidR="00926E18">
                        <w:t>, 2199</w:t>
                      </w:r>
                      <w:r w:rsidR="007E185A">
                        <w:t>, 2410</w:t>
                      </w:r>
                      <w:r w:rsidR="00D74481">
                        <w:t>, 2483</w:t>
                      </w:r>
                      <w:r w:rsidR="002E261F">
                        <w:t>, 2065</w:t>
                      </w:r>
                    </w:p>
                    <w:p w:rsidR="00987E20" w:rsidRDefault="00987E20" w:rsidP="00490F42"/>
                    <w:p w:rsidR="00914B92" w:rsidRDefault="00914B92">
                      <w:pPr>
                        <w:jc w:val="both"/>
                      </w:pPr>
                    </w:p>
                  </w:txbxContent>
                </v:textbox>
              </v:shape>
            </w:pict>
          </mc:Fallback>
        </mc:AlternateContent>
      </w:r>
    </w:p>
    <w:p w:rsidR="00F60C6D" w:rsidRDefault="00CA09B2" w:rsidP="00F60C6D">
      <w:pPr>
        <w:rPr>
          <w:b/>
          <w:i/>
        </w:rPr>
      </w:pPr>
      <w:r>
        <w:br w:type="page"/>
      </w:r>
    </w:p>
    <w:p w:rsidR="001407D4" w:rsidRPr="001407D4" w:rsidRDefault="00490F42">
      <w:pPr>
        <w:rPr>
          <w:b/>
        </w:rPr>
      </w:pPr>
      <w:r>
        <w:rPr>
          <w:b/>
        </w:rPr>
        <w:lastRenderedPageBreak/>
        <w:t xml:space="preserve">CID </w:t>
      </w:r>
      <w:r w:rsidR="005B12C2">
        <w:rPr>
          <w:b/>
        </w:rPr>
        <w:t>2433</w:t>
      </w:r>
    </w:p>
    <w:p w:rsidR="001407D4" w:rsidRPr="001407D4" w:rsidRDefault="001407D4"/>
    <w:tbl>
      <w:tblPr>
        <w:tblW w:w="13380" w:type="dxa"/>
        <w:tblInd w:w="93" w:type="dxa"/>
        <w:tblLook w:val="04A0" w:firstRow="1" w:lastRow="0" w:firstColumn="1" w:lastColumn="0" w:noHBand="0" w:noVBand="1"/>
      </w:tblPr>
      <w:tblGrid>
        <w:gridCol w:w="662"/>
        <w:gridCol w:w="939"/>
        <w:gridCol w:w="912"/>
        <w:gridCol w:w="1107"/>
        <w:gridCol w:w="693"/>
        <w:gridCol w:w="2697"/>
        <w:gridCol w:w="2690"/>
        <w:gridCol w:w="2665"/>
        <w:gridCol w:w="1015"/>
      </w:tblGrid>
      <w:tr w:rsidR="005B12C2" w:rsidRPr="005B12C2" w:rsidTr="005B12C2">
        <w:trPr>
          <w:trHeight w:val="1785"/>
        </w:trPr>
        <w:tc>
          <w:tcPr>
            <w:tcW w:w="662" w:type="dxa"/>
            <w:tcBorders>
              <w:top w:val="nil"/>
              <w:left w:val="nil"/>
              <w:bottom w:val="nil"/>
              <w:right w:val="nil"/>
            </w:tcBorders>
            <w:shd w:val="clear" w:color="auto" w:fill="auto"/>
            <w:hideMark/>
          </w:tcPr>
          <w:p w:rsidR="005B12C2" w:rsidRPr="005B12C2" w:rsidRDefault="005B12C2" w:rsidP="005B12C2">
            <w:pPr>
              <w:jc w:val="right"/>
              <w:rPr>
                <w:rFonts w:ascii="Arial" w:hAnsi="Arial" w:cs="Arial"/>
                <w:sz w:val="20"/>
                <w:lang w:val="en-US"/>
              </w:rPr>
            </w:pPr>
            <w:r w:rsidRPr="005B12C2">
              <w:rPr>
                <w:rFonts w:ascii="Arial" w:hAnsi="Arial" w:cs="Arial"/>
                <w:sz w:val="20"/>
                <w:lang w:val="en-US"/>
              </w:rPr>
              <w:t>2433</w:t>
            </w:r>
          </w:p>
        </w:tc>
        <w:tc>
          <w:tcPr>
            <w:tcW w:w="939" w:type="dxa"/>
            <w:tcBorders>
              <w:top w:val="nil"/>
              <w:left w:val="nil"/>
              <w:bottom w:val="nil"/>
              <w:right w:val="nil"/>
            </w:tcBorders>
            <w:shd w:val="clear" w:color="auto" w:fill="auto"/>
            <w:hideMark/>
          </w:tcPr>
          <w:p w:rsidR="005B12C2" w:rsidRPr="005B12C2" w:rsidRDefault="005B12C2" w:rsidP="005B12C2">
            <w:pPr>
              <w:jc w:val="right"/>
              <w:rPr>
                <w:rFonts w:ascii="Arial" w:hAnsi="Arial" w:cs="Arial"/>
                <w:sz w:val="20"/>
                <w:lang w:val="en-US"/>
              </w:rPr>
            </w:pPr>
            <w:r w:rsidRPr="005B12C2">
              <w:rPr>
                <w:rFonts w:ascii="Arial" w:hAnsi="Arial" w:cs="Arial"/>
                <w:sz w:val="20"/>
                <w:lang w:val="en-US"/>
              </w:rPr>
              <w:t>2720.57</w:t>
            </w:r>
          </w:p>
        </w:tc>
        <w:tc>
          <w:tcPr>
            <w:tcW w:w="912"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C</w:t>
            </w:r>
          </w:p>
        </w:tc>
        <w:tc>
          <w:tcPr>
            <w:tcW w:w="1107"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693"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2697"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There appears to be a discrepancy for the AIFSN EDCA parameter specified in Table 8-118 (Page 731) and that specified in the MIB (dot11EDCATableAIFSN, Page 2720).</w:t>
            </w:r>
          </w:p>
        </w:tc>
        <w:tc>
          <w:tcPr>
            <w:tcW w:w="2690"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Add reference to the default values used when dot11OCBActivated is true.</w:t>
            </w:r>
          </w:p>
        </w:tc>
        <w:tc>
          <w:tcPr>
            <w:tcW w:w="2665"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1015"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GEN</w:t>
            </w:r>
          </w:p>
        </w:tc>
      </w:tr>
    </w:tbl>
    <w:p w:rsidR="001407D4" w:rsidRPr="001407D4" w:rsidRDefault="001407D4">
      <w:pPr>
        <w:rPr>
          <w:b/>
        </w:rPr>
      </w:pPr>
      <w:r w:rsidRPr="001407D4">
        <w:rPr>
          <w:b/>
        </w:rPr>
        <w:t>Discussion:</w:t>
      </w:r>
    </w:p>
    <w:p w:rsidR="001407D4" w:rsidRDefault="001407D4"/>
    <w:p w:rsidR="006F59A8" w:rsidRDefault="001407D4" w:rsidP="00490F42">
      <w:r>
        <w:t>The comment is on</w:t>
      </w:r>
      <w:r w:rsidR="005B12C2">
        <w:t xml:space="preserve"> a discrepancy between Table 8-118 AIFSN EDCA parameter </w:t>
      </w:r>
      <w:r w:rsidR="003567CA">
        <w:t>and the</w:t>
      </w:r>
      <w:r>
        <w:t xml:space="preserve"> </w:t>
      </w:r>
      <w:r w:rsidR="005B12C2">
        <w:t>dot11EDCATableAIFSN MIB variable when dot11OCBActivated (Outside the context of a BSS) is true.</w:t>
      </w:r>
    </w:p>
    <w:p w:rsidR="005B12C2" w:rsidRDefault="005B12C2" w:rsidP="00490F42">
      <w:r>
        <w:t>The Table 8-118 definition is below:</w:t>
      </w:r>
    </w:p>
    <w:p w:rsidR="005B12C2" w:rsidRDefault="005B12C2" w:rsidP="00490F42"/>
    <w:p w:rsidR="005B12C2" w:rsidRDefault="005B12C2" w:rsidP="00490F42">
      <w:r>
        <w:rPr>
          <w:noProof/>
          <w:lang w:val="en-US"/>
        </w:rPr>
        <w:drawing>
          <wp:inline distT="0" distB="0" distL="0" distR="0">
            <wp:extent cx="5943600" cy="174811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48118"/>
                    </a:xfrm>
                    <a:prstGeom prst="rect">
                      <a:avLst/>
                    </a:prstGeom>
                    <a:noFill/>
                    <a:ln>
                      <a:noFill/>
                    </a:ln>
                  </pic:spPr>
                </pic:pic>
              </a:graphicData>
            </a:graphic>
          </wp:inline>
        </w:drawing>
      </w:r>
    </w:p>
    <w:p w:rsidR="005B12C2" w:rsidRDefault="005B12C2" w:rsidP="00490F42"/>
    <w:p w:rsidR="005B12C2" w:rsidRDefault="005B12C2" w:rsidP="00490F42">
      <w:r>
        <w:t>And the MIB variable definition is below:</w:t>
      </w:r>
    </w:p>
    <w:p w:rsidR="005B12C2" w:rsidRDefault="005B12C2" w:rsidP="00490F42"/>
    <w:p w:rsidR="005B12C2" w:rsidRDefault="005B12C2" w:rsidP="00490F42">
      <w:r>
        <w:rPr>
          <w:noProof/>
          <w:lang w:val="en-US"/>
        </w:rPr>
        <w:drawing>
          <wp:inline distT="0" distB="0" distL="0" distR="0">
            <wp:extent cx="5943600" cy="218750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87501"/>
                    </a:xfrm>
                    <a:prstGeom prst="rect">
                      <a:avLst/>
                    </a:prstGeom>
                    <a:noFill/>
                    <a:ln>
                      <a:noFill/>
                    </a:ln>
                  </pic:spPr>
                </pic:pic>
              </a:graphicData>
            </a:graphic>
          </wp:inline>
        </w:drawing>
      </w:r>
    </w:p>
    <w:p w:rsidR="003567CA" w:rsidRDefault="003567CA" w:rsidP="00490F42"/>
    <w:p w:rsidR="003567CA" w:rsidRDefault="003567CA" w:rsidP="00490F42">
      <w:r>
        <w:t>The dot11EDCATableIndex values are:</w:t>
      </w:r>
    </w:p>
    <w:p w:rsidR="003567CA" w:rsidRDefault="003567CA" w:rsidP="00490F42"/>
    <w:p w:rsidR="003567CA" w:rsidRDefault="003567CA" w:rsidP="00490F42">
      <w:r>
        <w:rPr>
          <w:noProof/>
          <w:lang w:val="en-US"/>
        </w:rPr>
        <w:lastRenderedPageBreak/>
        <w:drawing>
          <wp:inline distT="0" distB="0" distL="0" distR="0">
            <wp:extent cx="5943600" cy="147660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76605"/>
                    </a:xfrm>
                    <a:prstGeom prst="rect">
                      <a:avLst/>
                    </a:prstGeom>
                    <a:noFill/>
                    <a:ln>
                      <a:noFill/>
                    </a:ln>
                  </pic:spPr>
                </pic:pic>
              </a:graphicData>
            </a:graphic>
          </wp:inline>
        </w:drawing>
      </w:r>
    </w:p>
    <w:p w:rsidR="00BE097F" w:rsidRDefault="006A7E24" w:rsidP="00490F42">
      <w:r>
        <w:t>So, Table 8-118 says that</w:t>
      </w:r>
      <w:r w:rsidRPr="006A7E24">
        <w:t xml:space="preserve"> </w:t>
      </w:r>
      <w:r>
        <w:t>when dot11OCBActivated (Outside the context of a BSS) is true, the default AIFSN values are 9/6/3/2 for BK/BE/VI/VO.</w:t>
      </w:r>
    </w:p>
    <w:p w:rsidR="006A7E24" w:rsidRDefault="006A7E24" w:rsidP="00490F42"/>
    <w:p w:rsidR="006A7E24" w:rsidRDefault="006A7E24" w:rsidP="00490F42">
      <w:r>
        <w:t>While the MIB variable says that the default AIFSN values are 7/3/2/2 for BK/BE/VI/VO.</w:t>
      </w:r>
    </w:p>
    <w:p w:rsidR="006A7E24" w:rsidRDefault="006A7E24" w:rsidP="00490F42"/>
    <w:p w:rsidR="006A7E24" w:rsidRPr="006A7E24" w:rsidRDefault="006A7E24" w:rsidP="00490F42">
      <w:pPr>
        <w:rPr>
          <w:b/>
        </w:rPr>
      </w:pPr>
      <w:r w:rsidRPr="00425528">
        <w:rPr>
          <w:b/>
          <w:highlight w:val="green"/>
        </w:rPr>
        <w:t>Proposed Resolution: Revised</w:t>
      </w:r>
    </w:p>
    <w:p w:rsidR="006A7E24" w:rsidRDefault="006A7E24" w:rsidP="00490F42"/>
    <w:p w:rsidR="006A7E24" w:rsidRDefault="006A7E24" w:rsidP="00490F42">
      <w:pPr>
        <w:rPr>
          <w:szCs w:val="22"/>
        </w:rPr>
      </w:pPr>
      <w:r w:rsidRPr="006A7E24">
        <w:rPr>
          <w:szCs w:val="22"/>
        </w:rPr>
        <w:t>At 2720.57, change a</w:t>
      </w:r>
      <w:r>
        <w:rPr>
          <w:szCs w:val="22"/>
        </w:rPr>
        <w:t>s indicated below:</w:t>
      </w:r>
    </w:p>
    <w:p w:rsidR="006A7E24" w:rsidRPr="006A7E24" w:rsidRDefault="006A7E24" w:rsidP="00490F42">
      <w:pPr>
        <w:rPr>
          <w:szCs w:val="22"/>
        </w:rPr>
      </w:pP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dot11EDCATableAIFSN OBJECT-TYPE</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SYNTAX Unsigned32 (2..15)</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MAX-ACCESS read-write</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STATUS current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DESCRIPTION</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073BA5" w:rsidRPr="002C2468" w:rsidRDefault="00073BA5" w:rsidP="00073BA5">
      <w:pPr>
        <w:autoSpaceDE w:val="0"/>
        <w:autoSpaceDN w:val="0"/>
        <w:adjustRightInd w:val="0"/>
        <w:rPr>
          <w:rFonts w:ascii="CourierNewPSMT" w:hAnsi="CourierNewPSMT" w:cs="CourierNewPSMT"/>
          <w:strike/>
          <w:sz w:val="18"/>
          <w:szCs w:val="18"/>
          <w:lang w:val="en-US"/>
        </w:rPr>
      </w:pPr>
      <w:r>
        <w:rPr>
          <w:rFonts w:ascii="CourierNewPSMT" w:hAnsi="CourierNewPSMT" w:cs="CourierNewPSMT"/>
          <w:sz w:val="18"/>
          <w:szCs w:val="18"/>
          <w:lang w:val="en-US"/>
        </w:rPr>
        <w:t xml:space="preserve">It is written by the MAC upon receiving an EDCA Parameter Set </w:t>
      </w:r>
      <w:r w:rsidRPr="002C2468">
        <w:rPr>
          <w:rFonts w:ascii="CourierNewPSMT" w:hAnsi="CourierNewPSMT" w:cs="CourierNewPSMT"/>
          <w:strike/>
          <w:sz w:val="18"/>
          <w:szCs w:val="18"/>
          <w:lang w:val="en-US"/>
        </w:rPr>
        <w:t>in a Beacon</w:t>
      </w:r>
    </w:p>
    <w:p w:rsidR="00073BA5" w:rsidRDefault="00073BA5" w:rsidP="00073BA5">
      <w:pPr>
        <w:autoSpaceDE w:val="0"/>
        <w:autoSpaceDN w:val="0"/>
        <w:adjustRightInd w:val="0"/>
        <w:rPr>
          <w:rFonts w:ascii="CourierNewPSMT" w:hAnsi="CourierNewPSMT" w:cs="CourierNewPSMT"/>
          <w:sz w:val="18"/>
          <w:szCs w:val="18"/>
          <w:lang w:val="en-US"/>
        </w:rPr>
      </w:pPr>
      <w:r w:rsidRPr="002C2468">
        <w:rPr>
          <w:rFonts w:ascii="CourierNewPSMT" w:hAnsi="CourierNewPSMT" w:cs="CourierNewPSMT"/>
          <w:strike/>
          <w:sz w:val="18"/>
          <w:szCs w:val="18"/>
          <w:lang w:val="en-US"/>
        </w:rPr>
        <w:t>frame</w:t>
      </w:r>
      <w:r>
        <w:rPr>
          <w:rFonts w:ascii="CourierNewPSMT" w:hAnsi="CourierNewPSMT" w:cs="CourierNewPSMT"/>
          <w:sz w:val="18"/>
          <w:szCs w:val="18"/>
          <w:lang w:val="en-US"/>
        </w:rPr>
        <w: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as soon as practical in the implementation.</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attribute specifies the number of slots, after a SIFS, that the STA,</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for a particular AC, senses the medium idle either before transmitting or</w:t>
      </w:r>
    </w:p>
    <w:p w:rsidR="00073BA5" w:rsidRPr="00073BA5" w:rsidRDefault="00073BA5" w:rsidP="00073BA5">
      <w:pPr>
        <w:autoSpaceDE w:val="0"/>
        <w:autoSpaceDN w:val="0"/>
        <w:adjustRightInd w:val="0"/>
        <w:rPr>
          <w:rFonts w:ascii="CourierNewPSMT" w:hAnsi="CourierNewPSMT" w:cs="CourierNewPSMT"/>
          <w:strike/>
          <w:sz w:val="18"/>
          <w:szCs w:val="18"/>
          <w:lang w:val="en-US"/>
        </w:rPr>
      </w:pPr>
      <w:r>
        <w:rPr>
          <w:rFonts w:ascii="CourierNewPSMT" w:hAnsi="CourierNewPSMT" w:cs="CourierNewPSMT"/>
          <w:sz w:val="18"/>
          <w:szCs w:val="18"/>
          <w:lang w:val="en-US"/>
        </w:rPr>
        <w:t xml:space="preserve">executing a backoff.  </w:t>
      </w:r>
      <w:r>
        <w:rPr>
          <w:rFonts w:ascii="CourierNewPSMT" w:hAnsi="CourierNewPSMT" w:cs="CourierNewPSMT"/>
          <w:sz w:val="18"/>
          <w:szCs w:val="18"/>
          <w:u w:val="single"/>
          <w:lang w:val="en-US"/>
        </w:rPr>
        <w:t xml:space="preserve">See Tables 8-117 and 8-118. </w:t>
      </w:r>
      <w:r w:rsidRPr="00073BA5">
        <w:rPr>
          <w:rFonts w:ascii="CourierNewPSMT" w:hAnsi="CourierNewPSMT" w:cs="CourierNewPSMT"/>
          <w:strike/>
          <w:sz w:val="18"/>
          <w:szCs w:val="18"/>
          <w:lang w:val="en-US"/>
        </w:rPr>
        <w:t>The default value for this attribute is</w:t>
      </w:r>
    </w:p>
    <w:p w:rsidR="00073BA5" w:rsidRPr="00073BA5" w:rsidRDefault="00073BA5" w:rsidP="00073BA5">
      <w:pPr>
        <w:autoSpaceDE w:val="0"/>
        <w:autoSpaceDN w:val="0"/>
        <w:adjustRightInd w:val="0"/>
        <w:rPr>
          <w:rFonts w:ascii="CourierNewPSMT" w:hAnsi="CourierNewPSMT" w:cs="CourierNewPSMT"/>
          <w:strike/>
          <w:sz w:val="18"/>
          <w:szCs w:val="18"/>
          <w:lang w:val="en-US"/>
        </w:rPr>
      </w:pPr>
      <w:r w:rsidRPr="00073BA5">
        <w:rPr>
          <w:rFonts w:ascii="CourierNewPSMT" w:hAnsi="CourierNewPSMT" w:cs="CourierNewPSMT"/>
          <w:strike/>
          <w:sz w:val="18"/>
          <w:szCs w:val="18"/>
          <w:lang w:val="en-US"/>
        </w:rPr>
        <w:t>7, if dot11EDCATableIndex is 1,</w:t>
      </w:r>
    </w:p>
    <w:p w:rsidR="00073BA5" w:rsidRPr="00073BA5" w:rsidRDefault="00073BA5" w:rsidP="00073BA5">
      <w:pPr>
        <w:autoSpaceDE w:val="0"/>
        <w:autoSpaceDN w:val="0"/>
        <w:adjustRightInd w:val="0"/>
        <w:rPr>
          <w:rFonts w:ascii="CourierNewPSMT" w:hAnsi="CourierNewPSMT" w:cs="CourierNewPSMT"/>
          <w:strike/>
          <w:sz w:val="18"/>
          <w:szCs w:val="18"/>
          <w:lang w:val="en-US"/>
        </w:rPr>
      </w:pPr>
      <w:r w:rsidRPr="00073BA5">
        <w:rPr>
          <w:rFonts w:ascii="CourierNewPSMT" w:hAnsi="CourierNewPSMT" w:cs="CourierNewPSMT"/>
          <w:strike/>
          <w:sz w:val="18"/>
          <w:szCs w:val="18"/>
          <w:lang w:val="en-US"/>
        </w:rPr>
        <w:t>3, if dot11EDCATableIndex is 2</w:t>
      </w:r>
    </w:p>
    <w:p w:rsidR="00073BA5" w:rsidRDefault="00073BA5" w:rsidP="00073BA5">
      <w:pPr>
        <w:autoSpaceDE w:val="0"/>
        <w:autoSpaceDN w:val="0"/>
        <w:adjustRightInd w:val="0"/>
        <w:rPr>
          <w:rFonts w:ascii="CourierNewPSMT" w:hAnsi="CourierNewPSMT" w:cs="CourierNewPSMT"/>
          <w:sz w:val="18"/>
          <w:szCs w:val="18"/>
          <w:lang w:val="en-US"/>
        </w:rPr>
      </w:pPr>
      <w:r w:rsidRPr="00073BA5">
        <w:rPr>
          <w:rFonts w:ascii="CourierNewPSMT" w:hAnsi="CourierNewPSMT" w:cs="CourierNewPSMT"/>
          <w:strike/>
          <w:sz w:val="18"/>
          <w:szCs w:val="18"/>
          <w:lang w:val="en-US"/>
        </w:rPr>
        <w:t>2, otherwise.</w:t>
      </w:r>
      <w:r>
        <w:rPr>
          <w:rFonts w:ascii="CourierNewPSMT" w:hAnsi="CourierNewPSMT" w:cs="CourierNewPSMT"/>
          <w:sz w:val="18"/>
          <w:szCs w:val="18"/>
          <w:lang w:val="en-US"/>
        </w:rPr>
        <w:t>"</w:t>
      </w:r>
    </w:p>
    <w:p w:rsidR="006A7E24" w:rsidRDefault="00073BA5" w:rsidP="00073BA5">
      <w:r>
        <w:rPr>
          <w:rFonts w:ascii="CourierNewPSMT" w:hAnsi="CourierNewPSMT" w:cs="CourierNewPSMT"/>
          <w:sz w:val="18"/>
          <w:szCs w:val="18"/>
          <w:lang w:val="en-US"/>
        </w:rPr>
        <w:t>::= { dot11EDCAEntry 4 }</w:t>
      </w:r>
    </w:p>
    <w:p w:rsidR="004350CF" w:rsidRDefault="004350CF">
      <w:pPr>
        <w:rPr>
          <w:b/>
        </w:rPr>
      </w:pPr>
    </w:p>
    <w:p w:rsidR="003567CA" w:rsidRPr="004350CF" w:rsidRDefault="004350CF">
      <w:r w:rsidRPr="004350CF">
        <w:t>Apply same changes to MIB variables at 2720.3 and 2720.24.</w:t>
      </w:r>
      <w:r w:rsidR="003567CA" w:rsidRPr="004350CF">
        <w:br w:type="page"/>
      </w:r>
    </w:p>
    <w:p w:rsidR="008F3ED1" w:rsidRDefault="00091537" w:rsidP="008F3ED1">
      <w:pPr>
        <w:rPr>
          <w:b/>
        </w:rPr>
      </w:pPr>
      <w:r>
        <w:rPr>
          <w:b/>
        </w:rPr>
        <w:lastRenderedPageBreak/>
        <w:t xml:space="preserve">CID </w:t>
      </w:r>
      <w:r w:rsidR="00804820">
        <w:rPr>
          <w:b/>
        </w:rPr>
        <w:t>2199</w:t>
      </w:r>
    </w:p>
    <w:tbl>
      <w:tblPr>
        <w:tblW w:w="13380" w:type="dxa"/>
        <w:tblInd w:w="93" w:type="dxa"/>
        <w:tblLook w:val="04A0" w:firstRow="1" w:lastRow="0" w:firstColumn="1" w:lastColumn="0" w:noHBand="0" w:noVBand="1"/>
      </w:tblPr>
      <w:tblGrid>
        <w:gridCol w:w="661"/>
        <w:gridCol w:w="939"/>
        <w:gridCol w:w="939"/>
        <w:gridCol w:w="1106"/>
        <w:gridCol w:w="693"/>
        <w:gridCol w:w="2685"/>
        <w:gridCol w:w="2681"/>
        <w:gridCol w:w="2662"/>
        <w:gridCol w:w="1014"/>
      </w:tblGrid>
      <w:tr w:rsidR="00804820" w:rsidRPr="00804820" w:rsidTr="00804820">
        <w:trPr>
          <w:trHeight w:val="4590"/>
        </w:trPr>
        <w:tc>
          <w:tcPr>
            <w:tcW w:w="600" w:type="dxa"/>
            <w:tcBorders>
              <w:top w:val="nil"/>
              <w:left w:val="nil"/>
              <w:bottom w:val="nil"/>
              <w:right w:val="nil"/>
            </w:tcBorders>
            <w:shd w:val="clear" w:color="auto" w:fill="auto"/>
            <w:hideMark/>
          </w:tcPr>
          <w:p w:rsidR="00804820" w:rsidRPr="00804820" w:rsidRDefault="00804820" w:rsidP="00804820">
            <w:pPr>
              <w:jc w:val="right"/>
              <w:rPr>
                <w:rFonts w:ascii="Arial" w:hAnsi="Arial" w:cs="Arial"/>
                <w:sz w:val="20"/>
                <w:lang w:val="en-US"/>
              </w:rPr>
            </w:pPr>
            <w:r w:rsidRPr="00804820">
              <w:rPr>
                <w:rFonts w:ascii="Arial" w:hAnsi="Arial" w:cs="Arial"/>
                <w:sz w:val="20"/>
                <w:lang w:val="en-US"/>
              </w:rPr>
              <w:t>2199</w:t>
            </w:r>
          </w:p>
        </w:tc>
        <w:tc>
          <w:tcPr>
            <w:tcW w:w="920" w:type="dxa"/>
            <w:tcBorders>
              <w:top w:val="nil"/>
              <w:left w:val="nil"/>
              <w:bottom w:val="nil"/>
              <w:right w:val="nil"/>
            </w:tcBorders>
            <w:shd w:val="clear" w:color="auto" w:fill="auto"/>
            <w:hideMark/>
          </w:tcPr>
          <w:p w:rsidR="00804820" w:rsidRPr="00804820" w:rsidRDefault="00804820" w:rsidP="00804820">
            <w:pPr>
              <w:jc w:val="right"/>
              <w:rPr>
                <w:rFonts w:ascii="Arial" w:hAnsi="Arial" w:cs="Arial"/>
                <w:sz w:val="20"/>
                <w:lang w:val="en-US"/>
              </w:rPr>
            </w:pPr>
            <w:r w:rsidRPr="00804820">
              <w:rPr>
                <w:rFonts w:ascii="Arial" w:hAnsi="Arial" w:cs="Arial"/>
                <w:sz w:val="20"/>
                <w:lang w:val="en-US"/>
              </w:rPr>
              <w:t>1411.32</w:t>
            </w:r>
          </w:p>
        </w:tc>
        <w:tc>
          <w:tcPr>
            <w:tcW w:w="9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10.3.4.1</w:t>
            </w:r>
          </w:p>
        </w:tc>
        <w:tc>
          <w:tcPr>
            <w:tcW w:w="11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Section 10.3.4.1 states that DMG STAs do not support authentication and deauthentication. This appears to be an optimisation that should only apply to cases where the Open Authentication algorithm is used, otherwise 11ad STAs cannot make use of other authentication algorithms such as SAE, Fast BSS Transition and those in 11ai. Even when Open Authentication is in use I'm not sure how multi-band operation is affected by this restriction.</w:t>
            </w: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Restrict this optimisation to cases where the Open Authentication algorithm is in use. This will require also changes in other parts of the draft, such as Figure 10-12 which shows authentication and association states.</w:t>
            </w: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10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MAC</w:t>
            </w:r>
          </w:p>
        </w:tc>
      </w:tr>
    </w:tbl>
    <w:p w:rsidR="008F3ED1" w:rsidRPr="001407D4" w:rsidRDefault="008F3ED1" w:rsidP="008F3ED1">
      <w:pPr>
        <w:rPr>
          <w:b/>
        </w:rPr>
      </w:pPr>
    </w:p>
    <w:p w:rsidR="008F3ED1" w:rsidRPr="001407D4" w:rsidRDefault="008F3ED1" w:rsidP="008F3ED1">
      <w:pPr>
        <w:rPr>
          <w:b/>
        </w:rPr>
      </w:pPr>
      <w:r w:rsidRPr="001407D4">
        <w:rPr>
          <w:b/>
        </w:rPr>
        <w:t>Discussion:</w:t>
      </w:r>
    </w:p>
    <w:p w:rsidR="008F3ED1" w:rsidRDefault="008F3ED1" w:rsidP="008F3ED1"/>
    <w:p w:rsidR="00B81954" w:rsidRDefault="00804820" w:rsidP="008F3ED1">
      <w:r>
        <w:t>The cited text is below:</w:t>
      </w:r>
    </w:p>
    <w:p w:rsidR="00804820" w:rsidRDefault="00804820" w:rsidP="008F3ED1"/>
    <w:p w:rsidR="00804820" w:rsidRDefault="00804820" w:rsidP="008F3ED1">
      <w:r>
        <w:rPr>
          <w:noProof/>
          <w:lang w:val="en-US"/>
        </w:rPr>
        <w:drawing>
          <wp:inline distT="0" distB="0" distL="0" distR="0">
            <wp:extent cx="5943600" cy="60637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6373"/>
                    </a:xfrm>
                    <a:prstGeom prst="rect">
                      <a:avLst/>
                    </a:prstGeom>
                    <a:noFill/>
                    <a:ln>
                      <a:noFill/>
                    </a:ln>
                  </pic:spPr>
                </pic:pic>
              </a:graphicData>
            </a:graphic>
          </wp:inline>
        </w:drawing>
      </w:r>
    </w:p>
    <w:p w:rsidR="00804820" w:rsidRDefault="00804820" w:rsidP="008F3ED1"/>
    <w:p w:rsidR="00804820" w:rsidRDefault="00804820" w:rsidP="008F3ED1">
      <w:r>
        <w:t xml:space="preserve">The commenter notes that because DMG STAs don’t support.11 authentication frames, they can’t use protocols that are carried in .11 authenticaiton frames. That’s true. </w:t>
      </w:r>
      <w:r w:rsidR="00926E18">
        <w:t>If we changed to allow exchange of authentication frames, use would be optional so as to not make existing implementations non-compliant. Are there interoperability issues – if a DMG STA sends an authentication request frame to another DMG sta that doesn’t support authentication frames, won’t connect. Need advertisement mechanism?</w:t>
      </w:r>
    </w:p>
    <w:p w:rsidR="00804820" w:rsidRDefault="00804820" w:rsidP="008F3ED1"/>
    <w:p w:rsidR="00804820" w:rsidRDefault="00804820" w:rsidP="008F3ED1">
      <w:r>
        <w:t>Need discussion. What was the rationale for dropping use of authentication frames in 11ad?</w:t>
      </w:r>
      <w:r>
        <w:br/>
      </w:r>
    </w:p>
    <w:p w:rsidR="00A94212" w:rsidRDefault="00A94212" w:rsidP="008F3ED1">
      <w:r w:rsidRPr="00425528">
        <w:rPr>
          <w:highlight w:val="yellow"/>
        </w:rPr>
        <w:t>Assigned to Carlos</w:t>
      </w:r>
      <w:r w:rsidR="00425528" w:rsidRPr="00425528">
        <w:rPr>
          <w:highlight w:val="yellow"/>
        </w:rPr>
        <w:t xml:space="preserve"> Cordiero</w:t>
      </w:r>
    </w:p>
    <w:p w:rsidR="00A94212" w:rsidRPr="00804820" w:rsidRDefault="00A94212" w:rsidP="008F3ED1"/>
    <w:p w:rsidR="00A94212" w:rsidRDefault="00887DE3" w:rsidP="008F3ED1">
      <w:pPr>
        <w:rPr>
          <w:b/>
        </w:rPr>
      </w:pPr>
      <w:r>
        <w:rPr>
          <w:b/>
        </w:rPr>
        <w:t>Proposed resolution:</w:t>
      </w:r>
      <w:r w:rsidR="00804820">
        <w:rPr>
          <w:b/>
        </w:rPr>
        <w:t xml:space="preserve"> </w:t>
      </w:r>
      <w:r w:rsidR="00A94212">
        <w:rPr>
          <w:b/>
        </w:rPr>
        <w:t>TBD</w:t>
      </w:r>
    </w:p>
    <w:p w:rsidR="00A94212" w:rsidRDefault="00A94212" w:rsidP="008F3ED1">
      <w:pPr>
        <w:rPr>
          <w:b/>
        </w:rPr>
      </w:pPr>
    </w:p>
    <w:p w:rsidR="00A94212" w:rsidRDefault="00A94212" w:rsidP="008F3ED1">
      <w:pPr>
        <w:rPr>
          <w:b/>
        </w:rPr>
      </w:pPr>
    </w:p>
    <w:p w:rsidR="00A94212" w:rsidRDefault="00A94212" w:rsidP="008F3ED1">
      <w:pPr>
        <w:rPr>
          <w:b/>
        </w:rPr>
      </w:pPr>
    </w:p>
    <w:p w:rsidR="00A94212" w:rsidRDefault="00A94212" w:rsidP="008F3ED1">
      <w:pPr>
        <w:rPr>
          <w:b/>
        </w:rPr>
      </w:pPr>
    </w:p>
    <w:p w:rsidR="008F3ED1" w:rsidRPr="00F8491E" w:rsidRDefault="00A94212" w:rsidP="008F3ED1">
      <w:pPr>
        <w:rPr>
          <w:b/>
        </w:rPr>
      </w:pPr>
      <w:r>
        <w:rPr>
          <w:b/>
        </w:rPr>
        <w:t xml:space="preserve">Possible: </w:t>
      </w:r>
      <w:r w:rsidR="00804820">
        <w:rPr>
          <w:b/>
        </w:rPr>
        <w:t>Rejected</w:t>
      </w:r>
    </w:p>
    <w:p w:rsidR="00926E18" w:rsidRDefault="00926E18" w:rsidP="008F3ED1">
      <w:r>
        <w:t>“</w:t>
      </w:r>
      <w:r w:rsidRPr="00926E18">
        <w:t>The comment fails to identify changes in sufficient detail so that the specific wording of the changes that will satisfy the commenter can be determined.</w:t>
      </w:r>
      <w:r>
        <w:t>”</w:t>
      </w:r>
    </w:p>
    <w:p w:rsidR="00926E18" w:rsidRDefault="00926E18">
      <w:r>
        <w:br w:type="page"/>
      </w:r>
    </w:p>
    <w:p w:rsidR="007E185A" w:rsidRDefault="007E185A" w:rsidP="008F3ED1">
      <w:r>
        <w:rPr>
          <w:b/>
        </w:rPr>
        <w:lastRenderedPageBreak/>
        <w:t>CID 2410</w:t>
      </w:r>
    </w:p>
    <w:p w:rsidR="007E185A" w:rsidRDefault="007E185A" w:rsidP="008F3ED1"/>
    <w:tbl>
      <w:tblPr>
        <w:tblW w:w="13380" w:type="dxa"/>
        <w:tblInd w:w="93" w:type="dxa"/>
        <w:tblLook w:val="04A0" w:firstRow="1" w:lastRow="0" w:firstColumn="1" w:lastColumn="0" w:noHBand="0" w:noVBand="1"/>
      </w:tblPr>
      <w:tblGrid>
        <w:gridCol w:w="661"/>
        <w:gridCol w:w="939"/>
        <w:gridCol w:w="842"/>
        <w:gridCol w:w="954"/>
        <w:gridCol w:w="607"/>
        <w:gridCol w:w="3085"/>
        <w:gridCol w:w="3085"/>
        <w:gridCol w:w="2262"/>
        <w:gridCol w:w="945"/>
      </w:tblGrid>
      <w:tr w:rsidR="007E185A" w:rsidRPr="007E185A" w:rsidTr="007E185A">
        <w:trPr>
          <w:trHeight w:val="1275"/>
        </w:trPr>
        <w:tc>
          <w:tcPr>
            <w:tcW w:w="661" w:type="dxa"/>
            <w:tcBorders>
              <w:top w:val="nil"/>
              <w:left w:val="nil"/>
              <w:bottom w:val="nil"/>
              <w:right w:val="nil"/>
            </w:tcBorders>
            <w:shd w:val="clear" w:color="auto" w:fill="auto"/>
            <w:hideMark/>
          </w:tcPr>
          <w:p w:rsidR="007E185A" w:rsidRPr="007E185A" w:rsidRDefault="007E185A" w:rsidP="007E185A">
            <w:pPr>
              <w:jc w:val="right"/>
              <w:rPr>
                <w:rFonts w:ascii="Arial" w:hAnsi="Arial" w:cs="Arial"/>
                <w:sz w:val="20"/>
                <w:lang w:val="en-US"/>
              </w:rPr>
            </w:pPr>
            <w:r w:rsidRPr="007E185A">
              <w:rPr>
                <w:rFonts w:ascii="Arial" w:hAnsi="Arial" w:cs="Arial"/>
                <w:sz w:val="20"/>
                <w:lang w:val="en-US"/>
              </w:rPr>
              <w:t>2410</w:t>
            </w:r>
          </w:p>
        </w:tc>
        <w:tc>
          <w:tcPr>
            <w:tcW w:w="939" w:type="dxa"/>
            <w:tcBorders>
              <w:top w:val="nil"/>
              <w:left w:val="nil"/>
              <w:bottom w:val="nil"/>
              <w:right w:val="nil"/>
            </w:tcBorders>
            <w:shd w:val="clear" w:color="auto" w:fill="auto"/>
            <w:hideMark/>
          </w:tcPr>
          <w:p w:rsidR="007E185A" w:rsidRPr="007E185A" w:rsidRDefault="007E185A" w:rsidP="007E185A">
            <w:pPr>
              <w:jc w:val="right"/>
              <w:rPr>
                <w:rFonts w:ascii="Arial" w:hAnsi="Arial" w:cs="Arial"/>
                <w:sz w:val="20"/>
                <w:lang w:val="en-US"/>
              </w:rPr>
            </w:pPr>
            <w:r w:rsidRPr="007E185A">
              <w:rPr>
                <w:rFonts w:ascii="Arial" w:hAnsi="Arial" w:cs="Arial"/>
                <w:sz w:val="20"/>
                <w:lang w:val="en-US"/>
              </w:rPr>
              <w:t>2745.02</w:t>
            </w:r>
          </w:p>
        </w:tc>
        <w:tc>
          <w:tcPr>
            <w:tcW w:w="842"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C.3</w:t>
            </w:r>
          </w:p>
        </w:tc>
        <w:tc>
          <w:tcPr>
            <w:tcW w:w="954"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607"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308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dot11HRCCAModeImplemented only appears in Annex C.3 I can find no reference to it outside of Annex C.3. Suggest it is deleted.</w:t>
            </w:r>
          </w:p>
        </w:tc>
        <w:tc>
          <w:tcPr>
            <w:tcW w:w="308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Delete dot11HRCCAModeImplemented at P2745L2, P2753L57, P2754L8-27, P2819L37</w:t>
            </w:r>
          </w:p>
        </w:tc>
        <w:tc>
          <w:tcPr>
            <w:tcW w:w="2262"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94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GEN</w:t>
            </w:r>
          </w:p>
        </w:tc>
      </w:tr>
    </w:tbl>
    <w:p w:rsidR="007E185A" w:rsidRPr="001407D4" w:rsidRDefault="007E185A" w:rsidP="007E185A">
      <w:pPr>
        <w:rPr>
          <w:b/>
        </w:rPr>
      </w:pPr>
      <w:r w:rsidRPr="001407D4">
        <w:rPr>
          <w:b/>
        </w:rPr>
        <w:t>Discussion:</w:t>
      </w:r>
    </w:p>
    <w:p w:rsidR="007E185A" w:rsidRDefault="007E185A" w:rsidP="007E185A"/>
    <w:p w:rsidR="007E185A" w:rsidRDefault="007E185A" w:rsidP="007E185A">
      <w:r>
        <w:t>The cited MIB variable is below (at P2754L8-27):</w:t>
      </w:r>
    </w:p>
    <w:p w:rsidR="007E185A" w:rsidRDefault="007E185A" w:rsidP="007E185A"/>
    <w:p w:rsidR="007E185A" w:rsidRDefault="007E185A" w:rsidP="007E185A"/>
    <w:p w:rsidR="007E185A" w:rsidRDefault="007E185A" w:rsidP="008F3ED1">
      <w:r>
        <w:rPr>
          <w:noProof/>
          <w:lang w:val="en-US"/>
        </w:rPr>
        <w:drawing>
          <wp:inline distT="0" distB="0" distL="0" distR="0">
            <wp:extent cx="5943600" cy="271966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19664"/>
                    </a:xfrm>
                    <a:prstGeom prst="rect">
                      <a:avLst/>
                    </a:prstGeom>
                    <a:noFill/>
                    <a:ln>
                      <a:noFill/>
                    </a:ln>
                  </pic:spPr>
                </pic:pic>
              </a:graphicData>
            </a:graphic>
          </wp:inline>
        </w:drawing>
      </w:r>
    </w:p>
    <w:p w:rsidR="007E185A" w:rsidRDefault="007E185A" w:rsidP="008F3ED1"/>
    <w:p w:rsidR="00425528" w:rsidRDefault="00425528" w:rsidP="007E185A">
      <w:pPr>
        <w:rPr>
          <w:b/>
        </w:rPr>
      </w:pPr>
    </w:p>
    <w:p w:rsidR="00425528" w:rsidRPr="00F85F26" w:rsidRDefault="00425528" w:rsidP="007E185A">
      <w:r w:rsidRPr="00F85F26">
        <w:rPr>
          <w:highlight w:val="yellow"/>
        </w:rPr>
        <w:t>Assigned to Mark Hamilton</w:t>
      </w:r>
    </w:p>
    <w:p w:rsidR="00425528" w:rsidRDefault="00425528" w:rsidP="007E185A">
      <w:pPr>
        <w:rPr>
          <w:b/>
        </w:rPr>
      </w:pPr>
    </w:p>
    <w:p w:rsidR="00D74481" w:rsidRDefault="007E185A" w:rsidP="00425528">
      <w:r>
        <w:rPr>
          <w:b/>
        </w:rPr>
        <w:t xml:space="preserve">Proposed resolution: </w:t>
      </w:r>
      <w:r w:rsidR="00425528">
        <w:rPr>
          <w:b/>
        </w:rPr>
        <w:t>TBD</w:t>
      </w:r>
    </w:p>
    <w:p w:rsidR="00D74481" w:rsidRDefault="00D74481" w:rsidP="008F3ED1"/>
    <w:p w:rsidR="00D74481" w:rsidRDefault="00D74481">
      <w:r>
        <w:br w:type="page"/>
      </w:r>
    </w:p>
    <w:p w:rsidR="00D74481" w:rsidRDefault="00D74481" w:rsidP="00D74481">
      <w:r>
        <w:rPr>
          <w:b/>
        </w:rPr>
        <w:lastRenderedPageBreak/>
        <w:t>CID 2483</w:t>
      </w:r>
    </w:p>
    <w:p w:rsidR="00D74481" w:rsidRDefault="00D74481" w:rsidP="008F3ED1"/>
    <w:tbl>
      <w:tblPr>
        <w:tblW w:w="1338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gridCol w:w="2700"/>
        <w:gridCol w:w="1020"/>
      </w:tblGrid>
      <w:tr w:rsidR="00D74481" w:rsidTr="00D74481">
        <w:trPr>
          <w:trHeight w:val="1530"/>
        </w:trPr>
        <w:tc>
          <w:tcPr>
            <w:tcW w:w="6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jc w:val="right"/>
              <w:rPr>
                <w:rFonts w:ascii="Arial" w:hAnsi="Arial" w:cs="Arial"/>
                <w:sz w:val="20"/>
              </w:rPr>
            </w:pPr>
            <w:r>
              <w:rPr>
                <w:rFonts w:ascii="Arial" w:hAnsi="Arial" w:cs="Arial"/>
                <w:sz w:val="20"/>
              </w:rPr>
              <w:t>2483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jc w:val="right"/>
              <w:rPr>
                <w:rFonts w:ascii="Arial" w:hAnsi="Arial" w:cs="Arial"/>
                <w:sz w:val="20"/>
              </w:rPr>
            </w:pPr>
            <w:r>
              <w:rPr>
                <w:rFonts w:ascii="Arial" w:hAnsi="Arial" w:cs="Arial"/>
                <w:sz w:val="20"/>
              </w:rPr>
              <w:t>2401.00</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C.3</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dot11BeaconInterval' is referred In 10.2.3.3 (Initialization of power management within an IBSS), but it is not defined C.3.</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Define the dot11BeaconInterval in MIB.</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10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GEN</w:t>
            </w:r>
          </w:p>
        </w:tc>
      </w:tr>
    </w:tbl>
    <w:p w:rsidR="00D74481" w:rsidRPr="001407D4" w:rsidRDefault="00D74481" w:rsidP="00D74481">
      <w:pPr>
        <w:rPr>
          <w:b/>
        </w:rPr>
      </w:pPr>
      <w:r>
        <w:t xml:space="preserve"> </w:t>
      </w:r>
      <w:r w:rsidRPr="001407D4">
        <w:rPr>
          <w:b/>
        </w:rPr>
        <w:t>Discussion:</w:t>
      </w:r>
    </w:p>
    <w:p w:rsidR="00D74481" w:rsidRDefault="00D74481" w:rsidP="00D74481"/>
    <w:p w:rsidR="00D74481" w:rsidRDefault="00D74481" w:rsidP="00D74481">
      <w:r>
        <w:t xml:space="preserve">The cited MIB </w:t>
      </w:r>
      <w:r w:rsidR="00425528">
        <w:t>variable name is incorrect – change.</w:t>
      </w:r>
    </w:p>
    <w:p w:rsidR="006A588C" w:rsidRDefault="006A588C" w:rsidP="00D74481"/>
    <w:p w:rsidR="006A588C" w:rsidRDefault="006A588C" w:rsidP="00D74481"/>
    <w:p w:rsidR="006A588C" w:rsidRDefault="006A588C" w:rsidP="006A588C">
      <w:pPr>
        <w:rPr>
          <w:b/>
        </w:rPr>
      </w:pPr>
      <w:r w:rsidRPr="00425528">
        <w:rPr>
          <w:b/>
          <w:highlight w:val="green"/>
        </w:rPr>
        <w:t xml:space="preserve">Proposed resolution: </w:t>
      </w:r>
      <w:r w:rsidR="00425528" w:rsidRPr="00425528">
        <w:rPr>
          <w:b/>
          <w:highlight w:val="green"/>
        </w:rPr>
        <w:t>Revised</w:t>
      </w:r>
    </w:p>
    <w:p w:rsidR="00425528" w:rsidRDefault="00425528" w:rsidP="006A588C">
      <w:pPr>
        <w:rPr>
          <w:b/>
        </w:rPr>
      </w:pPr>
    </w:p>
    <w:p w:rsidR="00425528" w:rsidRPr="00425528" w:rsidRDefault="00425528" w:rsidP="006A588C">
      <w:r>
        <w:t>Change from “</w:t>
      </w:r>
      <w:r>
        <w:rPr>
          <w:rFonts w:ascii="Arial" w:hAnsi="Arial" w:cs="Arial"/>
          <w:sz w:val="20"/>
        </w:rPr>
        <w:t>dot11BeaconInterval” to “dot11BeaconPeriod”</w:t>
      </w:r>
    </w:p>
    <w:p w:rsidR="002E261F" w:rsidRDefault="008F3ED1" w:rsidP="002E261F">
      <w:r>
        <w:br w:type="page"/>
      </w:r>
      <w:r w:rsidR="002E261F">
        <w:rPr>
          <w:b/>
        </w:rPr>
        <w:lastRenderedPageBreak/>
        <w:t>CID 2065</w:t>
      </w:r>
    </w:p>
    <w:p w:rsidR="002E261F" w:rsidRDefault="002E261F" w:rsidP="002E261F"/>
    <w:tbl>
      <w:tblPr>
        <w:tblW w:w="13380" w:type="dxa"/>
        <w:tblInd w:w="93" w:type="dxa"/>
        <w:tblLook w:val="04A0" w:firstRow="1" w:lastRow="0" w:firstColumn="1" w:lastColumn="0" w:noHBand="0" w:noVBand="1"/>
      </w:tblPr>
      <w:tblGrid>
        <w:gridCol w:w="661"/>
        <w:gridCol w:w="939"/>
        <w:gridCol w:w="1106"/>
        <w:gridCol w:w="1079"/>
        <w:gridCol w:w="678"/>
        <w:gridCol w:w="2664"/>
        <w:gridCol w:w="2662"/>
        <w:gridCol w:w="2587"/>
        <w:gridCol w:w="1004"/>
      </w:tblGrid>
      <w:tr w:rsidR="00425528" w:rsidTr="00425528">
        <w:trPr>
          <w:trHeight w:val="2550"/>
        </w:trPr>
        <w:tc>
          <w:tcPr>
            <w:tcW w:w="661" w:type="dxa"/>
            <w:tcBorders>
              <w:top w:val="nil"/>
              <w:left w:val="nil"/>
              <w:bottom w:val="nil"/>
              <w:right w:val="nil"/>
            </w:tcBorders>
            <w:shd w:val="clear" w:color="auto" w:fill="auto"/>
            <w:hideMark/>
          </w:tcPr>
          <w:p w:rsidR="00425528" w:rsidRDefault="00425528">
            <w:pPr>
              <w:jc w:val="right"/>
              <w:rPr>
                <w:rFonts w:ascii="Arial" w:hAnsi="Arial" w:cs="Arial"/>
                <w:sz w:val="20"/>
              </w:rPr>
            </w:pPr>
            <w:r>
              <w:rPr>
                <w:rFonts w:ascii="Arial" w:hAnsi="Arial" w:cs="Arial"/>
                <w:sz w:val="20"/>
              </w:rPr>
              <w:t>2065</w:t>
            </w:r>
          </w:p>
        </w:tc>
        <w:tc>
          <w:tcPr>
            <w:tcW w:w="939" w:type="dxa"/>
            <w:tcBorders>
              <w:top w:val="nil"/>
              <w:left w:val="nil"/>
              <w:bottom w:val="nil"/>
              <w:right w:val="nil"/>
            </w:tcBorders>
            <w:shd w:val="clear" w:color="auto" w:fill="auto"/>
            <w:hideMark/>
          </w:tcPr>
          <w:p w:rsidR="00425528" w:rsidRDefault="00425528">
            <w:pPr>
              <w:jc w:val="right"/>
              <w:rPr>
                <w:rFonts w:ascii="Arial" w:hAnsi="Arial" w:cs="Arial"/>
                <w:sz w:val="20"/>
              </w:rPr>
            </w:pPr>
            <w:r>
              <w:rPr>
                <w:rFonts w:ascii="Arial" w:hAnsi="Arial" w:cs="Arial"/>
                <w:sz w:val="20"/>
              </w:rPr>
              <w:t>1200.14</w:t>
            </w:r>
          </w:p>
        </w:tc>
        <w:tc>
          <w:tcPr>
            <w:tcW w:w="1106"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9.22.7.2.2</w:t>
            </w:r>
          </w:p>
        </w:tc>
        <w:tc>
          <w:tcPr>
            <w:tcW w:w="1079" w:type="dxa"/>
            <w:tcBorders>
              <w:top w:val="nil"/>
              <w:left w:val="nil"/>
              <w:bottom w:val="nil"/>
              <w:right w:val="nil"/>
            </w:tcBorders>
            <w:shd w:val="clear" w:color="auto" w:fill="auto"/>
            <w:hideMark/>
          </w:tcPr>
          <w:p w:rsidR="00425528" w:rsidRDefault="00425528">
            <w:pPr>
              <w:rPr>
                <w:rFonts w:ascii="Arial" w:hAnsi="Arial" w:cs="Arial"/>
                <w:sz w:val="20"/>
              </w:rPr>
            </w:pPr>
          </w:p>
        </w:tc>
        <w:tc>
          <w:tcPr>
            <w:tcW w:w="678" w:type="dxa"/>
            <w:tcBorders>
              <w:top w:val="nil"/>
              <w:left w:val="nil"/>
              <w:bottom w:val="nil"/>
              <w:right w:val="nil"/>
            </w:tcBorders>
            <w:shd w:val="clear" w:color="auto" w:fill="auto"/>
            <w:hideMark/>
          </w:tcPr>
          <w:p w:rsidR="00425528" w:rsidRDefault="00425528">
            <w:pPr>
              <w:rPr>
                <w:rFonts w:ascii="Arial" w:hAnsi="Arial" w:cs="Arial"/>
                <w:sz w:val="20"/>
              </w:rPr>
            </w:pPr>
          </w:p>
        </w:tc>
        <w:tc>
          <w:tcPr>
            <w:tcW w:w="2664"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The insertion (9.22.7.2.2) is possibly in the wrong place.  It is talking about Block Ack,  not HT-Immediate block ack.  Further,  adding it necessitated turning the orginal contents of 9.22.7.2 into an introduction,  when in fact it is the main meat of this subclause.</w:t>
            </w:r>
          </w:p>
        </w:tc>
        <w:tc>
          <w:tcPr>
            <w:tcW w:w="2662"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Find a better home for this subclause.  Or if it in the right place,  rename 9.22.7.2.1 to "General".</w:t>
            </w:r>
          </w:p>
        </w:tc>
        <w:tc>
          <w:tcPr>
            <w:tcW w:w="2587" w:type="dxa"/>
            <w:tcBorders>
              <w:top w:val="nil"/>
              <w:left w:val="nil"/>
              <w:bottom w:val="nil"/>
              <w:right w:val="nil"/>
            </w:tcBorders>
            <w:shd w:val="clear" w:color="auto" w:fill="auto"/>
            <w:hideMark/>
          </w:tcPr>
          <w:p w:rsidR="00425528" w:rsidRDefault="00425528">
            <w:pPr>
              <w:rPr>
                <w:rFonts w:ascii="Arial" w:hAnsi="Arial" w:cs="Arial"/>
                <w:sz w:val="20"/>
              </w:rPr>
            </w:pPr>
          </w:p>
        </w:tc>
        <w:tc>
          <w:tcPr>
            <w:tcW w:w="1004"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MAC</w:t>
            </w:r>
          </w:p>
        </w:tc>
      </w:tr>
    </w:tbl>
    <w:p w:rsidR="002E261F" w:rsidRPr="001407D4" w:rsidRDefault="002E261F" w:rsidP="002E261F">
      <w:pPr>
        <w:rPr>
          <w:b/>
        </w:rPr>
      </w:pPr>
      <w:r>
        <w:t xml:space="preserve"> </w:t>
      </w:r>
      <w:r w:rsidRPr="001407D4">
        <w:rPr>
          <w:b/>
        </w:rPr>
        <w:t>Discussion:</w:t>
      </w:r>
    </w:p>
    <w:p w:rsidR="002E261F" w:rsidRDefault="002E261F" w:rsidP="002E261F"/>
    <w:p w:rsidR="002E261F" w:rsidRDefault="00F13892" w:rsidP="002E261F">
      <w:bookmarkStart w:id="0" w:name="_GoBack"/>
      <w:bookmarkEnd w:id="0"/>
      <w:r>
        <w:t>Agree with the commenter that the 11ad insertion is in the wrong place.</w:t>
      </w:r>
    </w:p>
    <w:p w:rsidR="00F13892" w:rsidRDefault="00F13892" w:rsidP="002E261F">
      <w:r>
        <w:t>Looking for a better place…….</w:t>
      </w:r>
    </w:p>
    <w:p w:rsidR="002E261F" w:rsidRDefault="002E261F" w:rsidP="002E261F"/>
    <w:p w:rsidR="002E261F" w:rsidRDefault="002E261F" w:rsidP="002E261F"/>
    <w:p w:rsidR="002E261F" w:rsidRPr="00F8491E" w:rsidRDefault="00425528" w:rsidP="002E261F">
      <w:pPr>
        <w:rPr>
          <w:b/>
        </w:rPr>
      </w:pPr>
      <w:r>
        <w:rPr>
          <w:b/>
        </w:rPr>
        <w:t>Proposed resolution: TBD</w:t>
      </w:r>
    </w:p>
    <w:p w:rsidR="002E261F" w:rsidRDefault="002E261F">
      <w:r>
        <w:br w:type="page"/>
      </w:r>
    </w:p>
    <w:p w:rsidR="002E261F" w:rsidRDefault="002E261F">
      <w:r>
        <w:lastRenderedPageBreak/>
        <w:br w:type="page"/>
      </w:r>
    </w:p>
    <w:p w:rsidR="008F3ED1" w:rsidRDefault="008F3ED1" w:rsidP="00D74481"/>
    <w:p w:rsidR="00D74481" w:rsidRDefault="00D74481" w:rsidP="00D74481"/>
    <w:p w:rsidR="00CA09B2" w:rsidRPr="00EE1CBE" w:rsidRDefault="00CA09B2" w:rsidP="0031485C">
      <w:r>
        <w:rPr>
          <w:b/>
          <w:sz w:val="24"/>
        </w:rPr>
        <w:t>References:</w:t>
      </w:r>
    </w:p>
    <w:p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44" w:rsidRDefault="00FB5B44">
      <w:r>
        <w:separator/>
      </w:r>
    </w:p>
  </w:endnote>
  <w:endnote w:type="continuationSeparator" w:id="0">
    <w:p w:rsidR="00FB5B44" w:rsidRDefault="00FB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914B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13892">
      <w:rPr>
        <w:noProof/>
      </w:rPr>
      <w:t>7</w:t>
    </w:r>
    <w:r>
      <w:fldChar w:fldCharType="end"/>
    </w:r>
    <w:r>
      <w:tab/>
    </w:r>
    <w:fldSimple w:instr=" COMMENTS  \* MERGEFORMAT ">
      <w:r>
        <w:t>Dorothy Stanley, Aruba Networks</w:t>
      </w:r>
    </w:fldSimple>
  </w:p>
  <w:p w:rsidR="00914B92" w:rsidRDefault="00914B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44" w:rsidRDefault="00FB5B44">
      <w:r>
        <w:separator/>
      </w:r>
    </w:p>
  </w:footnote>
  <w:footnote w:type="continuationSeparator" w:id="0">
    <w:p w:rsidR="00FB5B44" w:rsidRDefault="00FB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3720A1">
    <w:pPr>
      <w:pStyle w:val="Header"/>
      <w:tabs>
        <w:tab w:val="clear" w:pos="6480"/>
        <w:tab w:val="center" w:pos="4680"/>
        <w:tab w:val="right" w:pos="9360"/>
      </w:tabs>
    </w:pPr>
    <w:fldSimple w:instr=" KEYWORDS  \* MERGEFORMAT ">
      <w:r w:rsidR="005B12C2">
        <w:t>November</w:t>
      </w:r>
      <w:r w:rsidR="00914B92">
        <w:t xml:space="preserve"> 2013</w:t>
      </w:r>
    </w:fldSimple>
    <w:r w:rsidR="00914B92">
      <w:tab/>
    </w:r>
    <w:r w:rsidR="00914B92">
      <w:tab/>
    </w:r>
    <w:fldSimple w:instr=" TITLE  \* MERGEFORMAT ">
      <w:r w:rsidR="005B12C2">
        <w:t>doc.: IEEE 802.11-13/1399</w:t>
      </w:r>
      <w:r w:rsidR="00914B92">
        <w:t>r</w:t>
      </w:r>
    </w:fldSimple>
    <w:r w:rsidR="00F1389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73BA5"/>
    <w:rsid w:val="00091537"/>
    <w:rsid w:val="000A4216"/>
    <w:rsid w:val="000B3C1C"/>
    <w:rsid w:val="000C0193"/>
    <w:rsid w:val="000D38B9"/>
    <w:rsid w:val="0013188A"/>
    <w:rsid w:val="00134456"/>
    <w:rsid w:val="001407D4"/>
    <w:rsid w:val="00142954"/>
    <w:rsid w:val="001445BF"/>
    <w:rsid w:val="001C670B"/>
    <w:rsid w:val="001D723B"/>
    <w:rsid w:val="001E396A"/>
    <w:rsid w:val="001F35C4"/>
    <w:rsid w:val="002022AA"/>
    <w:rsid w:val="002535E9"/>
    <w:rsid w:val="0029020B"/>
    <w:rsid w:val="00291253"/>
    <w:rsid w:val="002A282D"/>
    <w:rsid w:val="002C0475"/>
    <w:rsid w:val="002C2468"/>
    <w:rsid w:val="002D44BE"/>
    <w:rsid w:val="002E0EC0"/>
    <w:rsid w:val="002E222D"/>
    <w:rsid w:val="002E261F"/>
    <w:rsid w:val="002E62E3"/>
    <w:rsid w:val="00313FFB"/>
    <w:rsid w:val="0031485C"/>
    <w:rsid w:val="00330467"/>
    <w:rsid w:val="00335409"/>
    <w:rsid w:val="003424CF"/>
    <w:rsid w:val="003567CA"/>
    <w:rsid w:val="003656CA"/>
    <w:rsid w:val="003678B0"/>
    <w:rsid w:val="003720A1"/>
    <w:rsid w:val="00393416"/>
    <w:rsid w:val="003B05DE"/>
    <w:rsid w:val="003D340A"/>
    <w:rsid w:val="00404CF7"/>
    <w:rsid w:val="00405C61"/>
    <w:rsid w:val="00425528"/>
    <w:rsid w:val="004350CF"/>
    <w:rsid w:val="00442037"/>
    <w:rsid w:val="00480D33"/>
    <w:rsid w:val="00490F42"/>
    <w:rsid w:val="004A49A6"/>
    <w:rsid w:val="004B064B"/>
    <w:rsid w:val="004B6B95"/>
    <w:rsid w:val="004D3126"/>
    <w:rsid w:val="004E51E1"/>
    <w:rsid w:val="00501B8B"/>
    <w:rsid w:val="005317E8"/>
    <w:rsid w:val="0057415B"/>
    <w:rsid w:val="005A258B"/>
    <w:rsid w:val="005B12C2"/>
    <w:rsid w:val="005F024C"/>
    <w:rsid w:val="00615FF1"/>
    <w:rsid w:val="0062440B"/>
    <w:rsid w:val="00637F74"/>
    <w:rsid w:val="00651D9C"/>
    <w:rsid w:val="00673DBC"/>
    <w:rsid w:val="00675FDB"/>
    <w:rsid w:val="006A588C"/>
    <w:rsid w:val="006A7E24"/>
    <w:rsid w:val="006B65DD"/>
    <w:rsid w:val="006C0727"/>
    <w:rsid w:val="006C17BA"/>
    <w:rsid w:val="006E1220"/>
    <w:rsid w:val="006E145F"/>
    <w:rsid w:val="006E1C77"/>
    <w:rsid w:val="006F59A8"/>
    <w:rsid w:val="00712341"/>
    <w:rsid w:val="00770572"/>
    <w:rsid w:val="00787E18"/>
    <w:rsid w:val="00793891"/>
    <w:rsid w:val="007A1CBC"/>
    <w:rsid w:val="007B3439"/>
    <w:rsid w:val="007E185A"/>
    <w:rsid w:val="00804820"/>
    <w:rsid w:val="00813043"/>
    <w:rsid w:val="00856E34"/>
    <w:rsid w:val="0085729A"/>
    <w:rsid w:val="00862EB4"/>
    <w:rsid w:val="00870C5B"/>
    <w:rsid w:val="00887DE3"/>
    <w:rsid w:val="00890DFB"/>
    <w:rsid w:val="008A0B52"/>
    <w:rsid w:val="008A6FC5"/>
    <w:rsid w:val="008C2518"/>
    <w:rsid w:val="008C30B0"/>
    <w:rsid w:val="008D33B0"/>
    <w:rsid w:val="008E68D6"/>
    <w:rsid w:val="008F3ED1"/>
    <w:rsid w:val="00914B92"/>
    <w:rsid w:val="00926E18"/>
    <w:rsid w:val="00983964"/>
    <w:rsid w:val="00987E20"/>
    <w:rsid w:val="0099130D"/>
    <w:rsid w:val="0099443C"/>
    <w:rsid w:val="009B07F2"/>
    <w:rsid w:val="009C05A6"/>
    <w:rsid w:val="009F2FBC"/>
    <w:rsid w:val="009F6C0A"/>
    <w:rsid w:val="00A10567"/>
    <w:rsid w:val="00A22186"/>
    <w:rsid w:val="00A24C3F"/>
    <w:rsid w:val="00A67ED8"/>
    <w:rsid w:val="00A70F6E"/>
    <w:rsid w:val="00A94212"/>
    <w:rsid w:val="00A943E5"/>
    <w:rsid w:val="00AA427C"/>
    <w:rsid w:val="00AB25C5"/>
    <w:rsid w:val="00AD0C5E"/>
    <w:rsid w:val="00B158E2"/>
    <w:rsid w:val="00B3085A"/>
    <w:rsid w:val="00B45729"/>
    <w:rsid w:val="00B76EC2"/>
    <w:rsid w:val="00B80C40"/>
    <w:rsid w:val="00B81954"/>
    <w:rsid w:val="00B92FF0"/>
    <w:rsid w:val="00B970D7"/>
    <w:rsid w:val="00BA28A6"/>
    <w:rsid w:val="00BE097F"/>
    <w:rsid w:val="00BE0D2E"/>
    <w:rsid w:val="00BE56E7"/>
    <w:rsid w:val="00BE67F1"/>
    <w:rsid w:val="00BE68C2"/>
    <w:rsid w:val="00C32EEF"/>
    <w:rsid w:val="00C53696"/>
    <w:rsid w:val="00C639F9"/>
    <w:rsid w:val="00C75C71"/>
    <w:rsid w:val="00CA09B2"/>
    <w:rsid w:val="00CB290B"/>
    <w:rsid w:val="00CB4A0A"/>
    <w:rsid w:val="00CB6A79"/>
    <w:rsid w:val="00CB6EF4"/>
    <w:rsid w:val="00CF1B01"/>
    <w:rsid w:val="00D007F6"/>
    <w:rsid w:val="00D74481"/>
    <w:rsid w:val="00D75963"/>
    <w:rsid w:val="00D87C09"/>
    <w:rsid w:val="00DA2720"/>
    <w:rsid w:val="00DC5A7B"/>
    <w:rsid w:val="00DC5FCE"/>
    <w:rsid w:val="00DD0020"/>
    <w:rsid w:val="00DE0B90"/>
    <w:rsid w:val="00DE6C51"/>
    <w:rsid w:val="00E34952"/>
    <w:rsid w:val="00E34BC3"/>
    <w:rsid w:val="00E36991"/>
    <w:rsid w:val="00E6142C"/>
    <w:rsid w:val="00E6510A"/>
    <w:rsid w:val="00E751F9"/>
    <w:rsid w:val="00E77ECC"/>
    <w:rsid w:val="00E81CE8"/>
    <w:rsid w:val="00EA1C3C"/>
    <w:rsid w:val="00EC26A5"/>
    <w:rsid w:val="00EE199D"/>
    <w:rsid w:val="00EE1CBE"/>
    <w:rsid w:val="00EF417E"/>
    <w:rsid w:val="00F11418"/>
    <w:rsid w:val="00F13892"/>
    <w:rsid w:val="00F169F7"/>
    <w:rsid w:val="00F32DAD"/>
    <w:rsid w:val="00F412BB"/>
    <w:rsid w:val="00F53734"/>
    <w:rsid w:val="00F60C6D"/>
    <w:rsid w:val="00F63E17"/>
    <w:rsid w:val="00F70C84"/>
    <w:rsid w:val="00F8491E"/>
    <w:rsid w:val="00F85F26"/>
    <w:rsid w:val="00FB5B44"/>
    <w:rsid w:val="00FB7FDB"/>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FC02-636F-4B97-883A-7AB3B9AD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4728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11</cp:revision>
  <cp:lastPrinted>1901-01-01T08:00:00Z</cp:lastPrinted>
  <dcterms:created xsi:type="dcterms:W3CDTF">2013-11-12T18:24:00Z</dcterms:created>
  <dcterms:modified xsi:type="dcterms:W3CDTF">2013-11-21T20:10:00Z</dcterms:modified>
</cp:coreProperties>
</file>