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91669F">
            <w:pPr>
              <w:pStyle w:val="T2"/>
              <w:spacing w:before="120" w:after="120"/>
              <w:ind w:right="86"/>
            </w:pPr>
            <w:r>
              <w:t>Proposed</w:t>
            </w:r>
            <w:r w:rsidR="00A50415">
              <w:t xml:space="preserve"> TGai Comment Resolution</w:t>
            </w:r>
            <w:r w:rsidR="0091669F">
              <w:t>s for Section 8.5.8.35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A50415">
              <w:rPr>
                <w:b w:val="0"/>
                <w:sz w:val="20"/>
              </w:rPr>
              <w:t>1</w:t>
            </w:r>
            <w:r w:rsidR="00F650F1">
              <w:rPr>
                <w:b w:val="0"/>
                <w:sz w:val="20"/>
              </w:rPr>
              <w:t>1-</w:t>
            </w:r>
            <w:r w:rsidR="00CC0B68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CC7906">
      <w:pPr>
        <w:pStyle w:val="T1"/>
        <w:spacing w:after="120"/>
        <w:rPr>
          <w:sz w:val="22"/>
        </w:rPr>
      </w:pPr>
      <w:r w:rsidRPr="00CC790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52C3F" w:rsidRDefault="00D52C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52C3F" w:rsidRPr="000F6DBE" w:rsidRDefault="00D52C3F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 w:rsidR="00495E49">
                    <w:rPr>
                      <w:sz w:val="24"/>
                      <w:szCs w:val="24"/>
                    </w:rPr>
                    <w:t xml:space="preserve">proposes </w:t>
                  </w:r>
                  <w:r w:rsidR="0091669F">
                    <w:rPr>
                      <w:sz w:val="24"/>
                      <w:szCs w:val="24"/>
                    </w:rPr>
                    <w:t xml:space="preserve">comment </w:t>
                  </w:r>
                  <w:r>
                    <w:rPr>
                      <w:sz w:val="24"/>
                      <w:szCs w:val="24"/>
                    </w:rPr>
                    <w:t>resolution</w:t>
                  </w:r>
                  <w:r w:rsidR="00E605AA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to </w:t>
                  </w:r>
                  <w:r w:rsidR="0091669F">
                    <w:rPr>
                      <w:sz w:val="24"/>
                      <w:szCs w:val="24"/>
                    </w:rPr>
                    <w:t>the</w:t>
                  </w:r>
                  <w:r w:rsidR="00E605AA">
                    <w:rPr>
                      <w:sz w:val="24"/>
                      <w:szCs w:val="24"/>
                    </w:rPr>
                    <w:t xml:space="preserve"> comments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1669F">
                    <w:rPr>
                      <w:sz w:val="24"/>
                      <w:szCs w:val="24"/>
                    </w:rPr>
                    <w:t xml:space="preserve">on Section 8.5.8.35 in the comment database of </w:t>
                  </w:r>
                  <w:r w:rsidR="00775B4D">
                    <w:rPr>
                      <w:sz w:val="24"/>
                      <w:szCs w:val="24"/>
                    </w:rPr>
                    <w:t xml:space="preserve">the TGai </w:t>
                  </w:r>
                  <w:r>
                    <w:rPr>
                      <w:sz w:val="24"/>
                      <w:szCs w:val="24"/>
                    </w:rPr>
                    <w:t>Working Group</w:t>
                  </w:r>
                  <w:r w:rsidRPr="002B47CA">
                    <w:rPr>
                      <w:sz w:val="24"/>
                      <w:szCs w:val="24"/>
                    </w:rPr>
                    <w:t xml:space="preserve"> Technical Letter Ballot 198 </w:t>
                  </w:r>
                  <w:r w:rsidR="00775B4D">
                    <w:rPr>
                      <w:sz w:val="24"/>
                      <w:szCs w:val="24"/>
                    </w:rPr>
                    <w:t>on</w:t>
                  </w:r>
                  <w:r w:rsidRPr="002B47CA">
                    <w:rPr>
                      <w:sz w:val="24"/>
                      <w:szCs w:val="24"/>
                    </w:rPr>
                    <w:t xml:space="preserve">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52C3F" w:rsidRDefault="00D52C3F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 w:rsidR="00CC7906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_Ref370728282 \r \h </w:instrText>
      </w:r>
      <w:r w:rsidR="00CC7906">
        <w:rPr>
          <w:sz w:val="24"/>
          <w:szCs w:val="24"/>
        </w:rPr>
      </w:r>
      <w:r w:rsidR="00CC7906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[Ref-2]</w:t>
      </w:r>
      <w:r w:rsidR="00CC790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362344">
        <w:rPr>
          <w:sz w:val="24"/>
          <w:szCs w:val="24"/>
        </w:rPr>
        <w:t xml:space="preserve">about </w:t>
      </w:r>
      <w:r w:rsidR="00D278F7">
        <w:rPr>
          <w:sz w:val="24"/>
          <w:szCs w:val="24"/>
        </w:rPr>
        <w:t>8</w:t>
      </w:r>
      <w:r w:rsidR="00C51456">
        <w:rPr>
          <w:sz w:val="24"/>
          <w:szCs w:val="24"/>
        </w:rPr>
        <w:t xml:space="preserve"> comments have been submitted on </w:t>
      </w:r>
      <w:r w:rsidR="00D278F7">
        <w:rPr>
          <w:sz w:val="24"/>
          <w:szCs w:val="24"/>
        </w:rPr>
        <w:t xml:space="preserve">Section 8.5.8.35 </w:t>
      </w:r>
      <w:r w:rsidR="00D278F7" w:rsidRPr="00D278F7">
        <w:rPr>
          <w:sz w:val="24"/>
          <w:szCs w:val="24"/>
        </w:rPr>
        <w:t>FILS Discovery frame format</w:t>
      </w:r>
      <w:r w:rsidR="00C51456">
        <w:rPr>
          <w:sz w:val="24"/>
          <w:szCs w:val="24"/>
        </w:rPr>
        <w:t>. Those comments were assigned to Lei Wang.</w:t>
      </w:r>
    </w:p>
    <w:p w:rsidR="00362344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C044C8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</w:t>
      </w:r>
      <w:r w:rsidR="007B3FA1">
        <w:rPr>
          <w:sz w:val="24"/>
          <w:szCs w:val="24"/>
        </w:rPr>
        <w:t>provides</w:t>
      </w:r>
      <w:r w:rsidR="005459ED">
        <w:rPr>
          <w:sz w:val="24"/>
          <w:szCs w:val="24"/>
        </w:rPr>
        <w:t xml:space="preserve"> </w:t>
      </w:r>
      <w:r w:rsidR="007B3FA1">
        <w:rPr>
          <w:sz w:val="24"/>
          <w:szCs w:val="24"/>
        </w:rPr>
        <w:t xml:space="preserve">detailed text changes in Section 8.5.8.35 based on the proposed </w:t>
      </w:r>
      <w:r w:rsidR="005459ED">
        <w:rPr>
          <w:sz w:val="24"/>
          <w:szCs w:val="24"/>
        </w:rPr>
        <w:t>resolution</w:t>
      </w:r>
      <w:r w:rsidR="00C044C8">
        <w:rPr>
          <w:sz w:val="24"/>
          <w:szCs w:val="24"/>
        </w:rPr>
        <w:t>s</w:t>
      </w:r>
      <w:r w:rsidR="00D278F7">
        <w:rPr>
          <w:sz w:val="24"/>
          <w:szCs w:val="24"/>
        </w:rPr>
        <w:t xml:space="preserve"> to </w:t>
      </w:r>
      <w:r w:rsidR="00362344">
        <w:rPr>
          <w:sz w:val="24"/>
          <w:szCs w:val="24"/>
        </w:rPr>
        <w:t>those</w:t>
      </w:r>
      <w:r w:rsidR="00C044C8">
        <w:rPr>
          <w:sz w:val="24"/>
          <w:szCs w:val="24"/>
        </w:rPr>
        <w:t xml:space="preserve"> assigned comments</w:t>
      </w:r>
      <w:r w:rsidR="00575274">
        <w:rPr>
          <w:sz w:val="24"/>
          <w:szCs w:val="24"/>
        </w:rPr>
        <w:t>, as discuss</w:t>
      </w:r>
      <w:r w:rsidR="007B3FA1">
        <w:rPr>
          <w:sz w:val="24"/>
          <w:szCs w:val="24"/>
        </w:rPr>
        <w:t>ed in the contribution 13/1215r3</w:t>
      </w:r>
      <w:r w:rsidR="00575274">
        <w:rPr>
          <w:sz w:val="24"/>
          <w:szCs w:val="24"/>
        </w:rPr>
        <w:t xml:space="preserve"> </w:t>
      </w:r>
      <w:r w:rsidR="00CC7906">
        <w:rPr>
          <w:sz w:val="24"/>
          <w:szCs w:val="24"/>
        </w:rPr>
        <w:fldChar w:fldCharType="begin"/>
      </w:r>
      <w:r w:rsidR="00A520AD">
        <w:rPr>
          <w:sz w:val="24"/>
          <w:szCs w:val="24"/>
        </w:rPr>
        <w:instrText xml:space="preserve"> REF _Ref370745082 \r \h </w:instrText>
      </w:r>
      <w:r w:rsidR="00CC7906">
        <w:rPr>
          <w:sz w:val="24"/>
          <w:szCs w:val="24"/>
        </w:rPr>
      </w:r>
      <w:r w:rsidR="00CC7906">
        <w:rPr>
          <w:sz w:val="24"/>
          <w:szCs w:val="24"/>
        </w:rPr>
        <w:fldChar w:fldCharType="separate"/>
      </w:r>
      <w:r w:rsidR="00A520AD">
        <w:rPr>
          <w:sz w:val="24"/>
          <w:szCs w:val="24"/>
        </w:rPr>
        <w:t>[Ref-5]</w:t>
      </w:r>
      <w:r w:rsidR="00CC7906">
        <w:rPr>
          <w:sz w:val="24"/>
          <w:szCs w:val="24"/>
        </w:rPr>
        <w:fldChar w:fldCharType="end"/>
      </w:r>
      <w:r w:rsidR="00575274">
        <w:rPr>
          <w:sz w:val="24"/>
          <w:szCs w:val="24"/>
        </w:rPr>
        <w:t>.</w:t>
      </w:r>
      <w:r w:rsidR="00362344">
        <w:rPr>
          <w:sz w:val="24"/>
          <w:szCs w:val="24"/>
        </w:rPr>
        <w:t xml:space="preserve"> </w:t>
      </w:r>
    </w:p>
    <w:p w:rsidR="005459ED" w:rsidRPr="00FD46FA" w:rsidRDefault="00362344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about </w:t>
      </w:r>
      <w:r w:rsidR="007B3FA1">
        <w:rPr>
          <w:sz w:val="24"/>
          <w:szCs w:val="24"/>
        </w:rPr>
        <w:t>4</w:t>
      </w:r>
      <w:r>
        <w:rPr>
          <w:sz w:val="24"/>
          <w:szCs w:val="24"/>
        </w:rPr>
        <w:t xml:space="preserve"> comments have been resolved in TGai 2012-September meeting, as shown in Motion #7 in the meeting motion file, 13/1186r0 </w:t>
      </w:r>
      <w:r w:rsidR="00CC7906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_Ref370753309 \r \h </w:instrText>
      </w:r>
      <w:r w:rsidR="00CC7906">
        <w:rPr>
          <w:sz w:val="24"/>
          <w:szCs w:val="24"/>
        </w:rPr>
      </w:r>
      <w:r w:rsidR="00CC7906">
        <w:rPr>
          <w:sz w:val="24"/>
          <w:szCs w:val="24"/>
        </w:rPr>
        <w:fldChar w:fldCharType="separate"/>
      </w:r>
      <w:r>
        <w:rPr>
          <w:sz w:val="24"/>
          <w:szCs w:val="24"/>
        </w:rPr>
        <w:t>[Ref-6]</w:t>
      </w:r>
      <w:r w:rsidR="00CC7906">
        <w:rPr>
          <w:sz w:val="24"/>
          <w:szCs w:val="24"/>
        </w:rPr>
        <w:fldChar w:fldCharType="end"/>
      </w:r>
      <w:r>
        <w:rPr>
          <w:sz w:val="24"/>
          <w:szCs w:val="24"/>
        </w:rPr>
        <w:t>. This contribution also includes the changes of those resolved comments that are marked by Word Comment tool.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</w:t>
      </w:r>
      <w:r w:rsidR="00C044C8">
        <w:rPr>
          <w:sz w:val="24"/>
          <w:szCs w:val="24"/>
        </w:rPr>
        <w:t>1</w:t>
      </w:r>
      <w:r w:rsidR="00CC7906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_Ref370728269 \r \h </w:instrText>
      </w:r>
      <w:r w:rsidR="00CC7906">
        <w:rPr>
          <w:sz w:val="24"/>
          <w:szCs w:val="24"/>
        </w:rPr>
      </w:r>
      <w:r w:rsidR="00CC7906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[Ref-3]</w:t>
      </w:r>
      <w:r w:rsidR="00CC790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</w:t>
      </w:r>
      <w:r w:rsidR="00575274">
        <w:rPr>
          <w:sz w:val="24"/>
          <w:szCs w:val="24"/>
        </w:rPr>
        <w:t>ly</w:t>
      </w:r>
      <w:r>
        <w:rPr>
          <w:sz w:val="24"/>
          <w:szCs w:val="24"/>
        </w:rPr>
        <w:t xml:space="preserve"> added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B08A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B08A2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514EE" w:rsidRDefault="004B08A2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corresponding comments are included by square bracketed green text like </w:t>
      </w:r>
      <w:r w:rsidRPr="00F514EE">
        <w:rPr>
          <w:color w:val="008000"/>
          <w:sz w:val="24"/>
          <w:szCs w:val="24"/>
          <w:lang w:val="en-US"/>
        </w:rPr>
        <w:t>[CID</w:t>
      </w:r>
      <w:r w:rsidR="00286662">
        <w:rPr>
          <w:color w:val="008000"/>
          <w:sz w:val="24"/>
          <w:szCs w:val="24"/>
          <w:lang w:val="en-US"/>
        </w:rPr>
        <w:t xml:space="preserve"> </w:t>
      </w:r>
      <w:r w:rsidRPr="00F514EE">
        <w:rPr>
          <w:color w:val="008000"/>
          <w:sz w:val="24"/>
          <w:szCs w:val="24"/>
          <w:lang w:val="en-US"/>
        </w:rPr>
        <w:t>nnnn]</w:t>
      </w:r>
      <w:r w:rsidRPr="00F514EE">
        <w:rPr>
          <w:color w:val="00B050"/>
          <w:sz w:val="24"/>
          <w:szCs w:val="24"/>
          <w:lang w:val="en-US"/>
        </w:rPr>
        <w:t xml:space="preserve">, </w:t>
      </w:r>
      <w:r w:rsidRPr="00F514EE">
        <w:rPr>
          <w:color w:val="000000" w:themeColor="text1"/>
          <w:sz w:val="24"/>
          <w:szCs w:val="24"/>
          <w:lang w:val="en-US"/>
        </w:rPr>
        <w:t xml:space="preserve">where </w:t>
      </w:r>
      <w:r w:rsidRPr="00F514EE">
        <w:rPr>
          <w:color w:val="008000"/>
          <w:sz w:val="24"/>
          <w:szCs w:val="24"/>
          <w:lang w:val="en-US"/>
        </w:rPr>
        <w:t>nnnn</w:t>
      </w:r>
      <w:r w:rsidRPr="00F514EE">
        <w:rPr>
          <w:color w:val="000000" w:themeColor="text1"/>
          <w:sz w:val="24"/>
          <w:szCs w:val="24"/>
          <w:lang w:val="en-US"/>
        </w:rPr>
        <w:t xml:space="preserve"> is the CID number</w:t>
      </w:r>
      <w:r w:rsidR="00B15F72" w:rsidRPr="00F514EE">
        <w:rPr>
          <w:color w:val="000000" w:themeColor="text1"/>
          <w:sz w:val="24"/>
          <w:szCs w:val="24"/>
          <w:lang w:val="en-US"/>
        </w:rPr>
        <w:t xml:space="preserve"> as given in the TGai WGLB comment database, 11-13-1076-04-00ai-tgai-lb-198-comments-for-d1-0</w:t>
      </w:r>
      <w:r w:rsidR="00DB1686" w:rsidRPr="00F514EE">
        <w:rPr>
          <w:sz w:val="24"/>
          <w:szCs w:val="24"/>
        </w:rPr>
        <w:t>.</w:t>
      </w:r>
    </w:p>
    <w:p w:rsidR="00304279" w:rsidRPr="003540E8" w:rsidRDefault="00383B77" w:rsidP="003540E8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183920">
        <w:rPr>
          <w:u w:val="none"/>
        </w:rPr>
        <w:t xml:space="preserve">1 </w:t>
      </w:r>
      <w:r>
        <w:rPr>
          <w:u w:val="none"/>
        </w:rPr>
        <w:t>Specification Text</w:t>
      </w:r>
      <w:bookmarkEnd w:id="0"/>
    </w:p>
    <w:p w:rsidR="00183920" w:rsidRDefault="00183920" w:rsidP="00397352">
      <w:pPr>
        <w:rPr>
          <w:rFonts w:ascii="TimesNewRoman" w:hAnsi="TimesNewRoman" w:cs="TimesNewRoman"/>
          <w:sz w:val="20"/>
        </w:rPr>
      </w:pPr>
    </w:p>
    <w:p w:rsidR="00397352" w:rsidRPr="00397352" w:rsidRDefault="00397352" w:rsidP="00397352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Make the following </w:t>
      </w:r>
      <w:r w:rsidRPr="00D033A4">
        <w:rPr>
          <w:i/>
          <w:highlight w:val="yellow"/>
        </w:rPr>
        <w:t>Change</w:t>
      </w:r>
      <w:r>
        <w:rPr>
          <w:i/>
          <w:highlight w:val="yellow"/>
        </w:rPr>
        <w:t xml:space="preserve">s in </w:t>
      </w:r>
      <w:r w:rsidR="007430F3">
        <w:rPr>
          <w:i/>
          <w:highlight w:val="yellow"/>
        </w:rPr>
        <w:t>subclause 8.5.8.35</w:t>
      </w:r>
      <w:r>
        <w:rPr>
          <w:i/>
          <w:highlight w:val="yellow"/>
        </w:rPr>
        <w:t xml:space="preserve">:  </w:t>
      </w:r>
    </w:p>
    <w:p w:rsidR="007430F3" w:rsidRDefault="007430F3" w:rsidP="007430F3">
      <w:pPr>
        <w:autoSpaceDE w:val="0"/>
        <w:autoSpaceDN w:val="0"/>
        <w:adjustRightInd w:val="0"/>
        <w:spacing w:before="24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8.5.8.35 FILS Discovery frame format</w:t>
      </w:r>
    </w:p>
    <w:p w:rsidR="007430F3" w:rsidRDefault="007430F3" w:rsidP="007430F3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FILS Discovery (FD) frame uses Action frame format. The format of its Action field is shown in Table 8-221f (FILS Discovery frame format).</w:t>
      </w:r>
    </w:p>
    <w:p w:rsidR="007430F3" w:rsidRPr="007430F3" w:rsidRDefault="007430F3" w:rsidP="007430F3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8-221f—FILS Discovery frame format</w:t>
      </w:r>
    </w:p>
    <w:tbl>
      <w:tblPr>
        <w:tblStyle w:val="TableGrid"/>
        <w:tblW w:w="0" w:type="auto"/>
        <w:tblLook w:val="04A0"/>
      </w:tblPr>
      <w:tblGrid>
        <w:gridCol w:w="941"/>
        <w:gridCol w:w="2677"/>
        <w:gridCol w:w="5856"/>
      </w:tblGrid>
      <w:tr w:rsidR="001D6743" w:rsidTr="00F85A8F">
        <w:trPr>
          <w:trHeight w:val="530"/>
        </w:trPr>
        <w:tc>
          <w:tcPr>
            <w:tcW w:w="941" w:type="dxa"/>
          </w:tcPr>
          <w:p w:rsidR="001D6743" w:rsidRDefault="001D6743" w:rsidP="00F85A8F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677" w:type="dxa"/>
          </w:tcPr>
          <w:p w:rsidR="001D6743" w:rsidRDefault="001D6743" w:rsidP="00F85A8F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856" w:type="dxa"/>
          </w:tcPr>
          <w:p w:rsidR="001D6743" w:rsidRPr="00624E7C" w:rsidRDefault="001D6743" w:rsidP="00F85A8F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1D6743" w:rsidTr="00F85A8F">
        <w:trPr>
          <w:trHeight w:val="329"/>
        </w:trPr>
        <w:tc>
          <w:tcPr>
            <w:tcW w:w="941" w:type="dxa"/>
          </w:tcPr>
          <w:p w:rsidR="001D6743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677" w:type="dxa"/>
          </w:tcPr>
          <w:p w:rsidR="001D6743" w:rsidRPr="00FB748B" w:rsidRDefault="002F3E23" w:rsidP="00F85A8F">
            <w:pPr>
              <w:spacing w:before="120" w:after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Category</w:t>
            </w:r>
          </w:p>
        </w:tc>
        <w:tc>
          <w:tcPr>
            <w:tcW w:w="5856" w:type="dxa"/>
          </w:tcPr>
          <w:p w:rsidR="001D6743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 xml:space="preserve">A </w:t>
            </w:r>
            <w:r w:rsidRPr="00F96685">
              <w:rPr>
                <w:strike/>
                <w:color w:val="FF0000"/>
                <w:sz w:val="20"/>
              </w:rPr>
              <w:t>1-octet</w:t>
            </w:r>
            <w:r w:rsidRPr="00FB748B">
              <w:rPr>
                <w:color w:val="000000" w:themeColor="text1"/>
                <w:sz w:val="20"/>
              </w:rPr>
              <w:t xml:space="preserve"> </w:t>
            </w:r>
            <w:commentRangeStart w:id="1"/>
            <w:r w:rsidR="00F96685" w:rsidRPr="00F96685">
              <w:rPr>
                <w:color w:val="008000"/>
                <w:sz w:val="20"/>
              </w:rPr>
              <w:t>[2127]</w:t>
            </w:r>
            <w:r w:rsidR="00F96685">
              <w:rPr>
                <w:color w:val="000000" w:themeColor="text1"/>
                <w:sz w:val="20"/>
              </w:rPr>
              <w:t xml:space="preserve"> </w:t>
            </w:r>
            <w:commentRangeEnd w:id="1"/>
            <w:r w:rsidR="00A966B1">
              <w:rPr>
                <w:rStyle w:val="CommentReference"/>
                <w:lang w:val="en-US"/>
              </w:rPr>
              <w:commentReference w:id="1"/>
            </w:r>
            <w:r w:rsidRPr="00FB748B">
              <w:rPr>
                <w:color w:val="000000" w:themeColor="text1"/>
                <w:sz w:val="20"/>
              </w:rPr>
              <w:t>field indicating the Public Category, as specified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in Table 8-38 (Category values) in 8.4.1.11 (Action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field).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</w:t>
            </w:r>
          </w:p>
        </w:tc>
        <w:tc>
          <w:tcPr>
            <w:tcW w:w="2677" w:type="dxa"/>
          </w:tcPr>
          <w:p w:rsidR="00FB748B" w:rsidRPr="00FB748B" w:rsidRDefault="003D6C7E" w:rsidP="00F85A8F">
            <w:pPr>
              <w:spacing w:before="120" w:after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Public Action</w:t>
            </w:r>
          </w:p>
        </w:tc>
        <w:tc>
          <w:tcPr>
            <w:tcW w:w="5856" w:type="dxa"/>
          </w:tcPr>
          <w:p w:rsidR="00FB748B" w:rsidRPr="00FB748B" w:rsidRDefault="003D6C7E" w:rsidP="003D6C7E">
            <w:pPr>
              <w:spacing w:before="120" w:after="120"/>
              <w:rPr>
                <w:color w:val="000000" w:themeColor="text1"/>
                <w:sz w:val="20"/>
              </w:rPr>
            </w:pPr>
            <w:r w:rsidRPr="003D6C7E">
              <w:rPr>
                <w:color w:val="000000" w:themeColor="text1"/>
                <w:sz w:val="20"/>
              </w:rPr>
              <w:t xml:space="preserve">A </w:t>
            </w:r>
            <w:r w:rsidRPr="00F96685">
              <w:rPr>
                <w:strike/>
                <w:color w:val="FF0000"/>
                <w:sz w:val="20"/>
              </w:rPr>
              <w:t>1-octet</w:t>
            </w:r>
            <w:r w:rsidRPr="003D6C7E">
              <w:rPr>
                <w:color w:val="000000" w:themeColor="text1"/>
                <w:sz w:val="20"/>
              </w:rPr>
              <w:t xml:space="preserve"> </w:t>
            </w:r>
            <w:commentRangeStart w:id="2"/>
            <w:r w:rsidR="00F96685" w:rsidRPr="00F96685">
              <w:rPr>
                <w:color w:val="008000"/>
                <w:sz w:val="20"/>
              </w:rPr>
              <w:t>[2127]</w:t>
            </w:r>
            <w:r w:rsidR="00F96685">
              <w:rPr>
                <w:color w:val="000000" w:themeColor="text1"/>
                <w:sz w:val="20"/>
              </w:rPr>
              <w:t xml:space="preserve"> </w:t>
            </w:r>
            <w:commentRangeEnd w:id="2"/>
            <w:r w:rsidR="00A966B1">
              <w:rPr>
                <w:rStyle w:val="CommentReference"/>
                <w:lang w:val="en-US"/>
              </w:rPr>
              <w:commentReference w:id="2"/>
            </w:r>
            <w:r w:rsidRPr="003D6C7E">
              <w:rPr>
                <w:color w:val="000000" w:themeColor="text1"/>
                <w:sz w:val="20"/>
              </w:rPr>
              <w:t>field indicating the value of the FILS Discovery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6C7E">
              <w:rPr>
                <w:color w:val="000000" w:themeColor="text1"/>
                <w:sz w:val="20"/>
              </w:rPr>
              <w:t>frame, as specified in Table 8-210 (Public Action field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6C7E">
              <w:rPr>
                <w:color w:val="000000" w:themeColor="text1"/>
                <w:sz w:val="20"/>
              </w:rPr>
              <w:t>values) in 8.5.8.1 (Public Action frames).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677" w:type="dxa"/>
          </w:tcPr>
          <w:p w:rsidR="00FB748B" w:rsidRPr="00FB748B" w:rsidRDefault="003D6C7E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3D6C7E">
              <w:rPr>
                <w:color w:val="000000" w:themeColor="text1"/>
                <w:sz w:val="20"/>
              </w:rPr>
              <w:t>FD Frame Control</w:t>
            </w:r>
          </w:p>
        </w:tc>
        <w:tc>
          <w:tcPr>
            <w:tcW w:w="5856" w:type="dxa"/>
          </w:tcPr>
          <w:p w:rsidR="00FB748B" w:rsidRPr="00FB748B" w:rsidRDefault="003D6C7E" w:rsidP="003D6C7E">
            <w:pPr>
              <w:spacing w:before="120" w:after="120"/>
              <w:rPr>
                <w:color w:val="000000" w:themeColor="text1"/>
                <w:sz w:val="20"/>
              </w:rPr>
            </w:pPr>
            <w:r w:rsidRPr="003D6C7E">
              <w:rPr>
                <w:color w:val="000000" w:themeColor="text1"/>
                <w:sz w:val="20"/>
              </w:rPr>
              <w:t>A 2-octet field, consisting of a number of subfields, as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6C7E">
              <w:rPr>
                <w:color w:val="000000" w:themeColor="text1"/>
                <w:sz w:val="20"/>
              </w:rPr>
              <w:t>specified in Figure 8-502l (FD Frame Control field format).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677" w:type="dxa"/>
          </w:tcPr>
          <w:p w:rsidR="002F6B22" w:rsidRPr="002F6B22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Service Set Identifier</w:t>
            </w:r>
          </w:p>
          <w:p w:rsidR="00FB748B" w:rsidRPr="00FB748B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(SSID)</w:t>
            </w:r>
          </w:p>
        </w:tc>
        <w:tc>
          <w:tcPr>
            <w:tcW w:w="5856" w:type="dxa"/>
          </w:tcPr>
          <w:p w:rsidR="00FB748B" w:rsidRPr="00FB748B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A variable length field with length between 1 and 32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octets, as specified by the 5-bit SSID Length field in the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FD Frame Control of the FD frame.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77" w:type="dxa"/>
          </w:tcPr>
          <w:p w:rsidR="00FB748B" w:rsidRPr="00FB748B" w:rsidRDefault="002F6B22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FD Capability</w:t>
            </w:r>
          </w:p>
        </w:tc>
        <w:tc>
          <w:tcPr>
            <w:tcW w:w="5856" w:type="dxa"/>
          </w:tcPr>
          <w:p w:rsidR="00FB748B" w:rsidRPr="00FB748B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An optional field in the FD frame. Its presence is indicated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by an 1-bit Capability Presence Indicator in the FD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Frame Control. The format of the 2-octet FD Capability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field is shown in Figure 8-502k (Format of the FD Capability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field).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677" w:type="dxa"/>
          </w:tcPr>
          <w:p w:rsidR="008812E6" w:rsidRPr="008812E6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AP's Next TBTT</w:t>
            </w:r>
            <w:r w:rsidR="00501A04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Offset</w:t>
            </w:r>
          </w:p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(ANTO)</w:t>
            </w:r>
          </w:p>
        </w:tc>
        <w:tc>
          <w:tcPr>
            <w:tcW w:w="5856" w:type="dxa"/>
          </w:tcPr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The 1-octet AP's Next TBTT Offset (ANTO)field indicates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the time offset in number of TUs, between the transmission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of the FD frame and the transmission of the next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 xml:space="preserve">Beacon frame. It is an optional field </w:t>
            </w:r>
            <w:r w:rsidRPr="00180062">
              <w:rPr>
                <w:strike/>
                <w:color w:val="FF0000"/>
                <w:sz w:val="20"/>
              </w:rPr>
              <w:t>in the FD frame</w:t>
            </w:r>
            <w:r w:rsidRPr="008812E6">
              <w:rPr>
                <w:color w:val="000000" w:themeColor="text1"/>
                <w:sz w:val="20"/>
              </w:rPr>
              <w:t>,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commentRangeStart w:id="3"/>
            <w:r w:rsidR="00180062" w:rsidRPr="00180062">
              <w:rPr>
                <w:color w:val="008000"/>
                <w:sz w:val="20"/>
              </w:rPr>
              <w:t>[2128]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 xml:space="preserve"> </w:t>
            </w:r>
            <w:commentRangeEnd w:id="3"/>
            <w:r w:rsidR="00180062">
              <w:rPr>
                <w:rStyle w:val="CommentReference"/>
                <w:lang w:val="en-US"/>
              </w:rPr>
              <w:commentReference w:id="3"/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and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its presence is indicated by an 1-bit ANTO Presence Indicator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in the FD Frame Control.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677" w:type="dxa"/>
          </w:tcPr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AP Configuration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Change Count (AP</w:t>
            </w:r>
            <w:r w:rsidR="00501A04">
              <w:rPr>
                <w:color w:val="000000" w:themeColor="text1"/>
                <w:sz w:val="20"/>
              </w:rPr>
              <w:t>-</w:t>
            </w:r>
            <w:r w:rsidRPr="008812E6">
              <w:rPr>
                <w:color w:val="000000" w:themeColor="text1"/>
                <w:sz w:val="20"/>
              </w:rPr>
              <w:t>CCC)</w:t>
            </w:r>
          </w:p>
        </w:tc>
        <w:tc>
          <w:tcPr>
            <w:tcW w:w="5856" w:type="dxa"/>
          </w:tcPr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The 1-octet AP</w:t>
            </w:r>
            <w:r w:rsidR="006C385B" w:rsidRPr="006C385B">
              <w:rPr>
                <w:color w:val="0000FF"/>
                <w:sz w:val="20"/>
                <w:u w:val="single"/>
              </w:rPr>
              <w:t>’s</w:t>
            </w:r>
            <w:r w:rsidRPr="008812E6">
              <w:rPr>
                <w:color w:val="000000" w:themeColor="text1"/>
                <w:sz w:val="20"/>
              </w:rPr>
              <w:t xml:space="preserve"> </w:t>
            </w:r>
            <w:r w:rsidRPr="006C385B">
              <w:rPr>
                <w:strike/>
                <w:color w:val="FF0000"/>
                <w:sz w:val="20"/>
              </w:rPr>
              <w:t>Configuration Change Count (AP-</w:t>
            </w:r>
            <w:r w:rsidRPr="008812E6">
              <w:rPr>
                <w:color w:val="000000" w:themeColor="text1"/>
                <w:sz w:val="20"/>
              </w:rPr>
              <w:t>CCC</w:t>
            </w:r>
            <w:r w:rsidRPr="006C385B">
              <w:rPr>
                <w:strike/>
                <w:color w:val="FF0000"/>
                <w:sz w:val="20"/>
              </w:rPr>
              <w:t>)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 xml:space="preserve">field </w:t>
            </w:r>
            <w:r w:rsidR="00CC0B68">
              <w:rPr>
                <w:color w:val="000000" w:themeColor="text1"/>
                <w:sz w:val="20"/>
              </w:rPr>
              <w:t xml:space="preserve">is </w:t>
            </w:r>
            <w:r w:rsidR="00CC0B68" w:rsidRPr="00CC0B68">
              <w:rPr>
                <w:color w:val="0000FF"/>
                <w:sz w:val="20"/>
                <w:u w:val="single"/>
              </w:rPr>
              <w:t>of the format as defined in</w:t>
            </w:r>
            <w:r w:rsidR="00CC0B68">
              <w:rPr>
                <w:color w:val="0000FF"/>
                <w:sz w:val="20"/>
                <w:u w:val="single"/>
              </w:rPr>
              <w:t xml:space="preserve"> </w:t>
            </w:r>
            <w:r w:rsidR="00CC0B68" w:rsidRPr="00CC0B68">
              <w:rPr>
                <w:color w:val="0000FF"/>
                <w:sz w:val="20"/>
                <w:u w:val="single"/>
              </w:rPr>
              <w:t>8.4.2.184</w:t>
            </w:r>
            <w:r w:rsidR="00CC0B68">
              <w:rPr>
                <w:color w:val="000000" w:themeColor="text1"/>
                <w:sz w:val="20"/>
              </w:rPr>
              <w:t>.</w:t>
            </w:r>
            <w:r w:rsidR="00CC0B68" w:rsidRPr="00CC0B68">
              <w:rPr>
                <w:strike/>
                <w:color w:val="FF0000"/>
                <w:sz w:val="20"/>
              </w:rPr>
              <w:t xml:space="preserve"> </w:t>
            </w:r>
            <w:r w:rsidRPr="00CC0B68">
              <w:rPr>
                <w:strike/>
                <w:color w:val="FF0000"/>
                <w:sz w:val="20"/>
              </w:rPr>
              <w:t>is set to the version number of AP configuration parameter</w:t>
            </w:r>
            <w:r w:rsidR="00AB46B1" w:rsidRPr="00CC0B68">
              <w:rPr>
                <w:strike/>
                <w:color w:val="FF0000"/>
                <w:sz w:val="20"/>
              </w:rPr>
              <w:t xml:space="preserve"> </w:t>
            </w:r>
            <w:r w:rsidRPr="00AB46B1">
              <w:rPr>
                <w:strike/>
                <w:color w:val="FF0000"/>
                <w:sz w:val="20"/>
              </w:rPr>
              <w:t>setting values</w:t>
            </w:r>
            <w:r w:rsidRPr="008812E6">
              <w:rPr>
                <w:color w:val="000000" w:themeColor="text1"/>
                <w:sz w:val="20"/>
              </w:rPr>
              <w:t>.</w:t>
            </w:r>
            <w:r w:rsidR="00CC0B68" w:rsidRPr="004061F8">
              <w:rPr>
                <w:rFonts w:ascii="TimesNewRoman" w:hAnsi="TimesNewRoman" w:cs="TimesNewRoman"/>
                <w:color w:val="008000"/>
                <w:sz w:val="20"/>
                <w:lang w:val="en-US"/>
              </w:rPr>
              <w:t xml:space="preserve"> [2784,3203, 3229]</w:t>
            </w:r>
            <w:r w:rsidR="00CC0B68" w:rsidRPr="00B908FC"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 xml:space="preserve"> </w:t>
            </w:r>
            <w:commentRangeStart w:id="4"/>
            <w:r w:rsidR="00AB46B1" w:rsidRPr="00AB46B1">
              <w:rPr>
                <w:color w:val="008000"/>
                <w:sz w:val="20"/>
              </w:rPr>
              <w:t>[2844]</w:t>
            </w:r>
            <w:r w:rsidR="00AB46B1">
              <w:rPr>
                <w:color w:val="000000" w:themeColor="text1"/>
                <w:sz w:val="20"/>
              </w:rPr>
              <w:t xml:space="preserve"> </w:t>
            </w:r>
            <w:commentRangeEnd w:id="4"/>
            <w:r w:rsidR="00AB46B1">
              <w:rPr>
                <w:rStyle w:val="CommentReference"/>
                <w:lang w:val="en-US"/>
              </w:rPr>
              <w:commentReference w:id="4"/>
            </w:r>
            <w:r w:rsidR="00AB46B1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I</w:t>
            </w:r>
            <w:r w:rsidR="00180062">
              <w:rPr>
                <w:color w:val="000000" w:themeColor="text1"/>
                <w:sz w:val="20"/>
              </w:rPr>
              <w:t xml:space="preserve">t is an optional field </w:t>
            </w:r>
            <w:r w:rsidR="00180062" w:rsidRPr="00180062">
              <w:rPr>
                <w:strike/>
                <w:color w:val="FF0000"/>
                <w:sz w:val="20"/>
              </w:rPr>
              <w:t>in the FD frame</w:t>
            </w:r>
            <w:r w:rsidR="00180062" w:rsidRPr="008812E6">
              <w:rPr>
                <w:color w:val="000000" w:themeColor="text1"/>
                <w:sz w:val="20"/>
              </w:rPr>
              <w:t>,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commentRangeStart w:id="5"/>
            <w:r w:rsidR="00180062" w:rsidRPr="00180062">
              <w:rPr>
                <w:color w:val="008000"/>
                <w:sz w:val="20"/>
              </w:rPr>
              <w:t>[2128]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="00180062" w:rsidRPr="008812E6">
              <w:rPr>
                <w:color w:val="000000" w:themeColor="text1"/>
                <w:sz w:val="20"/>
              </w:rPr>
              <w:t xml:space="preserve"> </w:t>
            </w:r>
            <w:commentRangeEnd w:id="5"/>
            <w:r w:rsidR="00180062">
              <w:rPr>
                <w:rStyle w:val="CommentReference"/>
                <w:lang w:val="en-US"/>
              </w:rPr>
              <w:commentReference w:id="5"/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and its presence is indicated by an 1-bit AP-CCC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Presence indicator in the FD Frame Control.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677" w:type="dxa"/>
          </w:tcPr>
          <w:p w:rsidR="00FB748B" w:rsidRPr="00FB748B" w:rsidRDefault="00973666" w:rsidP="00973666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Access Network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Options (ANO)</w:t>
            </w:r>
          </w:p>
        </w:tc>
        <w:tc>
          <w:tcPr>
            <w:tcW w:w="5856" w:type="dxa"/>
          </w:tcPr>
          <w:p w:rsidR="00FB748B" w:rsidRPr="00FB748B" w:rsidRDefault="00973666" w:rsidP="00973666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The 1-octet field of Access Network Options (ANO) is of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the format as specified in Figure 8-352 in 8.4.2.94. It is an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180062">
              <w:rPr>
                <w:color w:val="000000" w:themeColor="text1"/>
                <w:sz w:val="20"/>
              </w:rPr>
              <w:t xml:space="preserve">optional field </w:t>
            </w:r>
            <w:r w:rsidR="00180062" w:rsidRPr="00180062">
              <w:rPr>
                <w:strike/>
                <w:color w:val="FF0000"/>
                <w:sz w:val="20"/>
              </w:rPr>
              <w:t xml:space="preserve"> in the FD frame</w:t>
            </w:r>
            <w:r w:rsidR="00180062" w:rsidRPr="008812E6">
              <w:rPr>
                <w:color w:val="000000" w:themeColor="text1"/>
                <w:sz w:val="20"/>
              </w:rPr>
              <w:t>,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commentRangeStart w:id="6"/>
            <w:r w:rsidR="00180062" w:rsidRPr="00180062">
              <w:rPr>
                <w:color w:val="008000"/>
                <w:sz w:val="20"/>
              </w:rPr>
              <w:t>[2128]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="00180062" w:rsidRPr="008812E6">
              <w:rPr>
                <w:color w:val="000000" w:themeColor="text1"/>
                <w:sz w:val="20"/>
              </w:rPr>
              <w:t xml:space="preserve"> </w:t>
            </w:r>
            <w:commentRangeEnd w:id="6"/>
            <w:r w:rsidR="00180062">
              <w:rPr>
                <w:rStyle w:val="CommentReference"/>
                <w:lang w:val="en-US"/>
              </w:rPr>
              <w:commentReference w:id="6"/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 xml:space="preserve"> and its presence is indicated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by an 1-bit ANO Presence indicator in the FD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Frame Control.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677" w:type="dxa"/>
          </w:tcPr>
          <w:p w:rsidR="00FB748B" w:rsidRPr="00FB748B" w:rsidRDefault="00973666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Primary Channel</w:t>
            </w:r>
          </w:p>
        </w:tc>
        <w:tc>
          <w:tcPr>
            <w:tcW w:w="5856" w:type="dxa"/>
          </w:tcPr>
          <w:p w:rsidR="00FB748B" w:rsidRPr="00FB748B" w:rsidRDefault="00973666" w:rsidP="00973666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The 1-octet Primary Channel field is present and set to the channel number of the primary channel if the FD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frame is transmitted as a non-HT duplicate PPDUs; otherwise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the field is not present. The presence of the field is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indicated by a 1-bit Primary Channel Presence Indicator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in the FD Frame Control field.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2F3E23" w:rsidRDefault="00FB748B" w:rsidP="00F85A8F">
            <w:pPr>
              <w:spacing w:before="120" w:after="120"/>
              <w:rPr>
                <w:strike/>
                <w:color w:val="FF0000"/>
                <w:sz w:val="20"/>
              </w:rPr>
            </w:pPr>
            <w:commentRangeStart w:id="7"/>
          </w:p>
        </w:tc>
        <w:tc>
          <w:tcPr>
            <w:tcW w:w="2677" w:type="dxa"/>
          </w:tcPr>
          <w:p w:rsidR="00FB748B" w:rsidRPr="002F3E23" w:rsidRDefault="00FB748B" w:rsidP="00F85A8F">
            <w:pPr>
              <w:spacing w:before="120" w:after="120"/>
              <w:rPr>
                <w:strike/>
                <w:color w:val="FF0000"/>
                <w:sz w:val="20"/>
              </w:rPr>
            </w:pPr>
          </w:p>
        </w:tc>
        <w:commentRangeEnd w:id="7"/>
        <w:tc>
          <w:tcPr>
            <w:tcW w:w="5856" w:type="dxa"/>
          </w:tcPr>
          <w:p w:rsidR="00FB748B" w:rsidRPr="002F3E23" w:rsidRDefault="002F3E23" w:rsidP="00F85A8F">
            <w:pPr>
              <w:spacing w:before="120" w:after="120"/>
              <w:rPr>
                <w:strike/>
                <w:color w:val="FF0000"/>
                <w:sz w:val="20"/>
              </w:rPr>
            </w:pPr>
            <w:r>
              <w:rPr>
                <w:rStyle w:val="CommentReference"/>
                <w:lang w:val="en-US"/>
              </w:rPr>
              <w:commentReference w:id="7"/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677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RSNE</w:t>
            </w:r>
          </w:p>
        </w:tc>
        <w:tc>
          <w:tcPr>
            <w:tcW w:w="5856" w:type="dxa"/>
          </w:tcPr>
          <w:p w:rsidR="00FB748B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The RSNE, as specified in 8.4.2.27, is optionally present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in FD frame generated by STAs that have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dot11RSNAActivated equal to true.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677" w:type="dxa"/>
          </w:tcPr>
          <w:p w:rsidR="00FB748B" w:rsidRPr="00FB748B" w:rsidRDefault="00FB748B" w:rsidP="00FB748B">
            <w:pPr>
              <w:spacing w:before="120" w:after="12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FB748B">
              <w:rPr>
                <w:color w:val="000000" w:themeColor="text1"/>
                <w:sz w:val="20"/>
              </w:rPr>
              <w:t xml:space="preserve">Reduced Neighbor </w:t>
            </w:r>
            <w:commentRangeStart w:id="8"/>
            <w:r w:rsidRPr="00FB748B">
              <w:rPr>
                <w:color w:val="000000" w:themeColor="text1"/>
                <w:sz w:val="20"/>
              </w:rPr>
              <w:t>Re</w:t>
            </w:r>
            <w:r w:rsidRPr="002F3E23">
              <w:rPr>
                <w:strike/>
                <w:color w:val="FF0000"/>
                <w:sz w:val="20"/>
              </w:rPr>
              <w:t>;</w:t>
            </w:r>
            <w:r w:rsidRPr="00FB748B">
              <w:rPr>
                <w:color w:val="000000" w:themeColor="text1"/>
                <w:sz w:val="20"/>
              </w:rPr>
              <w:t>port</w:t>
            </w:r>
            <w:commentRangeEnd w:id="8"/>
            <w:r w:rsidR="00933074">
              <w:rPr>
                <w:rStyle w:val="CommentReference"/>
                <w:lang w:val="en-US"/>
              </w:rPr>
              <w:commentReference w:id="8"/>
            </w:r>
          </w:p>
        </w:tc>
        <w:tc>
          <w:tcPr>
            <w:tcW w:w="5856" w:type="dxa"/>
          </w:tcPr>
          <w:p w:rsidR="00FB748B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The Reduced Neighbor Report element, as specified in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8.4.2.176, is optionally present.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677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FILS Indication element</w:t>
            </w:r>
          </w:p>
        </w:tc>
        <w:tc>
          <w:tcPr>
            <w:tcW w:w="5856" w:type="dxa"/>
          </w:tcPr>
          <w:p w:rsidR="00FB748B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The FILS Indication element, as specified in 8.4.2.185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(FILS Indication element), is optionally present.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Last</w:t>
            </w:r>
          </w:p>
        </w:tc>
        <w:tc>
          <w:tcPr>
            <w:tcW w:w="2677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Vendor-specific</w:t>
            </w:r>
          </w:p>
        </w:tc>
        <w:tc>
          <w:tcPr>
            <w:tcW w:w="5856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One or more, optionally present.</w:t>
            </w:r>
          </w:p>
        </w:tc>
      </w:tr>
    </w:tbl>
    <w:p w:rsidR="007430F3" w:rsidRDefault="007430F3" w:rsidP="004B1375">
      <w:pPr>
        <w:autoSpaceDE w:val="0"/>
        <w:autoSpaceDN w:val="0"/>
        <w:adjustRightInd w:val="0"/>
        <w:spacing w:before="120" w:after="120"/>
        <w:rPr>
          <w:rFonts w:ascii="Arial,Bold" w:hAnsi="Arial,Bold" w:cs="Arial,Bold"/>
          <w:bCs/>
          <w:sz w:val="20"/>
          <w:lang w:val="en-US"/>
        </w:rPr>
      </w:pPr>
    </w:p>
    <w:p w:rsidR="004B1375" w:rsidRDefault="004B1375" w:rsidP="004B137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format of the 2-octet FD Frame Control field is shown in 8-502l (FD Frame Control field format).</w:t>
      </w:r>
    </w:p>
    <w:p w:rsidR="003F76F1" w:rsidRDefault="007B7BF3" w:rsidP="004B137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D37B71">
        <w:rPr>
          <w:sz w:val="24"/>
          <w:szCs w:val="24"/>
        </w:rPr>
        <w:object w:dxaOrig="9030" w:dyaOrig="3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05pt;height:164.65pt" o:ole="">
            <v:imagedata r:id="rId9" o:title=""/>
          </v:shape>
          <o:OLEObject Type="Embed" ProgID="Visio.Drawing.11" ShapeID="_x0000_i1025" DrawAspect="Content" ObjectID="_1445830160" r:id="rId10"/>
        </w:object>
      </w:r>
    </w:p>
    <w:p w:rsidR="003F76F1" w:rsidRPr="004B1375" w:rsidRDefault="003F76F1" w:rsidP="007B7BF3">
      <w:pPr>
        <w:autoSpaceDE w:val="0"/>
        <w:autoSpaceDN w:val="0"/>
        <w:adjustRightInd w:val="0"/>
        <w:spacing w:after="120"/>
        <w:jc w:val="center"/>
        <w:rPr>
          <w:rFonts w:ascii="Arial,Bold" w:hAnsi="Arial,Bold" w:cs="Arial,Bold"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8-502l—FD Frame Control field format</w:t>
      </w:r>
    </w:p>
    <w:p w:rsidR="003F76F1" w:rsidRDefault="003F76F1" w:rsidP="003F76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3F76F1" w:rsidRDefault="003F76F1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5-bit SSID Length field indicates the length of the SSID field in the FD frame, in unit of octets. The value of this field plus 1 is equal to the length of the SSID field.</w:t>
      </w:r>
    </w:p>
    <w:p w:rsidR="007430F3" w:rsidRPr="00501A04" w:rsidRDefault="003F76F1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8000"/>
          <w:sz w:val="20"/>
          <w:lang w:val="en-US"/>
        </w:rPr>
      </w:pPr>
      <w:r w:rsidRPr="00501A04">
        <w:rPr>
          <w:rFonts w:ascii="TimesNewRoman" w:hAnsi="TimesNewRoman" w:cs="TimesNewRoman"/>
          <w:strike/>
          <w:color w:val="FF0000"/>
          <w:sz w:val="20"/>
          <w:lang w:val="en-US"/>
        </w:rPr>
        <w:t>All presence indicator fields indicate the presence of the specific field in the FD frame. A value of 1 indicates that this field is present in the FD frame.</w:t>
      </w:r>
      <w:r w:rsidR="00501A04">
        <w:rPr>
          <w:rFonts w:ascii="TimesNewRoman" w:hAnsi="TimesNewRoman" w:cs="TimesNewRoman"/>
          <w:sz w:val="20"/>
          <w:lang w:val="en-US"/>
        </w:rPr>
        <w:t xml:space="preserve"> </w:t>
      </w:r>
      <w:r w:rsidR="00501A04"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1659F3" w:rsidRPr="00501A04" w:rsidRDefault="001659F3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8000"/>
          <w:sz w:val="20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Capability presence indicator is 1 bit in length. </w:t>
      </w:r>
      <w:r w:rsidR="00501A04">
        <w:rPr>
          <w:rFonts w:ascii="TimesNewRoman" w:hAnsi="TimesNewRoman" w:cs="TimesNewRoman"/>
          <w:color w:val="3333CC"/>
          <w:sz w:val="20"/>
          <w:u w:val="single"/>
          <w:lang w:val="en-US"/>
        </w:rPr>
        <w:t>If it is set to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1</w:t>
      </w:r>
      <w:r w:rsidR="00501A04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, it 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indicates the FD Capability field is present </w:t>
      </w:r>
      <w:r w:rsidR="00501A04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in the FD frame; otherwise, it indicates the FD capability field is not present in the FD frame. </w:t>
      </w:r>
      <w:r w:rsidR="00501A04"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Default="00501A04" w:rsidP="00501A04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ANTO presence indicator is 1 bit in length. If it is set to 1, it  indicates the ANTO field is present in the FD frame; otherwise, it indicates the ANTO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Default="00501A04" w:rsidP="00501A04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AP-CCC presence indicator is 1 bit in length. If it is set to 1, it  indicates the AP-CCC field is present in the FD frame; otherwise, it indicates the AP-CCC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Default="00501A04" w:rsidP="00501A04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ANO presence indicator is 1 bit in length. If it is set to 1, it  indicates the ANO field is present in the FD frame; otherwise, it indicates the ANO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Pr="001659F3" w:rsidRDefault="00501A04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Primary Channel presence indicator is 1 bit in length. If it is set to 1, it  indicates the Primary Channel field is present in the FD frame; otherwise, it indicates the Primary Channel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9C6AD7" w:rsidRDefault="009C6AD7" w:rsidP="009C6AD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9C6AD7">
        <w:rPr>
          <w:rFonts w:ascii="TimesNewRoman" w:hAnsi="TimesNewRoman" w:cs="TimesNewRoman"/>
          <w:sz w:val="20"/>
          <w:lang w:val="en-US"/>
        </w:rPr>
        <w:t>The FD Capability field contains the information that advertises the capabilities of the STA transmitting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9C6AD7">
        <w:rPr>
          <w:rFonts w:ascii="TimesNewRoman" w:hAnsi="TimesNewRoman" w:cs="TimesNewRoman"/>
          <w:sz w:val="20"/>
          <w:lang w:val="en-US"/>
        </w:rPr>
        <w:t>FD frame. Its length is 2octets. The format of the FD Capability field is shown in Figure 8-502k (Format of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9C6AD7">
        <w:rPr>
          <w:rFonts w:ascii="TimesNewRoman" w:hAnsi="TimesNewRoman" w:cs="TimesNewRoman"/>
          <w:sz w:val="20"/>
          <w:lang w:val="en-US"/>
        </w:rPr>
        <w:t>the FD Capability field).</w:t>
      </w:r>
    </w:p>
    <w:p w:rsidR="009C6AD7" w:rsidRDefault="009C6AD7" w:rsidP="009C6AD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97677" w:rsidRPr="003F76F1" w:rsidRDefault="00FA17A8" w:rsidP="009C6AD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367816">
        <w:rPr>
          <w:rFonts w:ascii="TimesNewRoman" w:hAnsi="TimesNewRoman" w:cs="TimesNewRoman"/>
          <w:sz w:val="20"/>
          <w:lang w:val="en-US"/>
        </w:rPr>
        <w:object w:dxaOrig="8789" w:dyaOrig="3076">
          <v:shape id="_x0000_i1026" type="#_x0000_t75" style="width:439.5pt;height:154pt" o:ole="">
            <v:imagedata r:id="rId11" o:title=""/>
          </v:shape>
          <o:OLEObject Type="Embed" ProgID="Visio.Drawing.11" ShapeID="_x0000_i1026" DrawAspect="Content" ObjectID="_1445830161" r:id="rId12"/>
        </w:object>
      </w:r>
    </w:p>
    <w:p w:rsidR="007430F3" w:rsidRDefault="009C6AD7" w:rsidP="00754512">
      <w:pPr>
        <w:autoSpaceDE w:val="0"/>
        <w:autoSpaceDN w:val="0"/>
        <w:adjustRightInd w:val="0"/>
        <w:spacing w:after="24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8-502k—Format of the FD Capability field</w:t>
      </w:r>
      <w:r w:rsidR="0073770C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="0073770C" w:rsidRPr="00EC0EC8">
        <w:rPr>
          <w:rFonts w:ascii="TimesNewRoman" w:hAnsi="TimesNewRoman" w:cs="TimesNewRoman"/>
          <w:color w:val="008000"/>
          <w:sz w:val="20"/>
          <w:lang w:val="en-US"/>
        </w:rPr>
        <w:t>[2684]</w:t>
      </w:r>
    </w:p>
    <w:p w:rsidR="00320559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sub-fields ESS</w:t>
      </w:r>
      <w:r w:rsidRPr="0073770C">
        <w:rPr>
          <w:rFonts w:ascii="TimesNewRoman" w:hAnsi="TimesNewRoman" w:cs="TimesNewRoman"/>
          <w:strike/>
          <w:color w:val="FF0000"/>
          <w:sz w:val="20"/>
          <w:lang w:val="en-US"/>
        </w:rPr>
        <w:t>,</w:t>
      </w:r>
      <w:r w:rsidR="0073770C">
        <w:rPr>
          <w:rFonts w:ascii="TimesNewRoman" w:hAnsi="TimesNewRoman" w:cs="TimesNewRoman"/>
          <w:sz w:val="20"/>
          <w:lang w:val="en-US"/>
        </w:rPr>
        <w:t xml:space="preserve"> </w:t>
      </w:r>
      <w:r w:rsidR="0073770C" w:rsidRPr="0073770C">
        <w:rPr>
          <w:rFonts w:ascii="TimesNewRoman" w:hAnsi="TimesNewRoman" w:cs="TimesNewRoman"/>
          <w:color w:val="3333CC"/>
          <w:sz w:val="20"/>
          <w:u w:val="single"/>
          <w:lang w:val="en-US"/>
        </w:rPr>
        <w:t>and</w:t>
      </w:r>
      <w:r>
        <w:rPr>
          <w:rFonts w:ascii="TimesNewRoman" w:hAnsi="TimesNewRoman" w:cs="TimesNewRoman"/>
          <w:sz w:val="20"/>
          <w:lang w:val="en-US"/>
        </w:rPr>
        <w:t xml:space="preserve"> Privacy</w:t>
      </w:r>
      <w:r w:rsidRPr="0073770C">
        <w:rPr>
          <w:rFonts w:ascii="TimesNewRoman" w:hAnsi="TimesNewRoman" w:cs="TimesNewRoman"/>
          <w:strike/>
          <w:color w:val="FF0000"/>
          <w:sz w:val="20"/>
          <w:lang w:val="en-US"/>
        </w:rPr>
        <w:t>, and QoS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="0073770C">
        <w:rPr>
          <w:rFonts w:ascii="TimesNewRoman" w:hAnsi="TimesNewRoman" w:cs="TimesNewRoman"/>
          <w:sz w:val="20"/>
          <w:lang w:val="en-US"/>
        </w:rPr>
        <w:t xml:space="preserve"> </w:t>
      </w:r>
      <w:r w:rsidR="0073770C" w:rsidRPr="00EC0EC8">
        <w:rPr>
          <w:rFonts w:ascii="TimesNewRoman" w:hAnsi="TimesNewRoman" w:cs="TimesNewRoman"/>
          <w:color w:val="008000"/>
          <w:sz w:val="20"/>
          <w:lang w:val="en-US"/>
        </w:rPr>
        <w:t>[2684]</w:t>
      </w:r>
      <w:r w:rsidR="0073770C"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are interpreted as specified in 8.4.1.4.</w:t>
      </w:r>
    </w:p>
    <w:p w:rsidR="00320559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value of 1 in the 1-bit Multiple BSSIDs present field indicates that the Multiple BSSID element is included in the Beacon frame.</w:t>
      </w:r>
    </w:p>
    <w:p w:rsidR="007430F3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3-bit Operating Channel Bandwidth subfield indicates the channel bandwidth of the AP, as coded in Table 8-221g (Operating Channel Bandwidth).</w:t>
      </w:r>
    </w:p>
    <w:p w:rsidR="0083167D" w:rsidRPr="00320559" w:rsidRDefault="0083167D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430F3" w:rsidRDefault="00916908" w:rsidP="00916908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8-221g—Operating Channel Bandwidth</w:t>
      </w:r>
    </w:p>
    <w:tbl>
      <w:tblPr>
        <w:tblStyle w:val="TableGrid"/>
        <w:tblW w:w="0" w:type="auto"/>
        <w:jc w:val="center"/>
        <w:tblLook w:val="04A0"/>
      </w:tblPr>
      <w:tblGrid>
        <w:gridCol w:w="3061"/>
        <w:gridCol w:w="3061"/>
      </w:tblGrid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Operating Channel Bandwidth</w:t>
            </w:r>
          </w:p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Subfield (3 bits)</w:t>
            </w:r>
          </w:p>
        </w:tc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Channel Bandwidth</w:t>
            </w:r>
          </w:p>
        </w:tc>
      </w:tr>
      <w:tr w:rsidR="0099032D" w:rsidTr="0099032D">
        <w:trPr>
          <w:trHeight w:val="467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0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20 MHz or 22 MHz</w:t>
            </w:r>
          </w:p>
        </w:tc>
      </w:tr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40 MHz</w:t>
            </w:r>
          </w:p>
        </w:tc>
      </w:tr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80 MHz</w:t>
            </w:r>
          </w:p>
        </w:tc>
      </w:tr>
      <w:tr w:rsidR="0099032D" w:rsidTr="0099032D">
        <w:trPr>
          <w:trHeight w:val="467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3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160 MHz or 80+80 MHz</w:t>
            </w:r>
          </w:p>
        </w:tc>
      </w:tr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 xml:space="preserve">4 – 7 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Reserved</w:t>
            </w:r>
          </w:p>
        </w:tc>
      </w:tr>
    </w:tbl>
    <w:p w:rsidR="00916908" w:rsidRDefault="00916908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916908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The 3-bit Nss subfield indicates the number of spatial streams, as coded in Table 8-221h (Number of spatial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B2971">
        <w:rPr>
          <w:rFonts w:ascii="TimesNewRoman" w:hAnsi="TimesNewRoman" w:cs="TimesNewRoman"/>
          <w:sz w:val="20"/>
          <w:lang w:val="en-US"/>
        </w:rPr>
        <w:t>streams (Nss)).</w:t>
      </w:r>
    </w:p>
    <w:p w:rsidR="007B2971" w:rsidRDefault="007B2971" w:rsidP="007B2971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8-221h—Number of spatial streams (Nss)</w:t>
      </w:r>
    </w:p>
    <w:tbl>
      <w:tblPr>
        <w:tblStyle w:val="TableGrid"/>
        <w:tblW w:w="0" w:type="auto"/>
        <w:jc w:val="center"/>
        <w:tblLook w:val="04A0"/>
      </w:tblPr>
      <w:tblGrid>
        <w:gridCol w:w="2022"/>
        <w:gridCol w:w="2022"/>
      </w:tblGrid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9903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Nss Subfield (3 bits)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Nss</w:t>
            </w:r>
          </w:p>
        </w:tc>
      </w:tr>
      <w:tr w:rsidR="00F94C3D" w:rsidTr="0099032D">
        <w:trPr>
          <w:trHeight w:val="454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0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</w:tr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</w:tr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3</w:t>
            </w:r>
          </w:p>
        </w:tc>
      </w:tr>
      <w:tr w:rsidR="00F94C3D" w:rsidTr="0099032D">
        <w:trPr>
          <w:trHeight w:val="454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4</w:t>
            </w:r>
          </w:p>
        </w:tc>
      </w:tr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4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5 to 8</w:t>
            </w:r>
          </w:p>
        </w:tc>
      </w:tr>
      <w:tr w:rsidR="00F94C3D" w:rsidTr="0099032D">
        <w:trPr>
          <w:trHeight w:val="454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 xml:space="preserve">5 – 7 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Reserved</w:t>
            </w:r>
          </w:p>
        </w:tc>
      </w:tr>
    </w:tbl>
    <w:p w:rsidR="007B2971" w:rsidRDefault="007B2971" w:rsidP="00F94C3D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</w:p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The 3-bit PHY Type subfield is defined as in Table 8-221i (PHY Type subfield).</w:t>
      </w:r>
    </w:p>
    <w:p w:rsidR="007B2971" w:rsidRDefault="007B2971" w:rsidP="007B2971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8-221i—PHY Type subfield</w:t>
      </w:r>
      <w:r w:rsidR="00150666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commentRangeStart w:id="9"/>
      <w:r w:rsidR="00150666" w:rsidRPr="00150666">
        <w:rPr>
          <w:rFonts w:ascii="Arial,Bold" w:hAnsi="Arial,Bold" w:cs="Arial,Bold"/>
          <w:bCs/>
          <w:color w:val="008000"/>
          <w:sz w:val="20"/>
          <w:lang w:val="en-US"/>
        </w:rPr>
        <w:t xml:space="preserve">[CID </w:t>
      </w:r>
      <w:r w:rsidR="00150666">
        <w:rPr>
          <w:rFonts w:ascii="Arial,Bold" w:hAnsi="Arial,Bold" w:cs="Arial,Bold"/>
          <w:bCs/>
          <w:color w:val="008000"/>
          <w:sz w:val="20"/>
          <w:lang w:val="en-US"/>
        </w:rPr>
        <w:t>3012</w:t>
      </w:r>
      <w:r w:rsidR="00150666" w:rsidRPr="00150666">
        <w:rPr>
          <w:rFonts w:ascii="Arial,Bold" w:hAnsi="Arial,Bold" w:cs="Arial,Bold"/>
          <w:bCs/>
          <w:color w:val="008000"/>
          <w:sz w:val="20"/>
          <w:lang w:val="en-US"/>
        </w:rPr>
        <w:t>]</w:t>
      </w:r>
      <w:commentRangeEnd w:id="9"/>
      <w:r w:rsidR="00150666">
        <w:rPr>
          <w:rStyle w:val="CommentReference"/>
          <w:lang w:val="en-US"/>
        </w:rPr>
        <w:commentReference w:id="9"/>
      </w:r>
    </w:p>
    <w:tbl>
      <w:tblPr>
        <w:tblStyle w:val="TableGrid"/>
        <w:tblW w:w="7830" w:type="dxa"/>
        <w:jc w:val="center"/>
        <w:tblInd w:w="1998" w:type="dxa"/>
        <w:tblLook w:val="04A0"/>
      </w:tblPr>
      <w:tblGrid>
        <w:gridCol w:w="1755"/>
        <w:gridCol w:w="6075"/>
      </w:tblGrid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PHY Type subfield</w:t>
            </w:r>
          </w:p>
          <w:p w:rsidR="00150666" w:rsidRDefault="00150666" w:rsidP="00F85A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(3 bits)</w:t>
            </w:r>
          </w:p>
        </w:tc>
        <w:tc>
          <w:tcPr>
            <w:tcW w:w="6075" w:type="dxa"/>
            <w:vAlign w:val="center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PHY Type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HR/DSSS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17)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075" w:type="dxa"/>
          </w:tcPr>
          <w:p w:rsidR="00150666" w:rsidRPr="00150666" w:rsidRDefault="00150666" w:rsidP="001506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ERP-OFDM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18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and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19)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HT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20)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VHT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22)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4 – 7 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Reserved</w:t>
            </w:r>
          </w:p>
        </w:tc>
      </w:tr>
    </w:tbl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B2971" w:rsidRP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The 3-bit FILS Minimum Rate subfield specifies the minimum rate which is used by the AP transmitting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B2971">
        <w:rPr>
          <w:rFonts w:ascii="TimesNewRoman" w:hAnsi="TimesNewRoman" w:cs="TimesNewRoman"/>
          <w:sz w:val="20"/>
          <w:lang w:val="en-US"/>
        </w:rPr>
        <w:t>FD frame to communicate with FILS STAs.</w:t>
      </w:r>
    </w:p>
    <w:p w:rsidR="00320559" w:rsidRDefault="007B2971" w:rsidP="007D32C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Depending on the PHY Type subfield values specified in Table 8-221i (PHY Type subfield), the FILS minimum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B2971">
        <w:rPr>
          <w:rFonts w:ascii="TimesNewRoman" w:hAnsi="TimesNewRoman" w:cs="TimesNewRoman"/>
          <w:sz w:val="20"/>
          <w:lang w:val="en-US"/>
        </w:rPr>
        <w:t>rate is represented as a bit rate value or as an MCS value in Table 8-221j (FILS Minimum Rate sub-</w:t>
      </w:r>
      <w:r w:rsidR="007D32C9" w:rsidRPr="007D32C9">
        <w:rPr>
          <w:rFonts w:ascii="TimesNewRoman" w:hAnsi="TimesNewRoman" w:cs="TimesNewRoman"/>
          <w:sz w:val="20"/>
          <w:lang w:val="en-US"/>
        </w:rPr>
        <w:t>field). If an MCS value is provided, then the FILS Minimum Rate can be derived from the MCS value and</w:t>
      </w:r>
      <w:r w:rsidR="007D32C9">
        <w:rPr>
          <w:rFonts w:ascii="TimesNewRoman" w:hAnsi="TimesNewRoman" w:cs="TimesNewRoman"/>
          <w:sz w:val="20"/>
          <w:lang w:val="en-US"/>
        </w:rPr>
        <w:t xml:space="preserve"> </w:t>
      </w:r>
      <w:r w:rsidR="007D32C9" w:rsidRPr="007D32C9">
        <w:rPr>
          <w:rFonts w:ascii="TimesNewRoman" w:hAnsi="TimesNewRoman" w:cs="TimesNewRoman"/>
          <w:sz w:val="20"/>
          <w:lang w:val="en-US"/>
        </w:rPr>
        <w:t>the PHY Ty</w:t>
      </w:r>
      <w:r w:rsidR="007D32C9">
        <w:rPr>
          <w:rFonts w:ascii="TimesNewRoman" w:hAnsi="TimesNewRoman" w:cs="TimesNewRoman"/>
          <w:sz w:val="20"/>
          <w:lang w:val="en-US"/>
        </w:rPr>
        <w:t xml:space="preserve">pe in the FD Capability field. </w:t>
      </w:r>
    </w:p>
    <w:p w:rsidR="007D32C9" w:rsidRDefault="007D32C9" w:rsidP="007D32C9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8-221j—FILS Minimum Rate subfield</w:t>
      </w:r>
    </w:p>
    <w:tbl>
      <w:tblPr>
        <w:tblStyle w:val="TableGrid"/>
        <w:tblW w:w="0" w:type="auto"/>
        <w:jc w:val="center"/>
        <w:tblInd w:w="1998" w:type="dxa"/>
        <w:tblLook w:val="04A0"/>
      </w:tblPr>
      <w:tblGrid>
        <w:gridCol w:w="1703"/>
        <w:gridCol w:w="1663"/>
        <w:gridCol w:w="1404"/>
        <w:gridCol w:w="1404"/>
        <w:gridCol w:w="1404"/>
      </w:tblGrid>
      <w:tr w:rsidR="00150666" w:rsidTr="00F85A8F">
        <w:trPr>
          <w:jc w:val="center"/>
        </w:trPr>
        <w:tc>
          <w:tcPr>
            <w:tcW w:w="1703" w:type="dxa"/>
            <w:vMerge w:val="restart"/>
          </w:tcPr>
          <w:p w:rsidR="00150666" w:rsidRPr="00134832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FILS Minimum Rate subfield (3 bits)</w:t>
            </w:r>
          </w:p>
        </w:tc>
        <w:tc>
          <w:tcPr>
            <w:tcW w:w="5875" w:type="dxa"/>
            <w:gridSpan w:val="4"/>
            <w:vAlign w:val="center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FILS Minimum Rate / MCS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  <w:vMerge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vAlign w:val="center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type=0 (HR/DSSS)</w:t>
            </w:r>
          </w:p>
        </w:tc>
        <w:tc>
          <w:tcPr>
            <w:tcW w:w="1404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type=1 (ERP-OFDM)</w:t>
            </w:r>
          </w:p>
        </w:tc>
        <w:tc>
          <w:tcPr>
            <w:tcW w:w="1404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type=2 (HT)</w:t>
            </w:r>
          </w:p>
        </w:tc>
        <w:tc>
          <w:tcPr>
            <w:tcW w:w="1404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type=3 (VHT)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6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MCS=0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MCS=0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2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9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MCS=1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MCS=1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5.5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12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MCS=2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MCS=2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11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18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MCS=3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MCS=3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 xml:space="preserve">4 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24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MCS=4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MCS=4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 xml:space="preserve">5 – 7 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 xml:space="preserve">Reserved 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</w:tr>
    </w:tbl>
    <w:p w:rsidR="007D32C9" w:rsidRDefault="007D32C9" w:rsidP="007D32C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320559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2D7965" w:rsidRDefault="002D7965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4A7F17" w:rsidRPr="004A7F17" w:rsidRDefault="004A7F17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0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10"/>
      <w:r w:rsidR="00DF7A93">
        <w:rPr>
          <w:sz w:val="24"/>
          <w:szCs w:val="24"/>
        </w:rPr>
        <w:t>mc/D1.5</w:t>
      </w:r>
    </w:p>
    <w:p w:rsidR="004F7BA1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1" w:name="_Ref338147395"/>
      <w:bookmarkStart w:id="12" w:name="_Ref344995533"/>
      <w:bookmarkStart w:id="13" w:name="_Ref354695226"/>
      <w:bookmarkStart w:id="14" w:name="_Ref370728282"/>
      <w:r>
        <w:rPr>
          <w:sz w:val="24"/>
          <w:szCs w:val="24"/>
        </w:rPr>
        <w:t>IEEE Std 802.11ai/D</w:t>
      </w:r>
      <w:bookmarkEnd w:id="11"/>
      <w:bookmarkEnd w:id="12"/>
      <w:bookmarkEnd w:id="13"/>
      <w:r w:rsidR="005A36E3">
        <w:rPr>
          <w:sz w:val="24"/>
          <w:szCs w:val="24"/>
        </w:rPr>
        <w:t>1.0</w:t>
      </w:r>
      <w:bookmarkEnd w:id="14"/>
    </w:p>
    <w:p w:rsidR="00C044C8" w:rsidRDefault="00C044C8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5" w:name="_Ref370728269"/>
      <w:r>
        <w:rPr>
          <w:sz w:val="24"/>
          <w:szCs w:val="24"/>
        </w:rPr>
        <w:t>IEEE Std 802.11ai/D1.1</w:t>
      </w:r>
      <w:bookmarkEnd w:id="15"/>
    </w:p>
    <w:p w:rsidR="00B15F72" w:rsidRDefault="00B15F72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B15F72">
        <w:rPr>
          <w:sz w:val="24"/>
          <w:szCs w:val="24"/>
        </w:rPr>
        <w:t>11-13-1076-04-00ai-tgai-lb-198-comments-for-d1-0</w:t>
      </w:r>
    </w:p>
    <w:p w:rsidR="00575274" w:rsidRDefault="007B3FA1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6" w:name="_Ref370745082"/>
      <w:r>
        <w:rPr>
          <w:sz w:val="24"/>
          <w:szCs w:val="24"/>
        </w:rPr>
        <w:t>11-13-1215-03</w:t>
      </w:r>
      <w:r w:rsidR="00575274" w:rsidRPr="00575274">
        <w:rPr>
          <w:sz w:val="24"/>
          <w:szCs w:val="24"/>
        </w:rPr>
        <w:t>-00ai-proposed-resolution-to-assigned-tgai-lb-198-comments</w:t>
      </w:r>
      <w:bookmarkEnd w:id="16"/>
    </w:p>
    <w:p w:rsidR="00362344" w:rsidRPr="005A36E3" w:rsidRDefault="00362344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7" w:name="_Ref370753309"/>
      <w:r w:rsidRPr="00362344">
        <w:rPr>
          <w:sz w:val="24"/>
          <w:szCs w:val="24"/>
        </w:rPr>
        <w:t>11-13-1186-00-00ai-tgai-motion-deck</w:t>
      </w:r>
      <w:bookmarkEnd w:id="17"/>
    </w:p>
    <w:sectPr w:rsidR="00362344" w:rsidRPr="005A36E3" w:rsidSect="00542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eiWang" w:date="2013-11-07T17:12:00Z" w:initials="LW">
    <w:p w:rsidR="00A966B1" w:rsidRDefault="00A966B1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2" w:author="LeiWang" w:date="2013-11-07T17:13:00Z" w:initials="LW">
    <w:p w:rsidR="00A966B1" w:rsidRDefault="00A966B1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3" w:author="LeiWang" w:date="2013-11-07T23:17:00Z" w:initials="LW">
    <w:p w:rsidR="00180062" w:rsidRDefault="00180062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4" w:author="LeiWang" w:date="2013-11-12T10:02:00Z" w:initials="LW">
    <w:p w:rsidR="00AB46B1" w:rsidRDefault="00AB46B1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  <w:p w:rsidR="00CC0B68" w:rsidRDefault="00CC0B68">
      <w:pPr>
        <w:pStyle w:val="CommentText"/>
      </w:pPr>
      <w:r>
        <w:t>Please that the part of text is deleted based on the resolution to comments 2784, 3203, and 3229.</w:t>
      </w:r>
    </w:p>
  </w:comment>
  <w:comment w:id="5" w:author="LeiWang" w:date="2013-11-07T23:18:00Z" w:initials="LW">
    <w:p w:rsidR="00180062" w:rsidRDefault="00180062" w:rsidP="00180062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6" w:author="LeiWang" w:date="2013-11-07T23:19:00Z" w:initials="LW">
    <w:p w:rsidR="00180062" w:rsidRDefault="00180062" w:rsidP="00180062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7" w:author="LeiWang" w:date="2013-11-13T06:41:00Z" w:initials="LW">
    <w:p w:rsidR="002F3E23" w:rsidRDefault="002F3E23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r w:rsidR="00933074">
        <w:t>deleting</w:t>
      </w:r>
      <w:r>
        <w:t xml:space="preserve"> this empty row. Note that there is no comment </w:t>
      </w:r>
      <w:r w:rsidR="00DD57E0">
        <w:t xml:space="preserve">in LB 198 </w:t>
      </w:r>
      <w:r>
        <w:t>on this editorial</w:t>
      </w:r>
      <w:r w:rsidR="00DD57E0">
        <w:t xml:space="preserve"> issue</w:t>
      </w:r>
      <w:r>
        <w:t xml:space="preserve"> .</w:t>
      </w:r>
    </w:p>
  </w:comment>
  <w:comment w:id="8" w:author="LeiWang" w:date="2013-11-13T06:41:00Z" w:initials="LW">
    <w:p w:rsidR="00933074" w:rsidRDefault="00933074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r w:rsidR="00DD57E0">
        <w:t>fixing the typo in the word Report. Also, note that there is no comment in LB 198 on this editorial issue.</w:t>
      </w:r>
    </w:p>
  </w:comment>
  <w:comment w:id="9" w:author="LeiWang" w:date="2013-11-06T22:16:00Z" w:initials="LW">
    <w:p w:rsidR="00150666" w:rsidRDefault="00150666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BC" w:rsidRDefault="00A033BC">
      <w:r>
        <w:separator/>
      </w:r>
    </w:p>
  </w:endnote>
  <w:endnote w:type="continuationSeparator" w:id="1">
    <w:p w:rsidR="00A033BC" w:rsidRDefault="00A0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0" w:name="aliashDOCCompanyConfiden1FooterEvenPages"/>
    <w:bookmarkEnd w:id="20"/>
  </w:p>
  <w:p w:rsidR="00D52C3F" w:rsidRDefault="00D52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21" w:name="aliashDOCCompanyConfidenti1FooterPrimary"/>
    <w:bookmarkEnd w:id="21"/>
  </w:p>
  <w:p w:rsidR="00D52C3F" w:rsidRPr="00F25F4C" w:rsidRDefault="00CC79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C3F">
        <w:t>Submission</w:t>
      </w:r>
    </w:fldSimple>
    <w:r w:rsidR="00D52C3F">
      <w:tab/>
      <w:t xml:space="preserve">page </w:t>
    </w:r>
    <w:r>
      <w:fldChar w:fldCharType="begin"/>
    </w:r>
    <w:r w:rsidR="00D52C3F">
      <w:instrText xml:space="preserve">page </w:instrText>
    </w:r>
    <w:r>
      <w:fldChar w:fldCharType="separate"/>
    </w:r>
    <w:r w:rsidR="00DD57E0">
      <w:rPr>
        <w:noProof/>
      </w:rPr>
      <w:t>3</w:t>
    </w:r>
    <w:r>
      <w:rPr>
        <w:noProof/>
      </w:rPr>
      <w:fldChar w:fldCharType="end"/>
    </w:r>
    <w:r w:rsidR="00D52C3F">
      <w:tab/>
    </w:r>
    <w:r w:rsidR="00D52C3F">
      <w:rPr>
        <w:rFonts w:eastAsia="MS Mincho" w:hint="eastAsia"/>
        <w:lang w:eastAsia="ja-JP"/>
      </w:rPr>
      <w:t>Lei Wang, InterDigital</w:t>
    </w:r>
  </w:p>
  <w:p w:rsidR="00D52C3F" w:rsidRDefault="00D52C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3" w:name="aliashDOCCompanyConfiden1FooterFirstPage"/>
    <w:bookmarkEnd w:id="23"/>
  </w:p>
  <w:p w:rsidR="00D52C3F" w:rsidRDefault="00D52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BC" w:rsidRDefault="00A033BC">
      <w:r>
        <w:separator/>
      </w:r>
    </w:p>
  </w:footnote>
  <w:footnote w:type="continuationSeparator" w:id="1">
    <w:p w:rsidR="00A033BC" w:rsidRDefault="00A03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8" w:name="aliashDOCCompanyConfiden1HeaderEvenPages"/>
    <w:bookmarkEnd w:id="18"/>
  </w:p>
  <w:p w:rsidR="00D52C3F" w:rsidRDefault="00D52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9" w:name="aliashDOCCompanyConfidenti1HeaderPrimary"/>
    <w:bookmarkEnd w:id="19"/>
  </w:p>
  <w:p w:rsidR="00D52C3F" w:rsidRPr="00F25F4C" w:rsidRDefault="00F650F1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52C3F">
      <w:t>, 2013</w:t>
    </w:r>
    <w:r w:rsidR="00D52C3F">
      <w:tab/>
    </w:r>
    <w:r w:rsidR="00D52C3F">
      <w:tab/>
    </w:r>
    <w:fldSimple w:instr=" TITLE  \* MERGEFORMAT ">
      <w:r w:rsidR="00D52C3F">
        <w:t>doc.: IEEE 802.11-13/</w:t>
      </w:r>
      <w:r w:rsidR="0091669F">
        <w:t>1339</w:t>
      </w:r>
    </w:fldSimple>
    <w:r w:rsidR="00CC0B68"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22" w:name="aliashDOCCompanyConfiden1HeaderFirstPage"/>
    <w:bookmarkEnd w:id="22"/>
  </w:p>
  <w:p w:rsidR="00D52C3F" w:rsidRDefault="00D52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C1A"/>
    <w:multiLevelType w:val="hybridMultilevel"/>
    <w:tmpl w:val="8F5C4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5C7"/>
    <w:multiLevelType w:val="hybridMultilevel"/>
    <w:tmpl w:val="3606E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65863B2A">
      <w:numFmt w:val="bullet"/>
      <w:lvlText w:val="-"/>
      <w:lvlJc w:val="left"/>
      <w:pPr>
        <w:ind w:left="2340" w:hanging="360"/>
      </w:pPr>
      <w:rPr>
        <w:rFonts w:ascii="TimesNewRoman" w:eastAsiaTheme="minorEastAsia" w:hAnsi="TimesNewRoman" w:cs="TimesNewRoman" w:hint="default"/>
      </w:rPr>
    </w:lvl>
    <w:lvl w:ilvl="3" w:tplc="2E9454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27B"/>
    <w:multiLevelType w:val="hybridMultilevel"/>
    <w:tmpl w:val="1C3EC9EE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27342">
      <w:numFmt w:val="bullet"/>
      <w:lvlText w:val="—"/>
      <w:lvlJc w:val="left"/>
      <w:pPr>
        <w:ind w:left="2160" w:hanging="360"/>
      </w:pPr>
      <w:rPr>
        <w:rFonts w:ascii="TimesNewRoman" w:eastAsiaTheme="minorEastAsia" w:hAnsi="TimesNewRoman" w:cs="TimesNew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35482"/>
    <w:multiLevelType w:val="hybridMultilevel"/>
    <w:tmpl w:val="778E2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5EB"/>
    <w:multiLevelType w:val="hybridMultilevel"/>
    <w:tmpl w:val="AE9AB5A2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848"/>
    <w:multiLevelType w:val="hybridMultilevel"/>
    <w:tmpl w:val="18802770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4F7B"/>
    <w:multiLevelType w:val="hybridMultilevel"/>
    <w:tmpl w:val="D4DECED4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04AB6"/>
    <w:rsid w:val="00006D98"/>
    <w:rsid w:val="000129EB"/>
    <w:rsid w:val="0001653F"/>
    <w:rsid w:val="0002215E"/>
    <w:rsid w:val="00024B3F"/>
    <w:rsid w:val="00024B9E"/>
    <w:rsid w:val="000338E3"/>
    <w:rsid w:val="0003610A"/>
    <w:rsid w:val="00036552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1D2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39ED"/>
    <w:rsid w:val="000C55EC"/>
    <w:rsid w:val="000C576B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5A8D"/>
    <w:rsid w:val="00136CCD"/>
    <w:rsid w:val="0013760C"/>
    <w:rsid w:val="001402CA"/>
    <w:rsid w:val="0014064C"/>
    <w:rsid w:val="001431AB"/>
    <w:rsid w:val="001450F1"/>
    <w:rsid w:val="00150666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59F3"/>
    <w:rsid w:val="0016600F"/>
    <w:rsid w:val="0016771D"/>
    <w:rsid w:val="001729C2"/>
    <w:rsid w:val="00176627"/>
    <w:rsid w:val="001768DC"/>
    <w:rsid w:val="001774B8"/>
    <w:rsid w:val="00180062"/>
    <w:rsid w:val="00181DF6"/>
    <w:rsid w:val="00182A4B"/>
    <w:rsid w:val="00183920"/>
    <w:rsid w:val="001917FB"/>
    <w:rsid w:val="00194190"/>
    <w:rsid w:val="00194488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743"/>
    <w:rsid w:val="001D69CC"/>
    <w:rsid w:val="001D723B"/>
    <w:rsid w:val="001E0FDB"/>
    <w:rsid w:val="001E1865"/>
    <w:rsid w:val="001E1C8E"/>
    <w:rsid w:val="001E2211"/>
    <w:rsid w:val="001E41B1"/>
    <w:rsid w:val="001E466A"/>
    <w:rsid w:val="001F2CFE"/>
    <w:rsid w:val="001F319E"/>
    <w:rsid w:val="001F3867"/>
    <w:rsid w:val="00202EB4"/>
    <w:rsid w:val="0020524F"/>
    <w:rsid w:val="00206899"/>
    <w:rsid w:val="00207C77"/>
    <w:rsid w:val="00210AFB"/>
    <w:rsid w:val="00215EA6"/>
    <w:rsid w:val="00217BF5"/>
    <w:rsid w:val="0022175C"/>
    <w:rsid w:val="00223F13"/>
    <w:rsid w:val="00227264"/>
    <w:rsid w:val="00231CDE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86662"/>
    <w:rsid w:val="0029020B"/>
    <w:rsid w:val="00293280"/>
    <w:rsid w:val="00294AF2"/>
    <w:rsid w:val="002975F3"/>
    <w:rsid w:val="002977C0"/>
    <w:rsid w:val="00297807"/>
    <w:rsid w:val="002A11E4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5400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965"/>
    <w:rsid w:val="002D7E9C"/>
    <w:rsid w:val="002E07FB"/>
    <w:rsid w:val="002E24D9"/>
    <w:rsid w:val="002E37C5"/>
    <w:rsid w:val="002E3882"/>
    <w:rsid w:val="002E3895"/>
    <w:rsid w:val="002E4FBC"/>
    <w:rsid w:val="002E6202"/>
    <w:rsid w:val="002F0678"/>
    <w:rsid w:val="002F07C1"/>
    <w:rsid w:val="002F1E8C"/>
    <w:rsid w:val="002F3E23"/>
    <w:rsid w:val="002F5D94"/>
    <w:rsid w:val="002F68EA"/>
    <w:rsid w:val="002F6A31"/>
    <w:rsid w:val="002F6B22"/>
    <w:rsid w:val="002F6E28"/>
    <w:rsid w:val="002F7245"/>
    <w:rsid w:val="002F77E4"/>
    <w:rsid w:val="00302425"/>
    <w:rsid w:val="00303AFF"/>
    <w:rsid w:val="00304279"/>
    <w:rsid w:val="0030633E"/>
    <w:rsid w:val="00306B3F"/>
    <w:rsid w:val="00313A54"/>
    <w:rsid w:val="003143E5"/>
    <w:rsid w:val="00314B71"/>
    <w:rsid w:val="00316031"/>
    <w:rsid w:val="00317BC2"/>
    <w:rsid w:val="00317BF7"/>
    <w:rsid w:val="00320559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540E8"/>
    <w:rsid w:val="003566EE"/>
    <w:rsid w:val="00362344"/>
    <w:rsid w:val="0036256D"/>
    <w:rsid w:val="003636F6"/>
    <w:rsid w:val="00363C36"/>
    <w:rsid w:val="003644E5"/>
    <w:rsid w:val="00367816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97352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C7E"/>
    <w:rsid w:val="003D6F60"/>
    <w:rsid w:val="003E664A"/>
    <w:rsid w:val="003F048F"/>
    <w:rsid w:val="003F0DBF"/>
    <w:rsid w:val="003F385D"/>
    <w:rsid w:val="003F49FF"/>
    <w:rsid w:val="003F588F"/>
    <w:rsid w:val="003F6B96"/>
    <w:rsid w:val="003F76F1"/>
    <w:rsid w:val="00401BA2"/>
    <w:rsid w:val="00403A6C"/>
    <w:rsid w:val="00405BBD"/>
    <w:rsid w:val="00410CE8"/>
    <w:rsid w:val="004110FF"/>
    <w:rsid w:val="0041128E"/>
    <w:rsid w:val="004129F9"/>
    <w:rsid w:val="00415186"/>
    <w:rsid w:val="00416AAC"/>
    <w:rsid w:val="00420D0E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6425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334"/>
    <w:rsid w:val="004936B1"/>
    <w:rsid w:val="00493B1F"/>
    <w:rsid w:val="00495076"/>
    <w:rsid w:val="00495A46"/>
    <w:rsid w:val="00495E49"/>
    <w:rsid w:val="004974FD"/>
    <w:rsid w:val="004A04ED"/>
    <w:rsid w:val="004A3FDC"/>
    <w:rsid w:val="004A52B3"/>
    <w:rsid w:val="004A649C"/>
    <w:rsid w:val="004A7F17"/>
    <w:rsid w:val="004B08A2"/>
    <w:rsid w:val="004B1375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038D"/>
    <w:rsid w:val="004E2BDB"/>
    <w:rsid w:val="004F19F9"/>
    <w:rsid w:val="004F2B68"/>
    <w:rsid w:val="004F7445"/>
    <w:rsid w:val="004F7459"/>
    <w:rsid w:val="004F7BA1"/>
    <w:rsid w:val="005000BE"/>
    <w:rsid w:val="00501A04"/>
    <w:rsid w:val="00503DE5"/>
    <w:rsid w:val="00507C97"/>
    <w:rsid w:val="00511ED4"/>
    <w:rsid w:val="00514E7C"/>
    <w:rsid w:val="00515A67"/>
    <w:rsid w:val="005160B5"/>
    <w:rsid w:val="00516B9E"/>
    <w:rsid w:val="00522525"/>
    <w:rsid w:val="005249D7"/>
    <w:rsid w:val="00531375"/>
    <w:rsid w:val="00532853"/>
    <w:rsid w:val="00533F92"/>
    <w:rsid w:val="005351A4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6A9B"/>
    <w:rsid w:val="005709E2"/>
    <w:rsid w:val="00573D04"/>
    <w:rsid w:val="00575274"/>
    <w:rsid w:val="00575651"/>
    <w:rsid w:val="00575BE2"/>
    <w:rsid w:val="00577E7A"/>
    <w:rsid w:val="005804E8"/>
    <w:rsid w:val="00580D12"/>
    <w:rsid w:val="00581F96"/>
    <w:rsid w:val="00582370"/>
    <w:rsid w:val="00582B29"/>
    <w:rsid w:val="00583E66"/>
    <w:rsid w:val="00585046"/>
    <w:rsid w:val="00585B05"/>
    <w:rsid w:val="005865D3"/>
    <w:rsid w:val="005878FA"/>
    <w:rsid w:val="0059146F"/>
    <w:rsid w:val="00592D99"/>
    <w:rsid w:val="00595379"/>
    <w:rsid w:val="005955BD"/>
    <w:rsid w:val="00596BDD"/>
    <w:rsid w:val="005977CF"/>
    <w:rsid w:val="005A0E40"/>
    <w:rsid w:val="005A36E3"/>
    <w:rsid w:val="005A3F34"/>
    <w:rsid w:val="005A6977"/>
    <w:rsid w:val="005B0C28"/>
    <w:rsid w:val="005B60A2"/>
    <w:rsid w:val="005B7965"/>
    <w:rsid w:val="005C1B5B"/>
    <w:rsid w:val="005C3035"/>
    <w:rsid w:val="005C3728"/>
    <w:rsid w:val="005C3C2C"/>
    <w:rsid w:val="005C43CB"/>
    <w:rsid w:val="005D0CB2"/>
    <w:rsid w:val="005D232A"/>
    <w:rsid w:val="005D43BB"/>
    <w:rsid w:val="005D6D17"/>
    <w:rsid w:val="005E1060"/>
    <w:rsid w:val="005E2E3C"/>
    <w:rsid w:val="005E5303"/>
    <w:rsid w:val="005E6133"/>
    <w:rsid w:val="005F027E"/>
    <w:rsid w:val="005F0618"/>
    <w:rsid w:val="005F2EA2"/>
    <w:rsid w:val="005F3A57"/>
    <w:rsid w:val="00600A8B"/>
    <w:rsid w:val="0060187E"/>
    <w:rsid w:val="0060274C"/>
    <w:rsid w:val="00605A8E"/>
    <w:rsid w:val="006110D0"/>
    <w:rsid w:val="00611461"/>
    <w:rsid w:val="00612F39"/>
    <w:rsid w:val="00616035"/>
    <w:rsid w:val="00617BFE"/>
    <w:rsid w:val="00620458"/>
    <w:rsid w:val="00620F3A"/>
    <w:rsid w:val="00621BAD"/>
    <w:rsid w:val="0062233A"/>
    <w:rsid w:val="00622A3F"/>
    <w:rsid w:val="0062440B"/>
    <w:rsid w:val="00624E46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3F19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0BD3"/>
    <w:rsid w:val="00693E9E"/>
    <w:rsid w:val="0069513A"/>
    <w:rsid w:val="006976C8"/>
    <w:rsid w:val="006A14F1"/>
    <w:rsid w:val="006A1EE1"/>
    <w:rsid w:val="006A303E"/>
    <w:rsid w:val="006A5FE2"/>
    <w:rsid w:val="006A6135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385B"/>
    <w:rsid w:val="006C4F4C"/>
    <w:rsid w:val="006C5127"/>
    <w:rsid w:val="006D0432"/>
    <w:rsid w:val="006D0D3E"/>
    <w:rsid w:val="006D0ED6"/>
    <w:rsid w:val="006D20D3"/>
    <w:rsid w:val="006D22B7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20106"/>
    <w:rsid w:val="0072428C"/>
    <w:rsid w:val="00730624"/>
    <w:rsid w:val="00732327"/>
    <w:rsid w:val="00733BC4"/>
    <w:rsid w:val="0073674F"/>
    <w:rsid w:val="007374F7"/>
    <w:rsid w:val="0073770C"/>
    <w:rsid w:val="00740F4D"/>
    <w:rsid w:val="00740FF4"/>
    <w:rsid w:val="007430F3"/>
    <w:rsid w:val="00744395"/>
    <w:rsid w:val="007445B0"/>
    <w:rsid w:val="00745A41"/>
    <w:rsid w:val="00745AEA"/>
    <w:rsid w:val="007476A4"/>
    <w:rsid w:val="00751237"/>
    <w:rsid w:val="00754512"/>
    <w:rsid w:val="007545DC"/>
    <w:rsid w:val="0075529A"/>
    <w:rsid w:val="00761161"/>
    <w:rsid w:val="00761C40"/>
    <w:rsid w:val="00761F40"/>
    <w:rsid w:val="00762A1E"/>
    <w:rsid w:val="00762DFF"/>
    <w:rsid w:val="00763475"/>
    <w:rsid w:val="00763837"/>
    <w:rsid w:val="00763FBD"/>
    <w:rsid w:val="00770572"/>
    <w:rsid w:val="007736A5"/>
    <w:rsid w:val="00775B4D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77"/>
    <w:rsid w:val="007976A7"/>
    <w:rsid w:val="007979A7"/>
    <w:rsid w:val="007A2537"/>
    <w:rsid w:val="007A5A75"/>
    <w:rsid w:val="007A6EA3"/>
    <w:rsid w:val="007A79EF"/>
    <w:rsid w:val="007B046B"/>
    <w:rsid w:val="007B2971"/>
    <w:rsid w:val="007B3BED"/>
    <w:rsid w:val="007B3FA1"/>
    <w:rsid w:val="007B72F5"/>
    <w:rsid w:val="007B7BF3"/>
    <w:rsid w:val="007C0A66"/>
    <w:rsid w:val="007C3544"/>
    <w:rsid w:val="007C49DB"/>
    <w:rsid w:val="007C4E44"/>
    <w:rsid w:val="007C639D"/>
    <w:rsid w:val="007C6667"/>
    <w:rsid w:val="007C6C40"/>
    <w:rsid w:val="007D1362"/>
    <w:rsid w:val="007D1C35"/>
    <w:rsid w:val="007D32C9"/>
    <w:rsid w:val="007D6DD9"/>
    <w:rsid w:val="007D7EB9"/>
    <w:rsid w:val="007E26DE"/>
    <w:rsid w:val="007E2E8A"/>
    <w:rsid w:val="007E3704"/>
    <w:rsid w:val="007E5775"/>
    <w:rsid w:val="007E6295"/>
    <w:rsid w:val="007E64EB"/>
    <w:rsid w:val="007F1C35"/>
    <w:rsid w:val="007F23E4"/>
    <w:rsid w:val="007F576A"/>
    <w:rsid w:val="007F5D53"/>
    <w:rsid w:val="007F6EB3"/>
    <w:rsid w:val="007F7467"/>
    <w:rsid w:val="008000A4"/>
    <w:rsid w:val="008031EF"/>
    <w:rsid w:val="00805F14"/>
    <w:rsid w:val="00806696"/>
    <w:rsid w:val="00811421"/>
    <w:rsid w:val="00813D55"/>
    <w:rsid w:val="00814E66"/>
    <w:rsid w:val="00815BF0"/>
    <w:rsid w:val="00820077"/>
    <w:rsid w:val="00821F3C"/>
    <w:rsid w:val="00823286"/>
    <w:rsid w:val="00825784"/>
    <w:rsid w:val="008268A8"/>
    <w:rsid w:val="0083167D"/>
    <w:rsid w:val="008319DA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2E6"/>
    <w:rsid w:val="008817E2"/>
    <w:rsid w:val="00881FB9"/>
    <w:rsid w:val="0088455D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3DEA"/>
    <w:rsid w:val="008B47DC"/>
    <w:rsid w:val="008B6766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3E6F"/>
    <w:rsid w:val="008D5FB8"/>
    <w:rsid w:val="008D750F"/>
    <w:rsid w:val="008E04B5"/>
    <w:rsid w:val="008E3119"/>
    <w:rsid w:val="008E4E95"/>
    <w:rsid w:val="008E762A"/>
    <w:rsid w:val="008F2110"/>
    <w:rsid w:val="00900461"/>
    <w:rsid w:val="00900A39"/>
    <w:rsid w:val="00901D20"/>
    <w:rsid w:val="0090563E"/>
    <w:rsid w:val="00912E01"/>
    <w:rsid w:val="00913223"/>
    <w:rsid w:val="00914336"/>
    <w:rsid w:val="009159AD"/>
    <w:rsid w:val="0091669F"/>
    <w:rsid w:val="00916908"/>
    <w:rsid w:val="00917622"/>
    <w:rsid w:val="00917FAC"/>
    <w:rsid w:val="00921772"/>
    <w:rsid w:val="009228A3"/>
    <w:rsid w:val="00923816"/>
    <w:rsid w:val="009238FB"/>
    <w:rsid w:val="00925024"/>
    <w:rsid w:val="00925F0C"/>
    <w:rsid w:val="00933074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3666"/>
    <w:rsid w:val="0097752F"/>
    <w:rsid w:val="00977BEB"/>
    <w:rsid w:val="00981772"/>
    <w:rsid w:val="009876D1"/>
    <w:rsid w:val="00987E02"/>
    <w:rsid w:val="0099032D"/>
    <w:rsid w:val="00990515"/>
    <w:rsid w:val="00991F6D"/>
    <w:rsid w:val="00992C23"/>
    <w:rsid w:val="009A02C1"/>
    <w:rsid w:val="009A0C1D"/>
    <w:rsid w:val="009A0DEF"/>
    <w:rsid w:val="009A2FC2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6AD7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2F32"/>
    <w:rsid w:val="00A032F4"/>
    <w:rsid w:val="00A033BC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1A4B"/>
    <w:rsid w:val="00A354B5"/>
    <w:rsid w:val="00A362E7"/>
    <w:rsid w:val="00A430DF"/>
    <w:rsid w:val="00A50415"/>
    <w:rsid w:val="00A507F0"/>
    <w:rsid w:val="00A510A9"/>
    <w:rsid w:val="00A510C8"/>
    <w:rsid w:val="00A520AD"/>
    <w:rsid w:val="00A52230"/>
    <w:rsid w:val="00A64DCD"/>
    <w:rsid w:val="00A66ABE"/>
    <w:rsid w:val="00A6790D"/>
    <w:rsid w:val="00A73CF3"/>
    <w:rsid w:val="00A74CDA"/>
    <w:rsid w:val="00A82723"/>
    <w:rsid w:val="00A83550"/>
    <w:rsid w:val="00A84BA5"/>
    <w:rsid w:val="00A84E8B"/>
    <w:rsid w:val="00A9114C"/>
    <w:rsid w:val="00A925D1"/>
    <w:rsid w:val="00A93DDA"/>
    <w:rsid w:val="00A94D48"/>
    <w:rsid w:val="00A966B1"/>
    <w:rsid w:val="00AA427C"/>
    <w:rsid w:val="00AB46B1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37CD"/>
    <w:rsid w:val="00AF4202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15F72"/>
    <w:rsid w:val="00B214D6"/>
    <w:rsid w:val="00B24771"/>
    <w:rsid w:val="00B25364"/>
    <w:rsid w:val="00B3267F"/>
    <w:rsid w:val="00B36E5C"/>
    <w:rsid w:val="00B43C42"/>
    <w:rsid w:val="00B44A69"/>
    <w:rsid w:val="00B454B4"/>
    <w:rsid w:val="00B4758A"/>
    <w:rsid w:val="00B5247F"/>
    <w:rsid w:val="00B52F77"/>
    <w:rsid w:val="00B563CA"/>
    <w:rsid w:val="00B57EC1"/>
    <w:rsid w:val="00B648E9"/>
    <w:rsid w:val="00B656F8"/>
    <w:rsid w:val="00B65B69"/>
    <w:rsid w:val="00B70DF9"/>
    <w:rsid w:val="00B72A45"/>
    <w:rsid w:val="00B748D0"/>
    <w:rsid w:val="00B7598F"/>
    <w:rsid w:val="00B77995"/>
    <w:rsid w:val="00B80597"/>
    <w:rsid w:val="00B80BF6"/>
    <w:rsid w:val="00B811AC"/>
    <w:rsid w:val="00B8167B"/>
    <w:rsid w:val="00B8179A"/>
    <w:rsid w:val="00B852F7"/>
    <w:rsid w:val="00B8606B"/>
    <w:rsid w:val="00B86E85"/>
    <w:rsid w:val="00B87E37"/>
    <w:rsid w:val="00B902B2"/>
    <w:rsid w:val="00B907A0"/>
    <w:rsid w:val="00B908FC"/>
    <w:rsid w:val="00B91DBC"/>
    <w:rsid w:val="00B9307E"/>
    <w:rsid w:val="00B942E2"/>
    <w:rsid w:val="00B94FBC"/>
    <w:rsid w:val="00B97720"/>
    <w:rsid w:val="00BA12E3"/>
    <w:rsid w:val="00BA134B"/>
    <w:rsid w:val="00BA31F7"/>
    <w:rsid w:val="00BA3BE2"/>
    <w:rsid w:val="00BA7833"/>
    <w:rsid w:val="00BB0594"/>
    <w:rsid w:val="00BB14CD"/>
    <w:rsid w:val="00BB3C20"/>
    <w:rsid w:val="00BB58E3"/>
    <w:rsid w:val="00BB5A09"/>
    <w:rsid w:val="00BB7B84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E7448"/>
    <w:rsid w:val="00BF0469"/>
    <w:rsid w:val="00BF09EB"/>
    <w:rsid w:val="00BF177D"/>
    <w:rsid w:val="00BF6E24"/>
    <w:rsid w:val="00C017B8"/>
    <w:rsid w:val="00C03AE8"/>
    <w:rsid w:val="00C03BD3"/>
    <w:rsid w:val="00C04273"/>
    <w:rsid w:val="00C044C8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27F0E"/>
    <w:rsid w:val="00C3119C"/>
    <w:rsid w:val="00C31B1C"/>
    <w:rsid w:val="00C3456F"/>
    <w:rsid w:val="00C35D8E"/>
    <w:rsid w:val="00C41AE1"/>
    <w:rsid w:val="00C50387"/>
    <w:rsid w:val="00C5075B"/>
    <w:rsid w:val="00C51456"/>
    <w:rsid w:val="00C52DB1"/>
    <w:rsid w:val="00C55C00"/>
    <w:rsid w:val="00C62891"/>
    <w:rsid w:val="00C6542E"/>
    <w:rsid w:val="00C65505"/>
    <w:rsid w:val="00C667C9"/>
    <w:rsid w:val="00C72090"/>
    <w:rsid w:val="00C75B9F"/>
    <w:rsid w:val="00C81669"/>
    <w:rsid w:val="00C820F6"/>
    <w:rsid w:val="00C83103"/>
    <w:rsid w:val="00C84C3B"/>
    <w:rsid w:val="00C92DB5"/>
    <w:rsid w:val="00C941EF"/>
    <w:rsid w:val="00C94F7B"/>
    <w:rsid w:val="00C966CF"/>
    <w:rsid w:val="00C9781E"/>
    <w:rsid w:val="00CA09B2"/>
    <w:rsid w:val="00CA2222"/>
    <w:rsid w:val="00CA4F24"/>
    <w:rsid w:val="00CA5BE6"/>
    <w:rsid w:val="00CA6813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0B68"/>
    <w:rsid w:val="00CC3960"/>
    <w:rsid w:val="00CC3A7F"/>
    <w:rsid w:val="00CC5528"/>
    <w:rsid w:val="00CC6156"/>
    <w:rsid w:val="00CC66E4"/>
    <w:rsid w:val="00CC7906"/>
    <w:rsid w:val="00CC7F1F"/>
    <w:rsid w:val="00CD0688"/>
    <w:rsid w:val="00CD18AB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278F7"/>
    <w:rsid w:val="00D4005C"/>
    <w:rsid w:val="00D40204"/>
    <w:rsid w:val="00D40EDA"/>
    <w:rsid w:val="00D50A20"/>
    <w:rsid w:val="00D52893"/>
    <w:rsid w:val="00D52C3F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6AE0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57E0"/>
    <w:rsid w:val="00DD6239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4E4A"/>
    <w:rsid w:val="00E06D31"/>
    <w:rsid w:val="00E12120"/>
    <w:rsid w:val="00E14F58"/>
    <w:rsid w:val="00E172ED"/>
    <w:rsid w:val="00E20FED"/>
    <w:rsid w:val="00E2271F"/>
    <w:rsid w:val="00E270A3"/>
    <w:rsid w:val="00E278C6"/>
    <w:rsid w:val="00E319C0"/>
    <w:rsid w:val="00E3300F"/>
    <w:rsid w:val="00E33050"/>
    <w:rsid w:val="00E377C2"/>
    <w:rsid w:val="00E40B64"/>
    <w:rsid w:val="00E41B07"/>
    <w:rsid w:val="00E42FF6"/>
    <w:rsid w:val="00E4499A"/>
    <w:rsid w:val="00E47D6E"/>
    <w:rsid w:val="00E504CE"/>
    <w:rsid w:val="00E52040"/>
    <w:rsid w:val="00E5255B"/>
    <w:rsid w:val="00E54216"/>
    <w:rsid w:val="00E55BAD"/>
    <w:rsid w:val="00E55CA3"/>
    <w:rsid w:val="00E57532"/>
    <w:rsid w:val="00E57C30"/>
    <w:rsid w:val="00E57F17"/>
    <w:rsid w:val="00E605AA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2116"/>
    <w:rsid w:val="00EB3F7A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5E77"/>
    <w:rsid w:val="00EE676E"/>
    <w:rsid w:val="00EE6C86"/>
    <w:rsid w:val="00EF017E"/>
    <w:rsid w:val="00EF0B6D"/>
    <w:rsid w:val="00EF0C5B"/>
    <w:rsid w:val="00EF4463"/>
    <w:rsid w:val="00EF4D8A"/>
    <w:rsid w:val="00EF4EA4"/>
    <w:rsid w:val="00F02649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27AA5"/>
    <w:rsid w:val="00F31359"/>
    <w:rsid w:val="00F34123"/>
    <w:rsid w:val="00F3774C"/>
    <w:rsid w:val="00F379BB"/>
    <w:rsid w:val="00F408EF"/>
    <w:rsid w:val="00F41D1E"/>
    <w:rsid w:val="00F44014"/>
    <w:rsid w:val="00F514EE"/>
    <w:rsid w:val="00F516BF"/>
    <w:rsid w:val="00F523AB"/>
    <w:rsid w:val="00F5385F"/>
    <w:rsid w:val="00F558C9"/>
    <w:rsid w:val="00F60747"/>
    <w:rsid w:val="00F61277"/>
    <w:rsid w:val="00F61327"/>
    <w:rsid w:val="00F650F1"/>
    <w:rsid w:val="00F66C4F"/>
    <w:rsid w:val="00F719F3"/>
    <w:rsid w:val="00F72E72"/>
    <w:rsid w:val="00F7649D"/>
    <w:rsid w:val="00F774EE"/>
    <w:rsid w:val="00F82373"/>
    <w:rsid w:val="00F82C82"/>
    <w:rsid w:val="00F834AB"/>
    <w:rsid w:val="00F83AFB"/>
    <w:rsid w:val="00F85450"/>
    <w:rsid w:val="00F86736"/>
    <w:rsid w:val="00F87878"/>
    <w:rsid w:val="00F908B7"/>
    <w:rsid w:val="00F92643"/>
    <w:rsid w:val="00F933B4"/>
    <w:rsid w:val="00F93992"/>
    <w:rsid w:val="00F93A46"/>
    <w:rsid w:val="00F94C3D"/>
    <w:rsid w:val="00F96195"/>
    <w:rsid w:val="00F96685"/>
    <w:rsid w:val="00F97DC5"/>
    <w:rsid w:val="00FA050A"/>
    <w:rsid w:val="00FA17A8"/>
    <w:rsid w:val="00FB0265"/>
    <w:rsid w:val="00FB05AB"/>
    <w:rsid w:val="00FB4EA3"/>
    <w:rsid w:val="00FB72A6"/>
    <w:rsid w:val="00FB748B"/>
    <w:rsid w:val="00FC11FA"/>
    <w:rsid w:val="00FC1B1E"/>
    <w:rsid w:val="00FC6851"/>
    <w:rsid w:val="00FC7087"/>
    <w:rsid w:val="00FD3F6B"/>
    <w:rsid w:val="00FD46FA"/>
    <w:rsid w:val="00FD632D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3D1E-E265-44FB-9379-E14757C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3430</TotalTime>
  <Pages>7</Pages>
  <Words>1337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61</cp:revision>
  <cp:lastPrinted>1900-12-31T21:00:00Z</cp:lastPrinted>
  <dcterms:created xsi:type="dcterms:W3CDTF">2013-11-01T18:07:00Z</dcterms:created>
  <dcterms:modified xsi:type="dcterms:W3CDTF">2013-11-13T14:41:00Z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